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A3208">
      <w:pPr>
        <w:spacing w:before="1" w:line="213" w:lineRule="auto"/>
        <w:jc w:val="center"/>
        <w:outlineLvl w:val="0"/>
        <w:rPr>
          <w:rFonts w:hint="eastAsia" w:ascii="方正小标宋_GBK" w:hAnsi="方正小标宋_GBK" w:eastAsia="方正小标宋_GBK" w:cs="方正小标宋_GBK"/>
          <w:spacing w:val="8"/>
          <w:sz w:val="43"/>
          <w:szCs w:val="43"/>
        </w:rPr>
      </w:pPr>
    </w:p>
    <w:p w14:paraId="51A1E60D">
      <w:pPr>
        <w:spacing w:before="1" w:line="213" w:lineRule="auto"/>
        <w:jc w:val="center"/>
        <w:outlineLvl w:val="0"/>
        <w:rPr>
          <w:rFonts w:hint="eastAsia" w:ascii="方正小标宋_GBK" w:hAnsi="方正小标宋_GBK" w:eastAsia="方正小标宋_GBK" w:cs="方正小标宋_GBK"/>
          <w:spacing w:val="8"/>
          <w:sz w:val="43"/>
          <w:szCs w:val="43"/>
        </w:rPr>
      </w:pPr>
    </w:p>
    <w:p w14:paraId="458F8DB0">
      <w:pPr>
        <w:spacing w:before="1" w:line="213" w:lineRule="auto"/>
        <w:jc w:val="center"/>
        <w:outlineLvl w:val="0"/>
        <w:rPr>
          <w:rFonts w:ascii="方正小标宋_GBK" w:hAnsi="方正小标宋_GBK" w:eastAsia="方正小标宋_GBK" w:cs="方正小标宋_GBK"/>
          <w:spacing w:val="8"/>
          <w:sz w:val="43"/>
          <w:szCs w:val="43"/>
        </w:rPr>
      </w:pPr>
      <w:r>
        <w:rPr>
          <w:rFonts w:hint="eastAsia" w:ascii="方正小标宋_GBK" w:hAnsi="方正小标宋_GBK" w:eastAsia="方正小标宋_GBK" w:cs="方正小标宋_GBK"/>
          <w:spacing w:val="8"/>
          <w:sz w:val="43"/>
          <w:szCs w:val="43"/>
        </w:rPr>
        <w:t>石柱土家族自治县人民政府办公室</w:t>
      </w:r>
    </w:p>
    <w:p w14:paraId="2552D98A">
      <w:pPr>
        <w:spacing w:before="1" w:line="213" w:lineRule="auto"/>
        <w:jc w:val="center"/>
        <w:outlineLvl w:val="0"/>
        <w:rPr>
          <w:rFonts w:hint="eastAsia" w:ascii="方正小标宋_GBK" w:hAnsi="方正小标宋_GBK" w:eastAsia="方正小标宋_GBK" w:cs="方正小标宋_GBK"/>
          <w:spacing w:val="8"/>
          <w:sz w:val="43"/>
          <w:szCs w:val="43"/>
        </w:rPr>
      </w:pPr>
      <w:r>
        <w:rPr>
          <w:rFonts w:hint="eastAsia" w:ascii="方正小标宋_GBK" w:hAnsi="方正小标宋_GBK" w:eastAsia="方正小标宋_GBK" w:cs="方正小标宋_GBK"/>
          <w:spacing w:val="8"/>
          <w:sz w:val="43"/>
          <w:szCs w:val="43"/>
        </w:rPr>
        <w:t>关于印发《</w:t>
      </w:r>
      <w:r>
        <w:rPr>
          <w:rFonts w:ascii="方正小标宋_GBK" w:hAnsi="方正小标宋_GBK" w:eastAsia="方正小标宋_GBK" w:cs="方正小标宋_GBK"/>
          <w:spacing w:val="8"/>
          <w:sz w:val="43"/>
          <w:szCs w:val="43"/>
        </w:rPr>
        <w:t>石柱县</w:t>
      </w:r>
      <w:bookmarkStart w:id="0" w:name="OLE_LINK2"/>
      <w:bookmarkStart w:id="1" w:name="OLE_LINK1"/>
      <w:r>
        <w:rPr>
          <w:rFonts w:ascii="方正小标宋_GBK" w:hAnsi="方正小标宋_GBK" w:eastAsia="方正小标宋_GBK" w:cs="方正小标宋_GBK"/>
          <w:spacing w:val="8"/>
          <w:sz w:val="43"/>
          <w:szCs w:val="43"/>
        </w:rPr>
        <w:t>噪声敏感建筑物集中</w:t>
      </w:r>
    </w:p>
    <w:p w14:paraId="147BB9E2">
      <w:pPr>
        <w:spacing w:before="1" w:line="213" w:lineRule="auto"/>
        <w:jc w:val="center"/>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区域划分方案</w:t>
      </w:r>
      <w:bookmarkEnd w:id="0"/>
      <w:bookmarkEnd w:id="1"/>
      <w:r>
        <w:rPr>
          <w:rFonts w:hint="eastAsia" w:ascii="方正小标宋_GBK" w:hAnsi="方正小标宋_GBK" w:eastAsia="方正小标宋_GBK" w:cs="方正小标宋_GBK"/>
          <w:spacing w:val="8"/>
          <w:sz w:val="43"/>
          <w:szCs w:val="43"/>
        </w:rPr>
        <w:t>》的通知</w:t>
      </w:r>
    </w:p>
    <w:p w14:paraId="1A17A5B2">
      <w:pPr>
        <w:pStyle w:val="9"/>
        <w:spacing w:before="14" w:line="507" w:lineRule="exact"/>
        <w:ind w:left="2812"/>
        <w:jc w:val="both"/>
      </w:pPr>
      <w:r>
        <w:rPr>
          <w:spacing w:val="4"/>
          <w:position w:val="4"/>
        </w:rPr>
        <w:t>石柱</w:t>
      </w:r>
      <w:r>
        <w:rPr>
          <w:rFonts w:hint="eastAsia"/>
          <w:spacing w:val="4"/>
          <w:position w:val="4"/>
        </w:rPr>
        <w:t>府办发</w:t>
      </w:r>
      <w:r>
        <w:rPr>
          <w:spacing w:val="4"/>
          <w:position w:val="4"/>
        </w:rPr>
        <w:t>〔</w:t>
      </w:r>
      <w:r>
        <w:rPr>
          <w:rFonts w:ascii="Times New Roman" w:hAnsi="Times New Roman" w:eastAsia="Times New Roman" w:cs="Times New Roman"/>
          <w:spacing w:val="4"/>
          <w:position w:val="4"/>
        </w:rPr>
        <w:t>2025</w:t>
      </w:r>
      <w:r>
        <w:rPr>
          <w:spacing w:val="4"/>
          <w:position w:val="4"/>
        </w:rPr>
        <w:t>〕</w:t>
      </w:r>
      <w:r>
        <w:rPr>
          <w:rFonts w:hint="eastAsia" w:ascii="Times New Roman" w:hAnsi="Times New Roman" w:eastAsia="宋体" w:cs="Times New Roman"/>
          <w:spacing w:val="4"/>
          <w:position w:val="4"/>
          <w:lang w:val="en-US" w:eastAsia="zh-CN"/>
        </w:rPr>
        <w:t>49</w:t>
      </w:r>
      <w:r>
        <w:rPr>
          <w:rFonts w:ascii="Times New Roman" w:hAnsi="Times New Roman" w:eastAsia="Times New Roman" w:cs="Times New Roman"/>
          <w:spacing w:val="35"/>
          <w:w w:val="101"/>
          <w:position w:val="4"/>
        </w:rPr>
        <w:t xml:space="preserve"> </w:t>
      </w:r>
      <w:r>
        <w:rPr>
          <w:spacing w:val="4"/>
          <w:position w:val="4"/>
        </w:rPr>
        <w:t>号</w:t>
      </w:r>
    </w:p>
    <w:p w14:paraId="48840921">
      <w:pPr>
        <w:spacing w:line="286" w:lineRule="auto"/>
        <w:rPr>
          <w:rFonts w:ascii="Arial"/>
          <w:sz w:val="21"/>
        </w:rPr>
      </w:pPr>
    </w:p>
    <w:p w14:paraId="3E6BE72C">
      <w:pPr>
        <w:spacing w:line="287" w:lineRule="auto"/>
        <w:rPr>
          <w:rFonts w:ascii="Arial"/>
          <w:sz w:val="21"/>
        </w:rPr>
      </w:pPr>
    </w:p>
    <w:p w14:paraId="7F01F2C6">
      <w:pPr>
        <w:widowControl w:val="0"/>
        <w:kinsoku/>
        <w:autoSpaceDE/>
        <w:autoSpaceDN/>
        <w:adjustRightInd/>
        <w:snapToGrid w:val="0"/>
        <w:spacing w:line="540" w:lineRule="exact"/>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有关乡镇（街道）人民政府（办事处），县政府有关部门，有关单位：</w:t>
      </w:r>
    </w:p>
    <w:p w14:paraId="63CD1DC0">
      <w:pPr>
        <w:widowControl w:val="0"/>
        <w:kinsoku/>
        <w:autoSpaceDE/>
        <w:autoSpaceDN/>
        <w:adjustRightInd/>
        <w:snapToGrid/>
        <w:spacing w:line="594" w:lineRule="exact"/>
        <w:ind w:firstLine="637" w:firstLineChars="150"/>
        <w:jc w:val="left"/>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《石柱县噪声敏感建筑物集中区域划分方案》已经</w:t>
      </w:r>
      <w:r>
        <w:rPr>
          <w:rFonts w:hint="eastAsia" w:ascii="Times New Roman" w:hAnsi="Times New Roman" w:eastAsia="方正仿宋_GBK" w:cs="Times New Roman"/>
          <w:snapToGrid w:val="0"/>
          <w:kern w:val="2"/>
          <w:sz w:val="32"/>
          <w:szCs w:val="32"/>
          <w:lang w:eastAsia="zh-CN"/>
        </w:rPr>
        <w:t>县政府审议通过</w:t>
      </w:r>
      <w:r>
        <w:rPr>
          <w:rFonts w:ascii="Times New Roman" w:hAnsi="Times New Roman" w:eastAsia="方正仿宋_GBK" w:cs="Times New Roman"/>
          <w:snapToGrid w:val="0"/>
          <w:kern w:val="2"/>
          <w:sz w:val="32"/>
          <w:szCs w:val="32"/>
          <w:lang w:eastAsia="zh-CN"/>
        </w:rPr>
        <w:t>，现印发给你们，请认真贯彻执行。</w:t>
      </w:r>
    </w:p>
    <w:p w14:paraId="397CFF51">
      <w:pPr>
        <w:widowControl w:val="0"/>
        <w:snapToGrid w:val="0"/>
        <w:spacing w:after="0" w:line="540" w:lineRule="exact"/>
        <w:jc w:val="both"/>
        <w:rPr>
          <w:rFonts w:hint="eastAsia" w:ascii="Times New Roman" w:hAnsi="Times New Roman" w:eastAsia="方正仿宋_GBK" w:cs="Times New Roman"/>
          <w:snapToGrid w:val="0"/>
          <w:spacing w:val="0"/>
          <w:kern w:val="2"/>
          <w:sz w:val="21"/>
          <w:szCs w:val="32"/>
          <w:lang w:val="en-US" w:eastAsia="zh-CN" w:bidi="ar-SA"/>
        </w:rPr>
      </w:pPr>
    </w:p>
    <w:p w14:paraId="203B132B">
      <w:pPr>
        <w:widowControl w:val="0"/>
        <w:snapToGrid w:val="0"/>
        <w:spacing w:after="0" w:line="540" w:lineRule="exact"/>
        <w:jc w:val="both"/>
        <w:rPr>
          <w:rFonts w:hint="eastAsia" w:ascii="Times New Roman" w:hAnsi="Times New Roman" w:eastAsia="方正仿宋_GBK" w:cs="Times New Roman"/>
          <w:snapToGrid w:val="0"/>
          <w:spacing w:val="0"/>
          <w:kern w:val="2"/>
          <w:sz w:val="32"/>
          <w:szCs w:val="32"/>
          <w:lang w:val="en-US" w:eastAsia="zh-CN" w:bidi="ar-SA"/>
        </w:rPr>
      </w:pPr>
    </w:p>
    <w:p w14:paraId="54D0F930">
      <w:pPr>
        <w:widowControl w:val="0"/>
        <w:snapToGrid w:val="0"/>
        <w:spacing w:after="0" w:line="540" w:lineRule="exact"/>
        <w:ind w:firstLine="3400" w:firstLineChars="800"/>
        <w:jc w:val="right"/>
        <w:rPr>
          <w:rFonts w:ascii="Times New Roman" w:hAnsi="Times New Roman" w:eastAsia="方正仿宋_GBK" w:cs="Times New Roman"/>
          <w:snapToGrid w:val="0"/>
          <w:spacing w:val="0"/>
          <w:kern w:val="2"/>
          <w:sz w:val="32"/>
          <w:szCs w:val="32"/>
          <w:lang w:val="en-US" w:eastAsia="zh-CN" w:bidi="ar-SA"/>
        </w:rPr>
      </w:pPr>
      <w:r>
        <w:rPr>
          <w:rFonts w:ascii="Times New Roman" w:hAnsi="Times New Roman" w:eastAsia="方正仿宋_GBK" w:cs="Times New Roman"/>
          <w:snapToGrid w:val="0"/>
          <w:spacing w:val="0"/>
          <w:kern w:val="2"/>
          <w:sz w:val="32"/>
          <w:szCs w:val="32"/>
          <w:lang w:val="en-US" w:eastAsia="zh-CN" w:bidi="ar-SA"/>
        </w:rPr>
        <w:t xml:space="preserve"> </w:t>
      </w:r>
      <w:r>
        <w:rPr>
          <w:rFonts w:hint="eastAsia" w:ascii="Times New Roman" w:hAnsi="Times New Roman" w:eastAsia="方正仿宋_GBK" w:cs="Times New Roman"/>
          <w:snapToGrid w:val="0"/>
          <w:spacing w:val="0"/>
          <w:kern w:val="2"/>
          <w:sz w:val="32"/>
          <w:szCs w:val="32"/>
          <w:lang w:val="en-US" w:eastAsia="zh-CN" w:bidi="ar-SA"/>
        </w:rPr>
        <w:t xml:space="preserve">  </w:t>
      </w:r>
      <w:r>
        <w:rPr>
          <w:rFonts w:ascii="Times New Roman" w:hAnsi="Times New Roman" w:eastAsia="方正仿宋_GBK" w:cs="Times New Roman"/>
          <w:snapToGrid w:val="0"/>
          <w:spacing w:val="0"/>
          <w:kern w:val="2"/>
          <w:sz w:val="32"/>
          <w:szCs w:val="32"/>
          <w:lang w:val="en-US" w:eastAsia="zh-CN" w:bidi="ar-SA"/>
        </w:rPr>
        <w:t>石柱土家族自治县人民政府办公室</w:t>
      </w:r>
    </w:p>
    <w:p w14:paraId="69D948BE">
      <w:pPr>
        <w:pStyle w:val="10"/>
        <w:tabs>
          <w:tab w:val="left" w:pos="7680"/>
        </w:tabs>
        <w:kinsoku/>
        <w:autoSpaceDE/>
        <w:autoSpaceDN/>
        <w:adjustRightInd/>
        <w:snapToGrid w:val="0"/>
        <w:spacing w:line="540" w:lineRule="exact"/>
        <w:ind w:left="2527"/>
        <w:jc w:val="center"/>
        <w:textAlignment w:val="auto"/>
        <w:rPr>
          <w:rFonts w:hint="eastAsia" w:eastAsia="方正仿宋_GBK" w:cs="Times New Roman"/>
          <w:snapToGrid w:val="0"/>
          <w:szCs w:val="32"/>
        </w:rPr>
      </w:pPr>
      <w:r>
        <w:rPr>
          <w:rFonts w:hint="eastAsia" w:eastAsia="方正仿宋_GBK" w:cs="Times New Roman"/>
          <w:snapToGrid w:val="0"/>
          <w:szCs w:val="32"/>
          <w:lang w:val="en-US" w:eastAsia="zh-CN"/>
        </w:rPr>
        <w:t xml:space="preserve">                               </w:t>
      </w:r>
      <w:r>
        <w:rPr>
          <w:rFonts w:eastAsia="方正仿宋_GBK" w:cs="Times New Roman"/>
          <w:snapToGrid w:val="0"/>
          <w:szCs w:val="32"/>
        </w:rPr>
        <w:t>202</w:t>
      </w:r>
      <w:r>
        <w:rPr>
          <w:rFonts w:hint="eastAsia" w:eastAsia="方正仿宋_GBK" w:cs="Times New Roman"/>
          <w:snapToGrid w:val="0"/>
          <w:szCs w:val="32"/>
        </w:rPr>
        <w:t>5</w:t>
      </w:r>
      <w:r>
        <w:rPr>
          <w:rFonts w:eastAsia="方正仿宋_GBK" w:cs="Times New Roman"/>
          <w:snapToGrid w:val="0"/>
          <w:szCs w:val="32"/>
        </w:rPr>
        <w:t>年</w:t>
      </w:r>
      <w:r>
        <w:rPr>
          <w:rFonts w:hint="eastAsia" w:eastAsia="方正仿宋_GBK" w:cs="Times New Roman"/>
          <w:snapToGrid w:val="0"/>
          <w:szCs w:val="32"/>
        </w:rPr>
        <w:t>12</w:t>
      </w:r>
      <w:r>
        <w:rPr>
          <w:rFonts w:eastAsia="方正仿宋_GBK" w:cs="Times New Roman"/>
          <w:snapToGrid w:val="0"/>
          <w:szCs w:val="32"/>
        </w:rPr>
        <w:t>月</w:t>
      </w:r>
      <w:r>
        <w:rPr>
          <w:rFonts w:hint="eastAsia" w:eastAsia="方正仿宋_GBK" w:cs="Times New Roman"/>
          <w:snapToGrid w:val="0"/>
          <w:szCs w:val="32"/>
        </w:rPr>
        <w:t>31</w:t>
      </w:r>
      <w:r>
        <w:rPr>
          <w:rFonts w:eastAsia="方正仿宋_GBK" w:cs="Times New Roman"/>
          <w:snapToGrid w:val="0"/>
          <w:szCs w:val="32"/>
        </w:rPr>
        <w:t>日</w:t>
      </w:r>
    </w:p>
    <w:p w14:paraId="3D73249F">
      <w:pPr>
        <w:widowControl w:val="0"/>
        <w:kinsoku/>
        <w:autoSpaceDE/>
        <w:autoSpaceDN/>
        <w:adjustRightInd/>
        <w:snapToGrid/>
        <w:spacing w:line="594" w:lineRule="exact"/>
        <w:jc w:val="left"/>
        <w:textAlignment w:val="auto"/>
        <w:rPr>
          <w:rFonts w:hint="eastAsia" w:ascii="Times New Roman" w:hAnsi="Times New Roman" w:eastAsia="方正仿宋_GBK" w:cs="Times New Roman"/>
          <w:snapToGrid w:val="0"/>
          <w:kern w:val="2"/>
          <w:sz w:val="32"/>
          <w:szCs w:val="32"/>
          <w:lang w:eastAsia="zh-CN"/>
        </w:rPr>
      </w:pPr>
    </w:p>
    <w:p w14:paraId="1F82E35E">
      <w:pPr>
        <w:widowControl w:val="0"/>
        <w:kinsoku/>
        <w:autoSpaceDE/>
        <w:autoSpaceDN/>
        <w:adjustRightInd/>
        <w:snapToGrid/>
        <w:spacing w:line="594" w:lineRule="exact"/>
        <w:jc w:val="left"/>
        <w:textAlignment w:val="auto"/>
        <w:rPr>
          <w:rFonts w:hint="eastAsia" w:ascii="Times New Roman" w:hAnsi="Times New Roman" w:eastAsia="方正仿宋_GBK" w:cs="Times New Roman"/>
          <w:snapToGrid w:val="0"/>
          <w:kern w:val="2"/>
          <w:sz w:val="32"/>
          <w:szCs w:val="32"/>
          <w:lang w:eastAsia="zh-CN"/>
        </w:rPr>
      </w:pPr>
    </w:p>
    <w:p w14:paraId="30B24A2E">
      <w:pPr>
        <w:widowControl w:val="0"/>
        <w:kinsoku/>
        <w:autoSpaceDE/>
        <w:autoSpaceDN/>
        <w:adjustRightInd/>
        <w:snapToGrid/>
        <w:spacing w:line="594" w:lineRule="exact"/>
        <w:jc w:val="left"/>
        <w:textAlignment w:val="auto"/>
        <w:rPr>
          <w:rFonts w:hint="eastAsia" w:ascii="Times New Roman" w:hAnsi="Times New Roman" w:eastAsia="方正仿宋_GBK" w:cs="Times New Roman"/>
          <w:snapToGrid w:val="0"/>
          <w:kern w:val="2"/>
          <w:sz w:val="32"/>
          <w:szCs w:val="32"/>
          <w:lang w:eastAsia="zh-CN"/>
        </w:rPr>
      </w:pPr>
    </w:p>
    <w:p w14:paraId="476EBB0C">
      <w:pPr>
        <w:widowControl w:val="0"/>
        <w:kinsoku/>
        <w:autoSpaceDE/>
        <w:autoSpaceDN/>
        <w:adjustRightInd/>
        <w:snapToGrid/>
        <w:spacing w:line="594" w:lineRule="exact"/>
        <w:jc w:val="left"/>
        <w:textAlignment w:val="auto"/>
        <w:rPr>
          <w:rFonts w:hint="eastAsia" w:ascii="Times New Roman" w:hAnsi="Times New Roman" w:eastAsia="方正仿宋_GBK" w:cs="Times New Roman"/>
          <w:snapToGrid w:val="0"/>
          <w:kern w:val="2"/>
          <w:sz w:val="32"/>
          <w:szCs w:val="32"/>
          <w:lang w:eastAsia="zh-CN"/>
        </w:rPr>
      </w:pPr>
    </w:p>
    <w:p w14:paraId="27DB6F28">
      <w:pPr>
        <w:widowControl w:val="0"/>
        <w:kinsoku/>
        <w:autoSpaceDE/>
        <w:autoSpaceDN/>
        <w:adjustRightInd/>
        <w:snapToGrid/>
        <w:spacing w:line="594" w:lineRule="exact"/>
        <w:jc w:val="left"/>
        <w:textAlignment w:val="auto"/>
        <w:rPr>
          <w:rFonts w:hint="eastAsia" w:eastAsia="宋体" w:cs="Times New Roman"/>
          <w:snapToGrid w:val="0"/>
          <w:kern w:val="2"/>
        </w:rPr>
      </w:pPr>
      <w:r>
        <w:rPr>
          <w:rFonts w:hint="eastAsia" w:ascii="Times New Roman" w:hAnsi="Times New Roman" w:eastAsia="方正仿宋_GBK" w:cs="Times New Roman"/>
          <w:snapToGrid w:val="0"/>
          <w:kern w:val="2"/>
          <w:sz w:val="32"/>
          <w:szCs w:val="32"/>
          <w:lang w:eastAsia="zh-CN"/>
        </w:rPr>
        <w:t>（此件公开发布）</w:t>
      </w:r>
    </w:p>
    <w:p w14:paraId="6D4BFDC4">
      <w:pPr>
        <w:widowControl w:val="0"/>
        <w:kinsoku/>
        <w:autoSpaceDE/>
        <w:autoSpaceDN/>
        <w:adjustRightInd/>
        <w:snapToGrid/>
        <w:spacing w:line="550" w:lineRule="exact"/>
        <w:jc w:val="center"/>
        <w:textAlignment w:val="auto"/>
        <w:rPr>
          <w:rFonts w:hint="eastAsia" w:ascii="Times New Roman" w:hAnsi="Times New Roman" w:eastAsia="方正小标宋_GBK" w:cs="Times New Roman"/>
          <w:snapToGrid w:val="0"/>
          <w:color w:val="000000"/>
          <w:kern w:val="2"/>
          <w:sz w:val="48"/>
          <w:szCs w:val="48"/>
          <w:lang w:eastAsia="zh-CN" w:bidi="ar"/>
        </w:rPr>
      </w:pPr>
      <w:bookmarkStart w:id="2" w:name="_Toc26195"/>
      <w:r>
        <w:rPr>
          <w:rFonts w:ascii="Times New Roman" w:hAnsi="Times New Roman" w:eastAsia="方正小标宋_GBK" w:cs="Times New Roman"/>
          <w:snapToGrid w:val="0"/>
          <w:color w:val="000000"/>
          <w:kern w:val="2"/>
          <w:sz w:val="48"/>
          <w:szCs w:val="48"/>
          <w:lang w:eastAsia="zh-CN" w:bidi="ar"/>
        </w:rPr>
        <w:t>石柱县噪声敏感建筑物集中区域划分</w:t>
      </w:r>
      <w:bookmarkEnd w:id="2"/>
      <w:r>
        <w:rPr>
          <w:rFonts w:ascii="Times New Roman" w:hAnsi="Times New Roman" w:eastAsia="方正小标宋_GBK" w:cs="Times New Roman"/>
          <w:snapToGrid w:val="0"/>
          <w:color w:val="000000"/>
          <w:kern w:val="2"/>
          <w:sz w:val="48"/>
          <w:szCs w:val="48"/>
          <w:lang w:eastAsia="zh-CN" w:bidi="ar"/>
        </w:rPr>
        <w:t>方案</w:t>
      </w:r>
    </w:p>
    <w:p w14:paraId="1A8C2D6B">
      <w:pPr>
        <w:widowControl w:val="0"/>
        <w:kinsoku/>
        <w:autoSpaceDE/>
        <w:autoSpaceDN/>
        <w:adjustRightInd/>
        <w:snapToGrid/>
        <w:spacing w:line="550" w:lineRule="exact"/>
        <w:jc w:val="center"/>
        <w:textAlignment w:val="auto"/>
        <w:rPr>
          <w:rFonts w:ascii="Times New Roman" w:hAnsi="Times New Roman" w:eastAsia="方正小标宋_GBK" w:cs="Times New Roman"/>
          <w:snapToGrid w:val="0"/>
          <w:color w:val="000000"/>
          <w:kern w:val="2"/>
          <w:sz w:val="48"/>
          <w:szCs w:val="48"/>
          <w:lang w:eastAsia="zh-CN" w:bidi="ar"/>
        </w:rPr>
      </w:pPr>
    </w:p>
    <w:p w14:paraId="600EE0F9">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为贯彻落实《中华人民共和国噪声污染防治法》《重庆市噪声污染防治办法》等划定噪声敏感建筑物集中区域有关要求，进一步</w:t>
      </w:r>
      <w:r>
        <w:rPr>
          <w:rFonts w:hint="eastAsia" w:ascii="Times New Roman" w:hAnsi="Times New Roman" w:eastAsia="方正仿宋_GBK" w:cs="Times New Roman"/>
          <w:snapToGrid w:val="0"/>
          <w:kern w:val="2"/>
          <w:sz w:val="32"/>
          <w:szCs w:val="32"/>
          <w:lang w:eastAsia="zh-CN"/>
        </w:rPr>
        <w:t>做好辖区内</w:t>
      </w:r>
      <w:r>
        <w:rPr>
          <w:rFonts w:ascii="Times New Roman" w:hAnsi="Times New Roman" w:eastAsia="方正仿宋_GBK" w:cs="Times New Roman"/>
          <w:snapToGrid w:val="0"/>
          <w:kern w:val="2"/>
          <w:sz w:val="32"/>
          <w:szCs w:val="32"/>
          <w:lang w:eastAsia="zh-CN"/>
        </w:rPr>
        <w:t>噪声敏感建筑物集中区域噪声污染防治工作，按照《重庆市噪声敏感建筑物集中区域划分技术规范实施细则（试行）》（渝环发〔2023〕106号）等文件规定，结合《石柱县声环境功能区划调整方案》和石柱县土地利用现状、国土空间规划等，编制本方案。</w:t>
      </w:r>
    </w:p>
    <w:p w14:paraId="5CD1EE9E">
      <w:pPr>
        <w:pStyle w:val="7"/>
        <w:widowControl w:val="0"/>
        <w:kinsoku/>
        <w:autoSpaceDE/>
        <w:autoSpaceDN/>
        <w:adjustRightInd/>
        <w:snapToGrid/>
        <w:spacing w:before="0" w:beforeAutospacing="0" w:after="0" w:afterAutospacing="0" w:line="550" w:lineRule="exact"/>
        <w:ind w:firstLine="637" w:firstLineChars="150"/>
        <w:textAlignment w:val="auto"/>
        <w:rPr>
          <w:rFonts w:eastAsia="方正黑体_GBK"/>
          <w:b w:val="0"/>
          <w:bCs w:val="0"/>
          <w:snapToGrid w:val="0"/>
          <w:kern w:val="2"/>
          <w:sz w:val="32"/>
          <w:szCs w:val="32"/>
        </w:rPr>
      </w:pPr>
      <w:bookmarkStart w:id="3" w:name="_Toc5628"/>
      <w:bookmarkStart w:id="4" w:name="_Toc5459"/>
      <w:r>
        <w:rPr>
          <w:rFonts w:eastAsia="方正黑体_GBK"/>
          <w:b w:val="0"/>
          <w:bCs w:val="0"/>
          <w:snapToGrid w:val="0"/>
          <w:kern w:val="2"/>
          <w:sz w:val="32"/>
          <w:szCs w:val="32"/>
        </w:rPr>
        <w:t>一、指导思想</w:t>
      </w:r>
      <w:bookmarkEnd w:id="3"/>
      <w:bookmarkEnd w:id="4"/>
    </w:p>
    <w:p w14:paraId="4B54910B">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bookmarkStart w:id="5" w:name="_Toc25583"/>
      <w:r>
        <w:rPr>
          <w:rFonts w:ascii="Times New Roman" w:hAnsi="Times New Roman" w:eastAsia="方正仿宋_GBK" w:cs="Times New Roman"/>
          <w:snapToGrid w:val="0"/>
          <w:kern w:val="2"/>
          <w:sz w:val="32"/>
          <w:szCs w:val="32"/>
          <w:lang w:eastAsia="zh-CN"/>
        </w:rPr>
        <w:t>以习近平新时代中国特色社会主义思想为指导，全面贯彻党的二十大精神，深学笃用习近平生态文明思想，认真贯彻习近平总书记关于推动长江经济带发展的重要讲话和重要指示批示精神，全面落实全国生态环境保护大会部署，完整、准确、全面贯彻新发展理念，坚持共抓大保护、不搞大开发，坚持生态优先、绿色发展，以高水平保护推动高质量发展，持续巩固长江上游重要生态屏障，以改善石柱县生态环境质量为核心，不断改善城市声环境质量，努力建设宁静舒适的城市环境。</w:t>
      </w:r>
    </w:p>
    <w:p w14:paraId="7B4C3FA2">
      <w:pPr>
        <w:pStyle w:val="7"/>
        <w:widowControl w:val="0"/>
        <w:kinsoku/>
        <w:autoSpaceDE/>
        <w:autoSpaceDN/>
        <w:adjustRightInd/>
        <w:snapToGrid/>
        <w:spacing w:before="0" w:beforeAutospacing="0" w:after="0" w:afterAutospacing="0" w:line="550" w:lineRule="exact"/>
        <w:ind w:firstLine="637" w:firstLineChars="150"/>
        <w:textAlignment w:val="auto"/>
        <w:rPr>
          <w:rFonts w:eastAsia="方正黑体_GBK"/>
          <w:b w:val="0"/>
          <w:bCs w:val="0"/>
          <w:snapToGrid w:val="0"/>
          <w:kern w:val="2"/>
          <w:sz w:val="32"/>
          <w:szCs w:val="32"/>
        </w:rPr>
      </w:pPr>
      <w:bookmarkStart w:id="6" w:name="_Toc24592"/>
      <w:r>
        <w:rPr>
          <w:rFonts w:eastAsia="方正黑体_GBK"/>
          <w:b w:val="0"/>
          <w:bCs w:val="0"/>
          <w:snapToGrid w:val="0"/>
          <w:kern w:val="2"/>
          <w:sz w:val="32"/>
          <w:szCs w:val="32"/>
        </w:rPr>
        <w:t>二、基本原则</w:t>
      </w:r>
      <w:bookmarkEnd w:id="5"/>
      <w:bookmarkEnd w:id="6"/>
    </w:p>
    <w:p w14:paraId="0953ECBD">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7" w:name="_Toc26013"/>
      <w:r>
        <w:rPr>
          <w:rFonts w:ascii="Times New Roman" w:hAnsi="Times New Roman" w:eastAsia="方正楷体_GBK"/>
          <w:b w:val="0"/>
          <w:snapToGrid w:val="0"/>
        </w:rPr>
        <w:t>（一）坚持依法划分</w:t>
      </w:r>
      <w:bookmarkEnd w:id="7"/>
    </w:p>
    <w:p w14:paraId="44CFF75E">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根据国家法律、法规和规章、技术标准科学划分噪声敏感建筑物集中区域，以城市实际建成情况现状为基础，结合国土空间规划、土地利用类型进行划定，切实维护噪声敏感建筑物集中区域划分的严肃性。</w:t>
      </w:r>
    </w:p>
    <w:p w14:paraId="47279812">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8" w:name="_Toc29274"/>
      <w:r>
        <w:rPr>
          <w:rFonts w:ascii="Times New Roman" w:hAnsi="Times New Roman" w:eastAsia="方正楷体_GBK"/>
          <w:b w:val="0"/>
          <w:snapToGrid w:val="0"/>
        </w:rPr>
        <w:t>（二）坚持以人为本</w:t>
      </w:r>
      <w:bookmarkEnd w:id="8"/>
    </w:p>
    <w:p w14:paraId="521404AF">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顺应人民群众对宁静宜居生活的向往，将以用于居住、科学研究、医疗卫生、文化教育、机关团体办公、社会福利等的建筑物为主的区域，划定为噪声敏感建筑物集中区域，加强噪声污染防治</w:t>
      </w:r>
      <w:r>
        <w:rPr>
          <w:rFonts w:hint="eastAsia" w:ascii="Times New Roman" w:hAnsi="Times New Roman" w:eastAsia="方正仿宋_GBK" w:cs="Times New Roman"/>
          <w:snapToGrid w:val="0"/>
          <w:kern w:val="2"/>
          <w:sz w:val="32"/>
          <w:szCs w:val="32"/>
          <w:lang w:eastAsia="zh-CN"/>
        </w:rPr>
        <w:t>，</w:t>
      </w:r>
      <w:r>
        <w:rPr>
          <w:rFonts w:ascii="Times New Roman" w:hAnsi="Times New Roman" w:eastAsia="方正仿宋_GBK" w:cs="Times New Roman"/>
          <w:snapToGrid w:val="0"/>
          <w:kern w:val="2"/>
          <w:sz w:val="32"/>
          <w:szCs w:val="32"/>
          <w:lang w:eastAsia="zh-CN"/>
        </w:rPr>
        <w:t>提高城市宜居生活水平。</w:t>
      </w:r>
    </w:p>
    <w:p w14:paraId="6A895B90">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9" w:name="_Toc18407"/>
      <w:r>
        <w:rPr>
          <w:rFonts w:ascii="Times New Roman" w:hAnsi="Times New Roman" w:eastAsia="方正楷体_GBK"/>
          <w:b w:val="0"/>
          <w:snapToGrid w:val="0"/>
        </w:rPr>
        <w:t>（三）坚持统筹兼顾</w:t>
      </w:r>
      <w:bookmarkEnd w:id="9"/>
    </w:p>
    <w:p w14:paraId="7388ED17">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以石柱县国土空间规划为指导，衔接《石柱县声环境功能区划调整方案》，结合石柱县城区用地现状，综合考虑噪声敏感建筑物占地面积、噪声污染影响范围和程度、周边噪声敏感建筑物对声环境质量的改善需求，因地制宜、统筹兼顾，合理划定噪声敏感建筑物集中区域。</w:t>
      </w:r>
    </w:p>
    <w:p w14:paraId="0E09E230">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10" w:name="_Toc6181"/>
      <w:r>
        <w:rPr>
          <w:rFonts w:ascii="Times New Roman" w:hAnsi="Times New Roman" w:eastAsia="方正楷体_GBK"/>
          <w:b w:val="0"/>
          <w:snapToGrid w:val="0"/>
        </w:rPr>
        <w:t>（四）坚持务实管用</w:t>
      </w:r>
      <w:bookmarkEnd w:id="10"/>
    </w:p>
    <w:p w14:paraId="04921480">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明确噪声敏感建筑物集中区域地理边界、坐标，将噪声敏感建筑物集中区域落地、上图、入库，力求“划得实，管得住”，使噪声敏感建筑物集中区域划分成为噪声监管、噪声污染防治的重要参考，切实增强保护实效。</w:t>
      </w:r>
    </w:p>
    <w:p w14:paraId="35DB2398">
      <w:pPr>
        <w:pStyle w:val="7"/>
        <w:widowControl w:val="0"/>
        <w:kinsoku/>
        <w:autoSpaceDE/>
        <w:autoSpaceDN/>
        <w:adjustRightInd/>
        <w:snapToGrid/>
        <w:spacing w:before="0" w:beforeAutospacing="0" w:after="0" w:afterAutospacing="0" w:line="550" w:lineRule="exact"/>
        <w:ind w:firstLine="637" w:firstLineChars="150"/>
        <w:textAlignment w:val="auto"/>
        <w:rPr>
          <w:rFonts w:eastAsia="方正黑体_GBK"/>
          <w:b w:val="0"/>
          <w:bCs w:val="0"/>
          <w:snapToGrid w:val="0"/>
          <w:kern w:val="2"/>
          <w:sz w:val="32"/>
          <w:szCs w:val="32"/>
        </w:rPr>
      </w:pPr>
      <w:bookmarkStart w:id="11" w:name="_Toc31162"/>
      <w:bookmarkStart w:id="12" w:name="_Toc10281"/>
      <w:r>
        <w:rPr>
          <w:rFonts w:eastAsia="方正黑体_GBK"/>
          <w:b w:val="0"/>
          <w:bCs w:val="0"/>
          <w:snapToGrid w:val="0"/>
          <w:kern w:val="2"/>
          <w:sz w:val="32"/>
          <w:szCs w:val="32"/>
        </w:rPr>
        <w:t>三、划分依据</w:t>
      </w:r>
      <w:bookmarkEnd w:id="11"/>
      <w:bookmarkEnd w:id="12"/>
    </w:p>
    <w:p w14:paraId="63E2FC22">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13" w:name="_Toc23444"/>
      <w:bookmarkStart w:id="14" w:name="_Toc58094811"/>
      <w:r>
        <w:rPr>
          <w:rFonts w:ascii="Times New Roman" w:hAnsi="Times New Roman" w:eastAsia="方正楷体_GBK"/>
          <w:b w:val="0"/>
          <w:snapToGrid w:val="0"/>
        </w:rPr>
        <w:t>（一）法律法规和政府规章</w:t>
      </w:r>
      <w:bookmarkEnd w:id="13"/>
    </w:p>
    <w:p w14:paraId="1FDB16C1">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1.</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《中华人民共和国环境保护法》；</w:t>
      </w:r>
    </w:p>
    <w:p w14:paraId="00262160">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2.</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《中华人民共和国城乡规划法》；</w:t>
      </w:r>
    </w:p>
    <w:p w14:paraId="4F3F53F4">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3.</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《中华人民共和国噪声污染防治法》；</w:t>
      </w:r>
    </w:p>
    <w:p w14:paraId="17F8A855">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4.</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《重庆市环境保护条例》；</w:t>
      </w:r>
    </w:p>
    <w:p w14:paraId="4FF7D793">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5.</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《重庆市噪声污染防治办法》（重庆市人民政府令第363号）；</w:t>
      </w:r>
    </w:p>
    <w:p w14:paraId="5D34B817">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hint="eastAsia" w:ascii="Times New Roman" w:hAnsi="Times New Roman" w:eastAsia="方正仿宋_GBK" w:cs="Times New Roman"/>
          <w:snapToGrid w:val="0"/>
          <w:kern w:val="2"/>
          <w:sz w:val="32"/>
          <w:szCs w:val="32"/>
          <w:lang w:eastAsia="zh-CN"/>
        </w:rPr>
        <w:t xml:space="preserve">6. </w:t>
      </w:r>
      <w:r>
        <w:rPr>
          <w:rFonts w:ascii="Times New Roman" w:hAnsi="Times New Roman" w:eastAsia="方正仿宋_GBK" w:cs="Times New Roman"/>
          <w:snapToGrid w:val="0"/>
          <w:kern w:val="2"/>
          <w:sz w:val="32"/>
          <w:szCs w:val="32"/>
          <w:lang w:eastAsia="zh-CN"/>
        </w:rPr>
        <w:t>《环境监管重点单位名录管理办法》（生态环境部令第27号）</w:t>
      </w:r>
      <w:r>
        <w:rPr>
          <w:rFonts w:hint="eastAsia" w:ascii="Times New Roman" w:hAnsi="Times New Roman" w:eastAsia="方正仿宋_GBK" w:cs="Times New Roman"/>
          <w:snapToGrid w:val="0"/>
          <w:kern w:val="2"/>
          <w:sz w:val="32"/>
          <w:szCs w:val="32"/>
          <w:lang w:eastAsia="zh-CN"/>
        </w:rPr>
        <w:t>。</w:t>
      </w:r>
    </w:p>
    <w:p w14:paraId="783E6BA8">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15" w:name="_Toc9695"/>
      <w:bookmarkStart w:id="16" w:name="_Toc20406_WPSOffice_Level3"/>
      <w:bookmarkStart w:id="17" w:name="_Toc6015_WPSOffice_Level3"/>
      <w:bookmarkStart w:id="18" w:name="_Toc21468_WPSOffice_Level3"/>
      <w:r>
        <w:rPr>
          <w:rFonts w:ascii="Times New Roman" w:hAnsi="Times New Roman" w:eastAsia="方正楷体_GBK"/>
          <w:b w:val="0"/>
          <w:snapToGrid w:val="0"/>
        </w:rPr>
        <w:t>（二）技术规范和标准</w:t>
      </w:r>
      <w:bookmarkEnd w:id="15"/>
      <w:bookmarkEnd w:id="16"/>
      <w:bookmarkEnd w:id="17"/>
      <w:bookmarkEnd w:id="18"/>
    </w:p>
    <w:p w14:paraId="38BE20B0">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bookmarkStart w:id="19" w:name="_Toc9525_WPSOffice_Level3"/>
      <w:bookmarkStart w:id="20" w:name="_Toc29513_WPSOffice_Level3"/>
      <w:bookmarkStart w:id="21" w:name="_Toc14670_WPSOffice_Level3"/>
      <w:r>
        <w:rPr>
          <w:rFonts w:ascii="Times New Roman" w:hAnsi="Times New Roman" w:eastAsia="方正仿宋_GBK" w:cs="Times New Roman"/>
          <w:snapToGrid w:val="0"/>
          <w:kern w:val="2"/>
          <w:sz w:val="32"/>
          <w:szCs w:val="32"/>
          <w:lang w:eastAsia="zh-CN"/>
        </w:rPr>
        <w:t>1.</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《声环境质量标准》（GB</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3096-2008）；</w:t>
      </w:r>
    </w:p>
    <w:p w14:paraId="44161824">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2.</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《声环境功能区划分技术规范》（GB/T</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15190-2014）；</w:t>
      </w:r>
    </w:p>
    <w:p w14:paraId="4F8A81FE">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3.</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《重庆市噪声敏感建筑物集中区域划分技术规范实施细则（试行）》（渝环发〔2023〕106号）。</w:t>
      </w:r>
    </w:p>
    <w:p w14:paraId="5060DBB4">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22" w:name="_Toc11405"/>
      <w:r>
        <w:rPr>
          <w:rFonts w:ascii="Times New Roman" w:hAnsi="Times New Roman" w:eastAsia="方正楷体_GBK"/>
          <w:b w:val="0"/>
          <w:snapToGrid w:val="0"/>
        </w:rPr>
        <w:t>（三）其他政策文件</w:t>
      </w:r>
      <w:bookmarkEnd w:id="19"/>
      <w:bookmarkEnd w:id="20"/>
      <w:bookmarkEnd w:id="21"/>
      <w:r>
        <w:rPr>
          <w:rFonts w:ascii="Times New Roman" w:hAnsi="Times New Roman" w:eastAsia="方正楷体_GBK"/>
          <w:b w:val="0"/>
          <w:snapToGrid w:val="0"/>
        </w:rPr>
        <w:t>及资料</w:t>
      </w:r>
      <w:bookmarkEnd w:id="22"/>
    </w:p>
    <w:p w14:paraId="14A9CDC6">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1.</w:t>
      </w:r>
      <w:bookmarkEnd w:id="14"/>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《石柱县声环境功能区划调整方案》（石柱府办发〔2018〕132号）；</w:t>
      </w:r>
    </w:p>
    <w:p w14:paraId="59A5E6AA">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2.</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《重庆市石柱土家族自治县国土空间总体规划 （2021-2035年）》；</w:t>
      </w:r>
    </w:p>
    <w:p w14:paraId="2439E960">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3.</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《重庆市石柱土家族自治县生态环境质量报告（2023年）》。</w:t>
      </w:r>
      <w:bookmarkStart w:id="40" w:name="_GoBack"/>
      <w:bookmarkEnd w:id="40"/>
    </w:p>
    <w:p w14:paraId="43CE5255">
      <w:pPr>
        <w:pStyle w:val="7"/>
        <w:widowControl w:val="0"/>
        <w:kinsoku/>
        <w:autoSpaceDE/>
        <w:autoSpaceDN/>
        <w:adjustRightInd/>
        <w:snapToGrid/>
        <w:spacing w:before="0" w:beforeAutospacing="0" w:after="0" w:afterAutospacing="0" w:line="550" w:lineRule="exact"/>
        <w:ind w:firstLine="637" w:firstLineChars="150"/>
        <w:textAlignment w:val="auto"/>
        <w:rPr>
          <w:rFonts w:eastAsia="方正黑体_GBK"/>
          <w:b w:val="0"/>
          <w:bCs w:val="0"/>
          <w:snapToGrid w:val="0"/>
          <w:kern w:val="2"/>
          <w:sz w:val="32"/>
          <w:szCs w:val="32"/>
        </w:rPr>
      </w:pPr>
      <w:bookmarkStart w:id="23" w:name="_Toc735"/>
      <w:bookmarkStart w:id="24" w:name="_Toc28230"/>
      <w:r>
        <w:rPr>
          <w:rFonts w:eastAsia="方正黑体_GBK"/>
          <w:b w:val="0"/>
          <w:bCs w:val="0"/>
          <w:snapToGrid w:val="0"/>
          <w:kern w:val="2"/>
          <w:sz w:val="32"/>
          <w:szCs w:val="32"/>
        </w:rPr>
        <w:t>四、适用分范围</w:t>
      </w:r>
      <w:bookmarkEnd w:id="23"/>
      <w:bookmarkEnd w:id="24"/>
    </w:p>
    <w:p w14:paraId="6E7E1232">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本次噪声敏感建筑物集中区域划分范围依据《石柱县声环境功能区划调整方案》确定的石柱县中心城区范围进行划分，适用于石柱县南宾街道、万安街道、下路街道。</w:t>
      </w:r>
    </w:p>
    <w:p w14:paraId="23DFA6D9">
      <w:pPr>
        <w:pStyle w:val="7"/>
        <w:widowControl w:val="0"/>
        <w:kinsoku/>
        <w:autoSpaceDE/>
        <w:autoSpaceDN/>
        <w:adjustRightInd/>
        <w:snapToGrid/>
        <w:spacing w:before="0" w:beforeAutospacing="0" w:after="0" w:afterAutospacing="0" w:line="550" w:lineRule="exact"/>
        <w:ind w:firstLine="637" w:firstLineChars="150"/>
        <w:textAlignment w:val="auto"/>
        <w:rPr>
          <w:rFonts w:eastAsia="方正黑体_GBK"/>
          <w:b w:val="0"/>
          <w:bCs w:val="0"/>
          <w:snapToGrid w:val="0"/>
          <w:kern w:val="2"/>
          <w:sz w:val="32"/>
          <w:szCs w:val="32"/>
        </w:rPr>
      </w:pPr>
      <w:bookmarkStart w:id="25" w:name="_Toc27536"/>
      <w:bookmarkStart w:id="26" w:name="_Toc21631"/>
      <w:r>
        <w:rPr>
          <w:rFonts w:eastAsia="方正黑体_GBK"/>
          <w:b w:val="0"/>
          <w:bCs w:val="0"/>
          <w:snapToGrid w:val="0"/>
          <w:kern w:val="2"/>
          <w:sz w:val="32"/>
          <w:szCs w:val="32"/>
        </w:rPr>
        <w:t>五、划分基准年及年限</w:t>
      </w:r>
      <w:bookmarkEnd w:id="25"/>
      <w:bookmarkEnd w:id="26"/>
    </w:p>
    <w:p w14:paraId="6FFD5DF8">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区划基准年为2024年，原则上不超过五年调整一次。</w:t>
      </w:r>
    </w:p>
    <w:p w14:paraId="49F36E73">
      <w:pPr>
        <w:pStyle w:val="7"/>
        <w:widowControl w:val="0"/>
        <w:kinsoku/>
        <w:autoSpaceDE/>
        <w:autoSpaceDN/>
        <w:adjustRightInd/>
        <w:snapToGrid/>
        <w:spacing w:before="0" w:beforeAutospacing="0" w:after="0" w:afterAutospacing="0" w:line="550" w:lineRule="exact"/>
        <w:ind w:firstLine="637" w:firstLineChars="150"/>
        <w:textAlignment w:val="auto"/>
        <w:rPr>
          <w:rFonts w:eastAsia="方正黑体_GBK"/>
          <w:b w:val="0"/>
          <w:bCs w:val="0"/>
          <w:snapToGrid w:val="0"/>
          <w:kern w:val="2"/>
          <w:sz w:val="32"/>
          <w:szCs w:val="32"/>
        </w:rPr>
      </w:pPr>
      <w:bookmarkStart w:id="27" w:name="_Toc22932"/>
      <w:bookmarkStart w:id="28" w:name="_Toc25062"/>
      <w:r>
        <w:rPr>
          <w:rFonts w:eastAsia="方正黑体_GBK"/>
          <w:b w:val="0"/>
          <w:bCs w:val="0"/>
          <w:snapToGrid w:val="0"/>
          <w:kern w:val="2"/>
          <w:sz w:val="32"/>
          <w:szCs w:val="32"/>
        </w:rPr>
        <w:t>六、划分结果</w:t>
      </w:r>
      <w:bookmarkEnd w:id="27"/>
      <w:bookmarkEnd w:id="28"/>
    </w:p>
    <w:p w14:paraId="264AF6D8">
      <w:pPr>
        <w:pStyle w:val="8"/>
        <w:keepNext w:val="0"/>
        <w:keepLines w:val="0"/>
        <w:kinsoku/>
        <w:autoSpaceDE/>
        <w:autoSpaceDN/>
        <w:adjustRightInd w:val="0"/>
        <w:snapToGrid w:val="0"/>
        <w:spacing w:before="0" w:after="0" w:line="550" w:lineRule="exact"/>
        <w:ind w:firstLine="637" w:firstLineChars="150"/>
        <w:textAlignment w:val="auto"/>
        <w:rPr>
          <w:rFonts w:ascii="方正楷体_GBK" w:hAnsi="宋体" w:eastAsia="方正楷体_GBK" w:cs="宋体"/>
          <w:b w:val="0"/>
          <w:bCs w:val="0"/>
          <w:snapToGrid w:val="0"/>
        </w:rPr>
      </w:pPr>
      <w:bookmarkStart w:id="29" w:name="_Toc13639"/>
      <w:bookmarkStart w:id="30" w:name="_Hlk128664021"/>
      <w:r>
        <w:rPr>
          <w:rFonts w:ascii="方正楷体_GBK" w:hAnsi="宋体" w:eastAsia="方正楷体_GBK" w:cs="宋体"/>
          <w:b w:val="0"/>
          <w:bCs w:val="0"/>
          <w:snapToGrid w:val="0"/>
        </w:rPr>
        <w:t>（一）噪声敏感建筑物集中区域</w:t>
      </w:r>
      <w:bookmarkEnd w:id="29"/>
    </w:p>
    <w:p w14:paraId="780FFA90">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bookmarkStart w:id="31" w:name="_Hlk131589794"/>
      <w:r>
        <w:rPr>
          <w:rFonts w:ascii="Times New Roman" w:hAnsi="Times New Roman" w:eastAsia="方正仿宋_GBK" w:cs="Times New Roman"/>
          <w:snapToGrid w:val="0"/>
          <w:kern w:val="2"/>
          <w:sz w:val="32"/>
          <w:szCs w:val="32"/>
          <w:lang w:eastAsia="zh-CN"/>
        </w:rPr>
        <w:t>本次石柱县噪声敏感建筑物集中区域划分以《石柱县声环境功能区划调整方案》声功能区划分边界为划定范围，以石柱县行政区边界、国土空间规划和遥感影像为参照，结合用地用海现状及实际情况综合划定。全县共划定噪声敏感建筑物集中区域16个，面积共计4.88km</w:t>
      </w:r>
      <w:r>
        <w:rPr>
          <w:rFonts w:ascii="Times New Roman" w:hAnsi="Times New Roman" w:eastAsia="方正仿宋_GBK" w:cs="Times New Roman"/>
          <w:snapToGrid w:val="0"/>
          <w:kern w:val="2"/>
          <w:sz w:val="32"/>
          <w:szCs w:val="32"/>
          <w:vertAlign w:val="superscript"/>
          <w:lang w:eastAsia="zh-CN"/>
        </w:rPr>
        <w:t>2</w:t>
      </w:r>
      <w:r>
        <w:rPr>
          <w:rFonts w:ascii="Times New Roman" w:hAnsi="Times New Roman" w:eastAsia="方正仿宋_GBK" w:cs="Times New Roman"/>
          <w:snapToGrid w:val="0"/>
          <w:kern w:val="2"/>
          <w:sz w:val="32"/>
          <w:szCs w:val="32"/>
          <w:lang w:eastAsia="zh-CN"/>
        </w:rPr>
        <w:t>，见附件1和附件2。</w:t>
      </w:r>
      <w:bookmarkStart w:id="32" w:name="_Toc29984"/>
    </w:p>
    <w:p w14:paraId="0D99D39F">
      <w:pPr>
        <w:pStyle w:val="8"/>
        <w:keepNext w:val="0"/>
        <w:keepLines w:val="0"/>
        <w:kinsoku/>
        <w:autoSpaceDE/>
        <w:autoSpaceDN/>
        <w:adjustRightInd w:val="0"/>
        <w:snapToGrid w:val="0"/>
        <w:spacing w:before="0" w:after="0" w:line="550" w:lineRule="exact"/>
        <w:ind w:firstLine="637" w:firstLineChars="150"/>
        <w:textAlignment w:val="auto"/>
        <w:rPr>
          <w:rFonts w:ascii="Times New Roman" w:hAnsi="Times New Roman" w:eastAsia="方正楷体_GBK"/>
          <w:b w:val="0"/>
          <w:snapToGrid w:val="0"/>
        </w:rPr>
      </w:pPr>
      <w:bookmarkStart w:id="33" w:name="_Toc27332"/>
      <w:r>
        <w:rPr>
          <w:rFonts w:ascii="Times New Roman" w:hAnsi="Times New Roman" w:eastAsia="方正楷体_GBK"/>
          <w:b w:val="0"/>
          <w:snapToGrid w:val="0"/>
        </w:rPr>
        <w:t>（二）噪声敏感建筑物临时扩展区</w:t>
      </w:r>
      <w:bookmarkEnd w:id="33"/>
    </w:p>
    <w:p w14:paraId="565188C1">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依据《重庆市噪声敏感建筑物集中区域划分技术规范实施细则（试行）》，噪声敏感建筑物集中区域周边直线200米范围内，或根据实际情况进行优化确定的范围内，如存在一定规模的建筑施工工地，则该范围自动划为噪声敏感建筑物临时扩展区，并按照噪声敏感建筑物集中区有关要求进行管理。若建筑施工工地采用有效降低噪声的施工工艺、设备等措施，或建筑施工工地完成施工，噪声敏感建筑物不再受建筑施工噪声影响，噪声敏感建筑物临时扩展区自动取消。</w:t>
      </w:r>
    </w:p>
    <w:p w14:paraId="182619BD">
      <w:pPr>
        <w:pStyle w:val="7"/>
        <w:widowControl w:val="0"/>
        <w:kinsoku/>
        <w:autoSpaceDE/>
        <w:autoSpaceDN/>
        <w:adjustRightInd/>
        <w:snapToGrid/>
        <w:spacing w:before="0" w:beforeAutospacing="0" w:after="0" w:afterAutospacing="0" w:line="550" w:lineRule="exact"/>
        <w:ind w:firstLine="637" w:firstLineChars="150"/>
        <w:textAlignment w:val="auto"/>
        <w:rPr>
          <w:rFonts w:eastAsia="方正黑体_GBK"/>
          <w:b w:val="0"/>
          <w:bCs w:val="0"/>
          <w:snapToGrid w:val="0"/>
          <w:kern w:val="2"/>
          <w:sz w:val="32"/>
          <w:szCs w:val="32"/>
        </w:rPr>
      </w:pPr>
      <w:bookmarkStart w:id="34" w:name="_Toc5183"/>
      <w:r>
        <w:rPr>
          <w:rFonts w:eastAsia="方正黑体_GBK"/>
          <w:b w:val="0"/>
          <w:bCs w:val="0"/>
          <w:snapToGrid w:val="0"/>
          <w:kern w:val="2"/>
          <w:sz w:val="32"/>
          <w:szCs w:val="32"/>
        </w:rPr>
        <w:t>七、监督管理</w:t>
      </w:r>
      <w:bookmarkEnd w:id="34"/>
    </w:p>
    <w:p w14:paraId="18F7B97F">
      <w:pPr>
        <w:pStyle w:val="7"/>
        <w:widowControl w:val="0"/>
        <w:kinsoku/>
        <w:autoSpaceDE/>
        <w:autoSpaceDN/>
        <w:adjustRightInd/>
        <w:snapToGrid/>
        <w:spacing w:before="0" w:beforeAutospacing="0" w:after="0" w:afterAutospacing="0" w:line="550" w:lineRule="exact"/>
        <w:ind w:firstLine="637" w:firstLineChars="150"/>
        <w:textAlignment w:val="auto"/>
        <w:rPr>
          <w:rFonts w:hint="eastAsia" w:ascii="方正楷体_GBK" w:eastAsia="方正楷体_GBK"/>
          <w:b w:val="0"/>
          <w:bCs w:val="0"/>
          <w:snapToGrid w:val="0"/>
          <w:kern w:val="2"/>
          <w:sz w:val="32"/>
          <w:szCs w:val="32"/>
        </w:rPr>
      </w:pPr>
      <w:bookmarkStart w:id="35" w:name="_Toc3820"/>
      <w:r>
        <w:rPr>
          <w:rFonts w:hint="eastAsia" w:ascii="方正楷体_GBK" w:eastAsia="方正楷体_GBK"/>
          <w:b w:val="0"/>
          <w:bCs w:val="0"/>
          <w:snapToGrid w:val="0"/>
          <w:kern w:val="2"/>
          <w:sz w:val="32"/>
          <w:szCs w:val="32"/>
        </w:rPr>
        <w:t>（一）明确职责分工</w:t>
      </w:r>
      <w:bookmarkEnd w:id="35"/>
    </w:p>
    <w:p w14:paraId="5110E779">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根据《重庆市噪声污染防治办法》《重庆市噪声污染防治实施方案（2024—2025年）》，生态环境部门对本行政区域内的噪声污染防治实施统一监督管理，发展改革、经济信息、公安、规划自然资源、住房城乡建设、城市管理、交通、文化旅游、海事、铁路监督管理、民用航空等部门，在各自职责范围内对噪声污染防治实施监督管理。</w:t>
      </w:r>
      <w:r>
        <w:rPr>
          <w:rFonts w:hint="eastAsia" w:ascii="Times New Roman" w:hAnsi="Times New Roman" w:eastAsia="方正仿宋_GBK" w:cs="Times New Roman"/>
          <w:snapToGrid w:val="0"/>
          <w:kern w:val="2"/>
          <w:sz w:val="32"/>
          <w:szCs w:val="32"/>
          <w:lang w:eastAsia="zh-CN"/>
        </w:rPr>
        <w:t>基层群众性自治组织应当协助人民政府及其有关部门做好噪声污染防治工作。</w:t>
      </w:r>
    </w:p>
    <w:p w14:paraId="4955D9F0">
      <w:pPr>
        <w:pStyle w:val="7"/>
        <w:widowControl w:val="0"/>
        <w:kinsoku/>
        <w:autoSpaceDE/>
        <w:autoSpaceDN/>
        <w:adjustRightInd/>
        <w:snapToGrid/>
        <w:spacing w:before="0" w:beforeAutospacing="0" w:after="0" w:afterAutospacing="0" w:line="550" w:lineRule="exact"/>
        <w:ind w:firstLine="637" w:firstLineChars="150"/>
        <w:textAlignment w:val="auto"/>
        <w:rPr>
          <w:rFonts w:ascii="方正楷体_GBK" w:eastAsia="方正楷体_GBK"/>
          <w:b w:val="0"/>
          <w:bCs w:val="0"/>
          <w:snapToGrid w:val="0"/>
          <w:kern w:val="2"/>
          <w:sz w:val="32"/>
          <w:szCs w:val="32"/>
        </w:rPr>
      </w:pPr>
      <w:bookmarkStart w:id="36" w:name="_Toc31418"/>
      <w:r>
        <w:rPr>
          <w:rFonts w:ascii="方正楷体_GBK" w:eastAsia="方正楷体_GBK"/>
          <w:b w:val="0"/>
          <w:bCs w:val="0"/>
          <w:snapToGrid w:val="0"/>
          <w:kern w:val="2"/>
          <w:sz w:val="32"/>
          <w:szCs w:val="32"/>
        </w:rPr>
        <w:t>（二）强化监管执行</w:t>
      </w:r>
      <w:bookmarkEnd w:id="36"/>
    </w:p>
    <w:p w14:paraId="4C53E78E">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噪声敏感建筑物集中区域的管理按照《中华人民共和国噪声污染防治法》第十四条、第二十三条、第二十六条、第三十五条、第四十一条、第四十二条、第四十三条、第四十五条、第四十六条、第五十二条、第五十四条、第六十四条、第七十条、第七十三条、第七十四条、第七十七条、第七十八条、第八十二条、第八十八条等规定和《重庆市噪声污染防治办法》第四条、第五条、第七条、第八条、第十一条、第十四条、第十五条、第十七条、第十八条等规定执行。</w:t>
      </w:r>
    </w:p>
    <w:p w14:paraId="3736ABF5">
      <w:pPr>
        <w:pStyle w:val="7"/>
        <w:widowControl w:val="0"/>
        <w:kinsoku/>
        <w:autoSpaceDE/>
        <w:autoSpaceDN/>
        <w:adjustRightInd/>
        <w:snapToGrid/>
        <w:spacing w:before="0" w:beforeAutospacing="0" w:after="0" w:afterAutospacing="0" w:line="550" w:lineRule="exact"/>
        <w:ind w:firstLine="637" w:firstLineChars="150"/>
        <w:textAlignment w:val="auto"/>
        <w:rPr>
          <w:rFonts w:ascii="方正楷体_GBK" w:eastAsia="方正楷体_GBK"/>
          <w:b w:val="0"/>
          <w:bCs w:val="0"/>
          <w:snapToGrid w:val="0"/>
          <w:kern w:val="2"/>
          <w:sz w:val="32"/>
          <w:szCs w:val="32"/>
        </w:rPr>
      </w:pPr>
      <w:bookmarkStart w:id="37" w:name="_Toc8259"/>
      <w:r>
        <w:rPr>
          <w:rFonts w:ascii="方正楷体_GBK" w:eastAsia="方正楷体_GBK"/>
          <w:b w:val="0"/>
          <w:bCs w:val="0"/>
          <w:snapToGrid w:val="0"/>
          <w:kern w:val="2"/>
          <w:sz w:val="32"/>
          <w:szCs w:val="32"/>
        </w:rPr>
        <w:t>（三）加强宣传教育</w:t>
      </w:r>
      <w:bookmarkEnd w:id="37"/>
    </w:p>
    <w:p w14:paraId="33C1FD23">
      <w:pPr>
        <w:widowControl w:val="0"/>
        <w:kinsoku/>
        <w:autoSpaceDE/>
        <w:autoSpaceDN/>
        <w:adjustRightInd/>
        <w:snapToGrid/>
        <w:spacing w:line="550" w:lineRule="exact"/>
        <w:ind w:firstLine="637" w:firstLineChars="150"/>
        <w:jc w:val="both"/>
        <w:textAlignment w:val="auto"/>
        <w:rPr>
          <w:rFonts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鼓励公众参与，加强噪声敏感建筑物集中区域噪声污染防治宣教工作。以广播、电视、报刊、网络为载体，通过多种形式深入开展声环境保护方面的宣传教育，增强单位和公众保护声环境的意识，鼓励公众积极参与举报涉及噪声敏感建筑物集中区域声环境污染的违法事件，提高贯彻执行国家有关声环境保护法的自觉性。</w:t>
      </w:r>
    </w:p>
    <w:p w14:paraId="14F7576D">
      <w:pPr>
        <w:widowControl w:val="0"/>
        <w:kinsoku/>
        <w:autoSpaceDE/>
        <w:autoSpaceDN/>
        <w:adjustRightInd/>
        <w:snapToGrid/>
        <w:spacing w:line="550" w:lineRule="exact"/>
        <w:ind w:firstLine="472" w:firstLineChars="150"/>
        <w:jc w:val="both"/>
        <w:textAlignment w:val="auto"/>
        <w:rPr>
          <w:rFonts w:ascii="Times New Roman" w:hAnsi="Times New Roman" w:eastAsia="宋体" w:cs="Times New Roman"/>
          <w:snapToGrid w:val="0"/>
          <w:kern w:val="2"/>
          <w:szCs w:val="32"/>
          <w:lang w:eastAsia="zh-CN"/>
        </w:rPr>
      </w:pPr>
    </w:p>
    <w:p w14:paraId="01573EE9">
      <w:pPr>
        <w:widowControl w:val="0"/>
        <w:kinsoku/>
        <w:autoSpaceDE/>
        <w:autoSpaceDN/>
        <w:adjustRightInd/>
        <w:snapToGrid/>
        <w:spacing w:line="550" w:lineRule="exact"/>
        <w:ind w:firstLine="637" w:firstLineChars="150"/>
        <w:jc w:val="both"/>
        <w:textAlignment w:val="auto"/>
        <w:rPr>
          <w:rFonts w:hint="eastAsia" w:ascii="Times New Roman" w:hAnsi="Times New Roman" w:eastAsia="方正仿宋_GBK" w:cs="Times New Roman"/>
          <w:snapToGrid w:val="0"/>
          <w:kern w:val="2"/>
          <w:sz w:val="32"/>
          <w:szCs w:val="32"/>
          <w:lang w:eastAsia="zh-CN"/>
        </w:rPr>
      </w:pPr>
      <w:r>
        <w:rPr>
          <w:rFonts w:ascii="Times New Roman" w:hAnsi="Times New Roman" w:eastAsia="方正仿宋_GBK" w:cs="Times New Roman"/>
          <w:snapToGrid w:val="0"/>
          <w:kern w:val="2"/>
          <w:sz w:val="32"/>
          <w:szCs w:val="32"/>
          <w:lang w:eastAsia="zh-CN"/>
        </w:rPr>
        <w:t>附件：1.</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石柱县噪声敏感建筑物集中区域划分情况表</w:t>
      </w:r>
    </w:p>
    <w:p w14:paraId="1E32BFEB">
      <w:pPr>
        <w:spacing w:line="550" w:lineRule="exact"/>
        <w:ind w:firstLine="637" w:firstLineChars="150"/>
        <w:rPr>
          <w:rFonts w:eastAsia="方正仿宋_GBK"/>
          <w:snapToGrid w:val="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474" w:gutter="0"/>
          <w:pgBorders>
            <w:top w:val="none" w:sz="0" w:space="0"/>
            <w:left w:val="none" w:sz="0" w:space="0"/>
            <w:bottom w:val="none" w:sz="0" w:space="0"/>
            <w:right w:val="none" w:sz="0" w:space="0"/>
          </w:pgBorders>
          <w:pgNumType w:fmt="numberInDash" w:start="1"/>
          <w:cols w:space="720" w:num="1"/>
          <w:docGrid w:type="linesAndChars" w:linePitch="579" w:charSpace="21679"/>
        </w:sectPr>
      </w:pPr>
      <w:r>
        <w:rPr>
          <w:rFonts w:hint="eastAsia" w:ascii="Times New Roman" w:hAnsi="Times New Roman" w:eastAsia="方正仿宋_GBK" w:cs="Times New Roman"/>
          <w:snapToGrid w:val="0"/>
          <w:kern w:val="2"/>
          <w:sz w:val="32"/>
          <w:szCs w:val="32"/>
          <w:lang w:eastAsia="zh-CN"/>
        </w:rPr>
        <w:t xml:space="preserve">      2</w:t>
      </w:r>
      <w:r>
        <w:rPr>
          <w:rFonts w:ascii="Times New Roman" w:hAnsi="Times New Roman" w:eastAsia="方正仿宋_GBK" w:cs="Times New Roman"/>
          <w:snapToGrid w:val="0"/>
          <w:kern w:val="2"/>
          <w:sz w:val="32"/>
          <w:szCs w:val="32"/>
          <w:lang w:eastAsia="zh-CN"/>
        </w:rPr>
        <w:t>.</w:t>
      </w: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仿宋_GBK" w:cs="Times New Roman"/>
          <w:snapToGrid w:val="0"/>
          <w:kern w:val="2"/>
          <w:sz w:val="32"/>
          <w:szCs w:val="32"/>
          <w:lang w:eastAsia="zh-CN"/>
        </w:rPr>
        <w:t>石柱县噪声敏感建筑物集中区域划分范围</w:t>
      </w:r>
    </w:p>
    <w:bookmarkEnd w:id="30"/>
    <w:bookmarkEnd w:id="31"/>
    <w:bookmarkEnd w:id="32"/>
    <w:p w14:paraId="39B55A28">
      <w:pPr>
        <w:widowControl w:val="0"/>
        <w:snapToGrid w:val="0"/>
        <w:spacing w:before="0" w:beforeAutospacing="0" w:after="0" w:afterAutospacing="0" w:line="460" w:lineRule="exact"/>
        <w:jc w:val="left"/>
        <w:outlineLvl w:val="0"/>
        <w:rPr>
          <w:rFonts w:hint="eastAsia" w:ascii="黑体" w:hAnsi="黑体" w:eastAsia="黑体" w:cs="黑体"/>
          <w:b w:val="0"/>
          <w:bCs w:val="0"/>
          <w:snapToGrid w:val="0"/>
          <w:kern w:val="2"/>
          <w:sz w:val="32"/>
          <w:szCs w:val="32"/>
          <w:lang w:val="en-US" w:eastAsia="zh-CN" w:bidi="ar-SA"/>
        </w:rPr>
      </w:pPr>
      <w:bookmarkStart w:id="38" w:name="_Toc16255"/>
      <w:r>
        <w:rPr>
          <w:rFonts w:hint="eastAsia" w:ascii="黑体" w:hAnsi="黑体" w:eastAsia="黑体" w:cs="黑体"/>
          <w:b w:val="0"/>
          <w:bCs w:val="0"/>
          <w:snapToGrid w:val="0"/>
          <w:kern w:val="2"/>
          <w:sz w:val="32"/>
          <w:szCs w:val="32"/>
          <w:lang w:val="en-US" w:eastAsia="zh-CN" w:bidi="ar-SA"/>
        </w:rPr>
        <w:t>附件1</w:t>
      </w:r>
      <w:bookmarkEnd w:id="38"/>
    </w:p>
    <w:p w14:paraId="3B84472D">
      <w:pPr>
        <w:widowControl w:val="0"/>
        <w:snapToGrid w:val="0"/>
        <w:spacing w:before="0" w:beforeAutospacing="0" w:after="0" w:afterAutospacing="0" w:line="460" w:lineRule="exact"/>
        <w:jc w:val="center"/>
        <w:outlineLvl w:val="0"/>
        <w:rPr>
          <w:rFonts w:hint="eastAsia" w:ascii="方正小标宋_GBK" w:hAnsi="宋体" w:eastAsia="方正小标宋_GBK" w:cs="宋体"/>
          <w:b w:val="0"/>
          <w:bCs w:val="0"/>
          <w:snapToGrid w:val="0"/>
          <w:kern w:val="2"/>
          <w:sz w:val="36"/>
          <w:szCs w:val="36"/>
          <w:lang w:val="en-US" w:eastAsia="zh-CN" w:bidi="ar-SA"/>
        </w:rPr>
      </w:pPr>
      <w:bookmarkStart w:id="39" w:name="_Toc4662"/>
      <w:r>
        <w:rPr>
          <w:rFonts w:hint="eastAsia" w:ascii="方正小标宋_GBK" w:hAnsi="宋体" w:eastAsia="方正小标宋_GBK" w:cs="宋体"/>
          <w:b w:val="0"/>
          <w:bCs w:val="0"/>
          <w:snapToGrid w:val="0"/>
          <w:kern w:val="2"/>
          <w:sz w:val="36"/>
          <w:szCs w:val="36"/>
          <w:lang w:val="en-US" w:eastAsia="zh-CN" w:bidi="ar-SA"/>
        </w:rPr>
        <w:t>石柱县噪声敏感建筑物集中区域划分情况表</w:t>
      </w:r>
      <w:bookmarkEnd w:id="39"/>
    </w:p>
    <w:tbl>
      <w:tblPr>
        <w:tblStyle w:val="14"/>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3"/>
        <w:gridCol w:w="912"/>
        <w:gridCol w:w="1603"/>
        <w:gridCol w:w="1672"/>
        <w:gridCol w:w="4714"/>
        <w:gridCol w:w="3484"/>
      </w:tblGrid>
      <w:tr w14:paraId="4619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blHeader/>
          <w:jc w:val="center"/>
        </w:trPr>
        <w:tc>
          <w:tcPr>
            <w:tcW w:w="237" w:type="pct"/>
            <w:noWrap/>
            <w:vAlign w:val="center"/>
          </w:tcPr>
          <w:p w14:paraId="3057A4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黑体_GBK" w:cs="Times New Roman"/>
                <w:snapToGrid w:val="0"/>
                <w:color w:val="000000"/>
                <w:kern w:val="2"/>
                <w:sz w:val="24"/>
                <w:szCs w:val="24"/>
                <w:lang w:eastAsia="zh-CN"/>
              </w:rPr>
            </w:pPr>
            <w:r>
              <w:rPr>
                <w:rFonts w:ascii="Times New Roman" w:hAnsi="Times New Roman" w:eastAsia="方正黑体_GBK" w:cs="Times New Roman"/>
                <w:snapToGrid w:val="0"/>
                <w:color w:val="000000"/>
                <w:kern w:val="2"/>
                <w:sz w:val="24"/>
                <w:szCs w:val="24"/>
                <w:lang w:eastAsia="zh-CN" w:bidi="ar"/>
              </w:rPr>
              <w:t>序号</w:t>
            </w:r>
          </w:p>
        </w:tc>
        <w:tc>
          <w:tcPr>
            <w:tcW w:w="443" w:type="pct"/>
            <w:noWrap/>
            <w:vAlign w:val="center"/>
          </w:tcPr>
          <w:p w14:paraId="1FE74E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黑体_GBK" w:cs="Times New Roman"/>
                <w:snapToGrid w:val="0"/>
                <w:color w:val="000000"/>
                <w:kern w:val="2"/>
                <w:sz w:val="24"/>
                <w:szCs w:val="24"/>
                <w:lang w:eastAsia="zh-CN"/>
              </w:rPr>
            </w:pPr>
            <w:r>
              <w:rPr>
                <w:rFonts w:ascii="Times New Roman" w:hAnsi="Times New Roman" w:eastAsia="方正黑体_GBK" w:cs="Times New Roman"/>
                <w:snapToGrid w:val="0"/>
                <w:color w:val="000000"/>
                <w:kern w:val="2"/>
                <w:sz w:val="24"/>
                <w:szCs w:val="24"/>
                <w:lang w:eastAsia="zh-CN" w:bidi="ar"/>
              </w:rPr>
              <w:t>编号</w:t>
            </w:r>
          </w:p>
        </w:tc>
        <w:tc>
          <w:tcPr>
            <w:tcW w:w="318" w:type="pct"/>
            <w:noWrap/>
            <w:vAlign w:val="center"/>
          </w:tcPr>
          <w:p w14:paraId="14DE32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黑体_GBK" w:cs="Times New Roman"/>
                <w:snapToGrid w:val="0"/>
                <w:color w:val="000000"/>
                <w:kern w:val="2"/>
                <w:sz w:val="24"/>
                <w:szCs w:val="24"/>
                <w:lang w:eastAsia="zh-CN"/>
              </w:rPr>
            </w:pPr>
            <w:r>
              <w:rPr>
                <w:rFonts w:ascii="Times New Roman" w:hAnsi="Times New Roman" w:eastAsia="方正黑体_GBK" w:cs="Times New Roman"/>
                <w:snapToGrid w:val="0"/>
                <w:color w:val="000000"/>
                <w:kern w:val="2"/>
                <w:sz w:val="24"/>
                <w:szCs w:val="24"/>
                <w:lang w:eastAsia="zh-CN" w:bidi="ar"/>
              </w:rPr>
              <w:t>面积</w:t>
            </w:r>
            <w:r>
              <w:rPr>
                <w:rFonts w:ascii="Times New Roman" w:hAnsi="Times New Roman" w:eastAsia="方正黑体_GBK" w:cs="Times New Roman"/>
                <w:snapToGrid w:val="0"/>
                <w:color w:val="000000"/>
                <w:spacing w:val="-14"/>
                <w:kern w:val="2"/>
                <w:sz w:val="24"/>
                <w:szCs w:val="24"/>
                <w:lang w:eastAsia="zh-CN" w:bidi="ar"/>
              </w:rPr>
              <w:t>（km</w:t>
            </w:r>
            <w:r>
              <w:rPr>
                <w:rFonts w:ascii="Times New Roman" w:hAnsi="Times New Roman" w:eastAsia="方正黑体_GBK" w:cs="Times New Roman"/>
                <w:snapToGrid w:val="0"/>
                <w:color w:val="000000"/>
                <w:spacing w:val="-14"/>
                <w:kern w:val="2"/>
                <w:sz w:val="24"/>
                <w:szCs w:val="24"/>
                <w:vertAlign w:val="superscript"/>
                <w:lang w:eastAsia="zh-CN" w:bidi="ar"/>
              </w:rPr>
              <w:t>2</w:t>
            </w:r>
            <w:r>
              <w:rPr>
                <w:rFonts w:ascii="Times New Roman" w:hAnsi="Times New Roman" w:eastAsia="方正黑体_GBK" w:cs="Times New Roman"/>
                <w:snapToGrid w:val="0"/>
                <w:color w:val="000000"/>
                <w:spacing w:val="-14"/>
                <w:kern w:val="2"/>
                <w:sz w:val="24"/>
                <w:szCs w:val="24"/>
                <w:lang w:eastAsia="zh-CN" w:bidi="ar"/>
              </w:rPr>
              <w:t>）</w:t>
            </w:r>
          </w:p>
        </w:tc>
        <w:tc>
          <w:tcPr>
            <w:tcW w:w="559" w:type="pct"/>
            <w:noWrap/>
            <w:vAlign w:val="center"/>
          </w:tcPr>
          <w:p w14:paraId="49A4BB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黑体_GBK" w:cs="Times New Roman"/>
                <w:snapToGrid w:val="0"/>
                <w:color w:val="000000"/>
                <w:kern w:val="2"/>
                <w:sz w:val="24"/>
                <w:szCs w:val="24"/>
                <w:lang w:eastAsia="zh-CN"/>
              </w:rPr>
            </w:pPr>
            <w:r>
              <w:rPr>
                <w:rFonts w:ascii="Times New Roman" w:hAnsi="Times New Roman" w:eastAsia="方正黑体_GBK" w:cs="Times New Roman"/>
                <w:snapToGrid w:val="0"/>
                <w:color w:val="000000"/>
                <w:kern w:val="2"/>
                <w:sz w:val="24"/>
                <w:szCs w:val="24"/>
                <w:lang w:eastAsia="zh-CN" w:bidi="ar"/>
              </w:rPr>
              <w:t>涉及声功能区编号</w:t>
            </w:r>
          </w:p>
        </w:tc>
        <w:tc>
          <w:tcPr>
            <w:tcW w:w="583" w:type="pct"/>
            <w:noWrap/>
            <w:vAlign w:val="center"/>
          </w:tcPr>
          <w:p w14:paraId="1FD9AF3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黑体_GBK" w:cs="Times New Roman"/>
                <w:snapToGrid w:val="0"/>
                <w:color w:val="000000"/>
                <w:kern w:val="2"/>
                <w:sz w:val="24"/>
                <w:szCs w:val="24"/>
                <w:lang w:eastAsia="zh-CN"/>
              </w:rPr>
            </w:pPr>
            <w:r>
              <w:rPr>
                <w:rFonts w:ascii="Times New Roman" w:hAnsi="Times New Roman" w:eastAsia="方正黑体_GBK" w:cs="Times New Roman"/>
                <w:snapToGrid w:val="0"/>
                <w:color w:val="000000"/>
                <w:kern w:val="2"/>
                <w:sz w:val="24"/>
                <w:szCs w:val="24"/>
                <w:lang w:eastAsia="zh-CN" w:bidi="ar"/>
              </w:rPr>
              <w:t>敏感建筑物面积占比（%）</w:t>
            </w:r>
          </w:p>
        </w:tc>
        <w:tc>
          <w:tcPr>
            <w:tcW w:w="1643" w:type="pct"/>
            <w:noWrap/>
            <w:vAlign w:val="center"/>
          </w:tcPr>
          <w:p w14:paraId="7782259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黑体_GBK" w:hAnsi="Times New Roman" w:eastAsia="方正黑体_GBK" w:cs="Times New Roman"/>
                <w:snapToGrid w:val="0"/>
                <w:color w:val="000000"/>
                <w:kern w:val="2"/>
                <w:sz w:val="24"/>
                <w:szCs w:val="24"/>
                <w:lang w:eastAsia="zh-CN"/>
              </w:rPr>
            </w:pPr>
            <w:r>
              <w:rPr>
                <w:rFonts w:hint="eastAsia" w:ascii="方正黑体_GBK" w:hAnsi="Times New Roman" w:eastAsia="方正黑体_GBK" w:cs="Times New Roman"/>
                <w:snapToGrid w:val="0"/>
                <w:color w:val="000000"/>
                <w:kern w:val="2"/>
                <w:sz w:val="24"/>
                <w:szCs w:val="24"/>
                <w:lang w:eastAsia="zh-CN" w:bidi="ar"/>
              </w:rPr>
              <w:t>划分范围描述</w:t>
            </w:r>
          </w:p>
        </w:tc>
        <w:tc>
          <w:tcPr>
            <w:tcW w:w="1214" w:type="pct"/>
            <w:noWrap/>
            <w:vAlign w:val="center"/>
          </w:tcPr>
          <w:p w14:paraId="6583D9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黑体_GBK" w:cs="Times New Roman"/>
                <w:snapToGrid w:val="0"/>
                <w:color w:val="000000"/>
                <w:kern w:val="2"/>
                <w:sz w:val="24"/>
                <w:szCs w:val="24"/>
                <w:lang w:eastAsia="zh-CN"/>
              </w:rPr>
            </w:pPr>
            <w:r>
              <w:rPr>
                <w:rFonts w:ascii="Times New Roman" w:hAnsi="Times New Roman" w:eastAsia="方正黑体_GBK" w:cs="Times New Roman"/>
                <w:snapToGrid w:val="0"/>
                <w:color w:val="000000"/>
                <w:kern w:val="2"/>
                <w:sz w:val="24"/>
                <w:szCs w:val="24"/>
                <w:lang w:eastAsia="zh-CN" w:bidi="ar"/>
              </w:rPr>
              <w:t>重点噪声敏感建筑物</w:t>
            </w:r>
          </w:p>
        </w:tc>
      </w:tr>
      <w:tr w14:paraId="239C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7" w:type="pct"/>
            <w:noWrap/>
            <w:vAlign w:val="center"/>
          </w:tcPr>
          <w:p w14:paraId="7B7417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1</w:t>
            </w:r>
          </w:p>
        </w:tc>
        <w:tc>
          <w:tcPr>
            <w:tcW w:w="443" w:type="pct"/>
            <w:noWrap/>
            <w:vAlign w:val="center"/>
          </w:tcPr>
          <w:p w14:paraId="794589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ZMJ-001</w:t>
            </w:r>
          </w:p>
        </w:tc>
        <w:tc>
          <w:tcPr>
            <w:tcW w:w="318" w:type="pct"/>
            <w:noWrap/>
            <w:vAlign w:val="center"/>
          </w:tcPr>
          <w:p w14:paraId="6B0305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0.099 </w:t>
            </w:r>
          </w:p>
        </w:tc>
        <w:tc>
          <w:tcPr>
            <w:tcW w:w="559" w:type="pct"/>
            <w:noWrap/>
            <w:vAlign w:val="center"/>
          </w:tcPr>
          <w:p w14:paraId="1419F4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5002402L01</w:t>
            </w:r>
          </w:p>
        </w:tc>
        <w:tc>
          <w:tcPr>
            <w:tcW w:w="583" w:type="pct"/>
            <w:noWrap/>
            <w:vAlign w:val="center"/>
          </w:tcPr>
          <w:p w14:paraId="578FF3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75.47</w:t>
            </w:r>
          </w:p>
        </w:tc>
        <w:tc>
          <w:tcPr>
            <w:tcW w:w="1643" w:type="pct"/>
            <w:noWrap/>
            <w:vAlign w:val="center"/>
          </w:tcPr>
          <w:p w14:paraId="5F7D64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南宾中学片区</w:t>
            </w:r>
          </w:p>
        </w:tc>
        <w:tc>
          <w:tcPr>
            <w:tcW w:w="1214" w:type="pct"/>
            <w:noWrap/>
            <w:vAlign w:val="center"/>
          </w:tcPr>
          <w:p w14:paraId="66F00C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南宾中学等</w:t>
            </w:r>
          </w:p>
        </w:tc>
      </w:tr>
      <w:tr w14:paraId="75B5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29A39F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2</w:t>
            </w:r>
          </w:p>
        </w:tc>
        <w:tc>
          <w:tcPr>
            <w:tcW w:w="443" w:type="pct"/>
            <w:noWrap/>
            <w:vAlign w:val="center"/>
          </w:tcPr>
          <w:p w14:paraId="0DD9831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ZMJ-002</w:t>
            </w:r>
          </w:p>
        </w:tc>
        <w:tc>
          <w:tcPr>
            <w:tcW w:w="318" w:type="pct"/>
            <w:noWrap/>
            <w:vAlign w:val="center"/>
          </w:tcPr>
          <w:p w14:paraId="0BFE8F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0.207 </w:t>
            </w:r>
          </w:p>
        </w:tc>
        <w:tc>
          <w:tcPr>
            <w:tcW w:w="559" w:type="pct"/>
            <w:noWrap/>
            <w:vAlign w:val="center"/>
          </w:tcPr>
          <w:p w14:paraId="690189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5002401L01、5002402L01</w:t>
            </w:r>
          </w:p>
        </w:tc>
        <w:tc>
          <w:tcPr>
            <w:tcW w:w="583" w:type="pct"/>
            <w:noWrap/>
            <w:vAlign w:val="center"/>
          </w:tcPr>
          <w:p w14:paraId="276701E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97.47</w:t>
            </w:r>
          </w:p>
        </w:tc>
        <w:tc>
          <w:tcPr>
            <w:tcW w:w="1643" w:type="pct"/>
            <w:noWrap/>
            <w:vAlign w:val="center"/>
          </w:tcPr>
          <w:p w14:paraId="63E81EF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bidi="ar"/>
              </w:rPr>
              <w:t>和美佳园、思源实验学校、石柱县公安局片区</w:t>
            </w:r>
          </w:p>
        </w:tc>
        <w:tc>
          <w:tcPr>
            <w:tcW w:w="1214" w:type="pct"/>
            <w:noWrap/>
            <w:vAlign w:val="center"/>
          </w:tcPr>
          <w:p w14:paraId="4ADF27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和美佳园、思源实验学校、石柱县公安局等</w:t>
            </w:r>
          </w:p>
        </w:tc>
      </w:tr>
      <w:tr w14:paraId="2D51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6B139E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3</w:t>
            </w:r>
          </w:p>
        </w:tc>
        <w:tc>
          <w:tcPr>
            <w:tcW w:w="443" w:type="pct"/>
            <w:noWrap/>
            <w:vAlign w:val="center"/>
          </w:tcPr>
          <w:p w14:paraId="058148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ZMJ-003</w:t>
            </w:r>
          </w:p>
        </w:tc>
        <w:tc>
          <w:tcPr>
            <w:tcW w:w="318" w:type="pct"/>
            <w:noWrap/>
            <w:vAlign w:val="center"/>
          </w:tcPr>
          <w:p w14:paraId="74DEA7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0.602 </w:t>
            </w:r>
          </w:p>
        </w:tc>
        <w:tc>
          <w:tcPr>
            <w:tcW w:w="559" w:type="pct"/>
            <w:noWrap/>
            <w:vAlign w:val="center"/>
          </w:tcPr>
          <w:p w14:paraId="379147F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5002401L01、5002402L02、5002402L03</w:t>
            </w:r>
          </w:p>
        </w:tc>
        <w:tc>
          <w:tcPr>
            <w:tcW w:w="583" w:type="pct"/>
            <w:noWrap/>
            <w:vAlign w:val="center"/>
          </w:tcPr>
          <w:p w14:paraId="5E3329B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92.64</w:t>
            </w:r>
          </w:p>
        </w:tc>
        <w:tc>
          <w:tcPr>
            <w:tcW w:w="1643" w:type="pct"/>
            <w:noWrap/>
            <w:vAlign w:val="center"/>
          </w:tcPr>
          <w:p w14:paraId="50FCD3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S105-城南路以东、城南廉住房（含）-盛世豪庭（含）-清华景秀苑（含）-千景奎庭（含）以南、金御江山（含）-恒宇天街（含）-财信城天睿（含）-凯旋华庭（含）以西、石柱财信城（含）以北片区</w:t>
            </w:r>
          </w:p>
        </w:tc>
        <w:tc>
          <w:tcPr>
            <w:tcW w:w="1214" w:type="pct"/>
            <w:noWrap/>
            <w:vAlign w:val="center"/>
          </w:tcPr>
          <w:p w14:paraId="6C8129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城南廉住房、盛世豪庭、清华景秀苑、千景奎庭、金御江山、恒宇天街、财信城天睿、凯旋华庭、石柱财信城等</w:t>
            </w:r>
          </w:p>
        </w:tc>
      </w:tr>
      <w:tr w14:paraId="7C9F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2C5127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4</w:t>
            </w:r>
          </w:p>
        </w:tc>
        <w:tc>
          <w:tcPr>
            <w:tcW w:w="443" w:type="pct"/>
            <w:noWrap/>
            <w:vAlign w:val="center"/>
          </w:tcPr>
          <w:p w14:paraId="3ACB111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ZMJ-004</w:t>
            </w:r>
          </w:p>
        </w:tc>
        <w:tc>
          <w:tcPr>
            <w:tcW w:w="318" w:type="pct"/>
            <w:noWrap/>
            <w:vAlign w:val="center"/>
          </w:tcPr>
          <w:p w14:paraId="744112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0.405 </w:t>
            </w:r>
          </w:p>
        </w:tc>
        <w:tc>
          <w:tcPr>
            <w:tcW w:w="559" w:type="pct"/>
            <w:noWrap/>
            <w:vAlign w:val="center"/>
          </w:tcPr>
          <w:p w14:paraId="4D5494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5002401L02、5002402L03</w:t>
            </w:r>
          </w:p>
        </w:tc>
        <w:tc>
          <w:tcPr>
            <w:tcW w:w="583" w:type="pct"/>
            <w:noWrap/>
            <w:vAlign w:val="center"/>
          </w:tcPr>
          <w:p w14:paraId="31126E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96.31</w:t>
            </w:r>
          </w:p>
        </w:tc>
        <w:tc>
          <w:tcPr>
            <w:tcW w:w="1643" w:type="pct"/>
            <w:noWrap/>
            <w:vAlign w:val="center"/>
          </w:tcPr>
          <w:p w14:paraId="34305B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石柱县人民医院（含）-城南花园（含）以北、万寿大道-太白路-南城华府（含）-万寿大道以东、瑞通路以南、南滨尚城（含）以西片区</w:t>
            </w:r>
          </w:p>
        </w:tc>
        <w:tc>
          <w:tcPr>
            <w:tcW w:w="1214" w:type="pct"/>
            <w:noWrap/>
            <w:vAlign w:val="center"/>
          </w:tcPr>
          <w:p w14:paraId="496F41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石柱县人民医院、城南花园、南城华府、南滨尚城、石柱县第四小学校、怡豪国际等</w:t>
            </w:r>
          </w:p>
        </w:tc>
      </w:tr>
      <w:tr w14:paraId="6E03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37" w:type="pct"/>
            <w:noWrap/>
            <w:vAlign w:val="center"/>
          </w:tcPr>
          <w:p w14:paraId="0E1699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5</w:t>
            </w:r>
          </w:p>
        </w:tc>
        <w:tc>
          <w:tcPr>
            <w:tcW w:w="443" w:type="pct"/>
            <w:noWrap/>
            <w:vAlign w:val="center"/>
          </w:tcPr>
          <w:p w14:paraId="1E722E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ZMJ-005</w:t>
            </w:r>
          </w:p>
        </w:tc>
        <w:tc>
          <w:tcPr>
            <w:tcW w:w="318" w:type="pct"/>
            <w:noWrap/>
            <w:vAlign w:val="center"/>
          </w:tcPr>
          <w:p w14:paraId="6B4060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1.006 </w:t>
            </w:r>
          </w:p>
        </w:tc>
        <w:tc>
          <w:tcPr>
            <w:tcW w:w="559" w:type="pct"/>
            <w:noWrap/>
            <w:vAlign w:val="center"/>
          </w:tcPr>
          <w:p w14:paraId="372544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5002401L01、5002402L04、5002402L05</w:t>
            </w:r>
          </w:p>
        </w:tc>
        <w:tc>
          <w:tcPr>
            <w:tcW w:w="583" w:type="pct"/>
            <w:noWrap/>
            <w:vAlign w:val="center"/>
          </w:tcPr>
          <w:p w14:paraId="7B5EA9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91.19</w:t>
            </w:r>
          </w:p>
        </w:tc>
        <w:tc>
          <w:tcPr>
            <w:tcW w:w="1643" w:type="pct"/>
            <w:noWrap/>
            <w:vAlign w:val="center"/>
          </w:tcPr>
          <w:p w14:paraId="64C7F0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万寿大道以北、南宾世纪（含）-滨河晓月（含）以东、龙河-玉带南街-南滨路16号院（含）-农委家属院（含）以南、滨河东街以西片区</w:t>
            </w:r>
          </w:p>
        </w:tc>
        <w:tc>
          <w:tcPr>
            <w:tcW w:w="1214" w:type="pct"/>
            <w:noWrap/>
            <w:vAlign w:val="center"/>
          </w:tcPr>
          <w:p w14:paraId="65B46D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黔龙阳光雅院、南宾世纪、滨河晓月、南滨路16号院、农委家属院、石柱县师范附属小学校、寰宇世家、园融国际、景典苹果园等</w:t>
            </w:r>
          </w:p>
        </w:tc>
      </w:tr>
      <w:tr w14:paraId="3C4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14BC88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6</w:t>
            </w:r>
          </w:p>
        </w:tc>
        <w:tc>
          <w:tcPr>
            <w:tcW w:w="443" w:type="pct"/>
            <w:noWrap/>
            <w:vAlign w:val="center"/>
          </w:tcPr>
          <w:p w14:paraId="4CA633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ZMJ-006</w:t>
            </w:r>
          </w:p>
        </w:tc>
        <w:tc>
          <w:tcPr>
            <w:tcW w:w="318" w:type="pct"/>
            <w:noWrap/>
            <w:vAlign w:val="center"/>
          </w:tcPr>
          <w:p w14:paraId="15C4B4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0.218 </w:t>
            </w:r>
          </w:p>
        </w:tc>
        <w:tc>
          <w:tcPr>
            <w:tcW w:w="559" w:type="pct"/>
            <w:noWrap/>
            <w:vAlign w:val="center"/>
          </w:tcPr>
          <w:p w14:paraId="711EE3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5002402L04</w:t>
            </w:r>
          </w:p>
        </w:tc>
        <w:tc>
          <w:tcPr>
            <w:tcW w:w="583" w:type="pct"/>
            <w:noWrap/>
            <w:vAlign w:val="center"/>
          </w:tcPr>
          <w:p w14:paraId="3529A3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100</w:t>
            </w:r>
          </w:p>
        </w:tc>
        <w:tc>
          <w:tcPr>
            <w:tcW w:w="1643" w:type="pct"/>
            <w:noWrap/>
            <w:vAlign w:val="center"/>
          </w:tcPr>
          <w:p w14:paraId="6C97C1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龙河以东、滨河中街以南、玉带南街以北片区</w:t>
            </w:r>
          </w:p>
        </w:tc>
        <w:tc>
          <w:tcPr>
            <w:tcW w:w="1214" w:type="pct"/>
            <w:noWrap/>
            <w:vAlign w:val="center"/>
          </w:tcPr>
          <w:p w14:paraId="4246B1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石柱县人民政府、教委大院、检察院住宅楼等</w:t>
            </w:r>
          </w:p>
        </w:tc>
      </w:tr>
      <w:tr w14:paraId="5DD1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2E5E95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7</w:t>
            </w:r>
          </w:p>
        </w:tc>
        <w:tc>
          <w:tcPr>
            <w:tcW w:w="443" w:type="pct"/>
            <w:noWrap/>
            <w:vAlign w:val="center"/>
          </w:tcPr>
          <w:p w14:paraId="43F187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ZMJ-007</w:t>
            </w:r>
          </w:p>
        </w:tc>
        <w:tc>
          <w:tcPr>
            <w:tcW w:w="318" w:type="pct"/>
            <w:noWrap/>
            <w:vAlign w:val="center"/>
          </w:tcPr>
          <w:p w14:paraId="3F22E8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0.324 </w:t>
            </w:r>
          </w:p>
        </w:tc>
        <w:tc>
          <w:tcPr>
            <w:tcW w:w="559" w:type="pct"/>
            <w:noWrap/>
            <w:vAlign w:val="center"/>
          </w:tcPr>
          <w:p w14:paraId="5D31A7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5002401L02</w:t>
            </w:r>
          </w:p>
        </w:tc>
        <w:tc>
          <w:tcPr>
            <w:tcW w:w="583" w:type="pct"/>
            <w:noWrap/>
            <w:vAlign w:val="center"/>
          </w:tcPr>
          <w:p w14:paraId="213A29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100</w:t>
            </w:r>
          </w:p>
        </w:tc>
        <w:tc>
          <w:tcPr>
            <w:tcW w:w="1643" w:type="pct"/>
            <w:noWrap/>
            <w:vAlign w:val="center"/>
          </w:tcPr>
          <w:p w14:paraId="17E43DF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瑞通路以北、万寿大道以东、望江豪庭（含）以南、隆泰好望山（含）以西片区</w:t>
            </w:r>
          </w:p>
        </w:tc>
        <w:tc>
          <w:tcPr>
            <w:tcW w:w="1214" w:type="pct"/>
            <w:noWrap/>
            <w:vAlign w:val="center"/>
          </w:tcPr>
          <w:p w14:paraId="493DC4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金牛山庄、望江豪庭、隆泰好望山、畔山华府、民族中学、民族中学家属院等</w:t>
            </w:r>
          </w:p>
        </w:tc>
      </w:tr>
      <w:tr w14:paraId="49C0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0B8986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8</w:t>
            </w:r>
          </w:p>
        </w:tc>
        <w:tc>
          <w:tcPr>
            <w:tcW w:w="443" w:type="pct"/>
            <w:noWrap/>
            <w:vAlign w:val="center"/>
          </w:tcPr>
          <w:p w14:paraId="05135F7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ZMJ-008</w:t>
            </w:r>
          </w:p>
        </w:tc>
        <w:tc>
          <w:tcPr>
            <w:tcW w:w="318" w:type="pct"/>
            <w:noWrap/>
            <w:vAlign w:val="center"/>
          </w:tcPr>
          <w:p w14:paraId="5EFADC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 xml:space="preserve">0.070 </w:t>
            </w:r>
          </w:p>
        </w:tc>
        <w:tc>
          <w:tcPr>
            <w:tcW w:w="559" w:type="pct"/>
            <w:noWrap/>
            <w:vAlign w:val="center"/>
          </w:tcPr>
          <w:p w14:paraId="6F21808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5002402L05</w:t>
            </w:r>
          </w:p>
        </w:tc>
        <w:tc>
          <w:tcPr>
            <w:tcW w:w="583" w:type="pct"/>
            <w:noWrap/>
            <w:vAlign w:val="center"/>
          </w:tcPr>
          <w:p w14:paraId="1BA731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100</w:t>
            </w:r>
          </w:p>
        </w:tc>
        <w:tc>
          <w:tcPr>
            <w:tcW w:w="1643" w:type="pct"/>
            <w:noWrap/>
            <w:vAlign w:val="center"/>
          </w:tcPr>
          <w:p w14:paraId="14AF9DC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粼江峰景片区</w:t>
            </w:r>
          </w:p>
        </w:tc>
        <w:tc>
          <w:tcPr>
            <w:tcW w:w="1214" w:type="pct"/>
            <w:noWrap/>
            <w:vAlign w:val="center"/>
          </w:tcPr>
          <w:p w14:paraId="00C446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粼江峰景等</w:t>
            </w:r>
          </w:p>
        </w:tc>
      </w:tr>
      <w:tr w14:paraId="71E9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45D5AEF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w:t>
            </w:r>
          </w:p>
        </w:tc>
        <w:tc>
          <w:tcPr>
            <w:tcW w:w="443" w:type="pct"/>
            <w:noWrap/>
            <w:vAlign w:val="center"/>
          </w:tcPr>
          <w:p w14:paraId="20BFAD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ZMJ-009</w:t>
            </w:r>
          </w:p>
        </w:tc>
        <w:tc>
          <w:tcPr>
            <w:tcW w:w="318" w:type="pct"/>
            <w:noWrap/>
            <w:vAlign w:val="center"/>
          </w:tcPr>
          <w:p w14:paraId="4E867A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0.172</w:t>
            </w:r>
          </w:p>
        </w:tc>
        <w:tc>
          <w:tcPr>
            <w:tcW w:w="559" w:type="pct"/>
            <w:noWrap/>
            <w:vAlign w:val="center"/>
          </w:tcPr>
          <w:p w14:paraId="5ED6484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5002402L05</w:t>
            </w:r>
          </w:p>
        </w:tc>
        <w:tc>
          <w:tcPr>
            <w:tcW w:w="583" w:type="pct"/>
            <w:noWrap/>
            <w:vAlign w:val="center"/>
          </w:tcPr>
          <w:p w14:paraId="7B15D6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100</w:t>
            </w:r>
          </w:p>
        </w:tc>
        <w:tc>
          <w:tcPr>
            <w:tcW w:w="1643" w:type="pct"/>
            <w:noWrap/>
            <w:vAlign w:val="center"/>
          </w:tcPr>
          <w:p w14:paraId="6FD3BD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龙河以南、天尧山水别苑（含）以西、万寿大道以北、胜云花苑（含）-滨江金岸（含）以东片区</w:t>
            </w:r>
          </w:p>
        </w:tc>
        <w:tc>
          <w:tcPr>
            <w:tcW w:w="1214" w:type="pct"/>
            <w:noWrap/>
            <w:vAlign w:val="center"/>
          </w:tcPr>
          <w:p w14:paraId="1356ED5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天尧山水别苑、胜云花苑、滨江金岸、城佳雅苑等</w:t>
            </w:r>
          </w:p>
        </w:tc>
      </w:tr>
      <w:tr w14:paraId="284B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6E65A4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10</w:t>
            </w:r>
          </w:p>
        </w:tc>
        <w:tc>
          <w:tcPr>
            <w:tcW w:w="443" w:type="pct"/>
            <w:noWrap/>
            <w:vAlign w:val="center"/>
          </w:tcPr>
          <w:p w14:paraId="5F2E83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ZMJ-010</w:t>
            </w:r>
          </w:p>
        </w:tc>
        <w:tc>
          <w:tcPr>
            <w:tcW w:w="318" w:type="pct"/>
            <w:noWrap/>
            <w:vAlign w:val="center"/>
          </w:tcPr>
          <w:p w14:paraId="2381A5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0.664</w:t>
            </w:r>
          </w:p>
        </w:tc>
        <w:tc>
          <w:tcPr>
            <w:tcW w:w="559" w:type="pct"/>
            <w:noWrap/>
            <w:vAlign w:val="center"/>
          </w:tcPr>
          <w:p w14:paraId="204BA1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5002401L02、5002401L03</w:t>
            </w:r>
          </w:p>
        </w:tc>
        <w:tc>
          <w:tcPr>
            <w:tcW w:w="583" w:type="pct"/>
            <w:noWrap/>
            <w:vAlign w:val="center"/>
          </w:tcPr>
          <w:p w14:paraId="5CA658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91.24</w:t>
            </w:r>
          </w:p>
        </w:tc>
        <w:tc>
          <w:tcPr>
            <w:tcW w:w="1643" w:type="pct"/>
            <w:noWrap/>
            <w:vAlign w:val="center"/>
          </w:tcPr>
          <w:p w14:paraId="21A44C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万乐小区（含）以东、万寿大道-隆泰新东城（含）以南、干溪子安置（含）房-同润公园1号（含）以西建成区片区</w:t>
            </w:r>
          </w:p>
        </w:tc>
        <w:tc>
          <w:tcPr>
            <w:tcW w:w="1214" w:type="pct"/>
            <w:noWrap/>
            <w:vAlign w:val="center"/>
          </w:tcPr>
          <w:p w14:paraId="19E510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石柱县人民法院、万乐小区、隆泰新东城、干溪子安置房、石柱中学、书香庭苑、碧桂园天麓府、石柱县渝中实验小学校、万寿新城、同润公园1号等</w:t>
            </w:r>
          </w:p>
        </w:tc>
      </w:tr>
      <w:tr w14:paraId="62C3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4223128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11</w:t>
            </w:r>
          </w:p>
        </w:tc>
        <w:tc>
          <w:tcPr>
            <w:tcW w:w="443" w:type="pct"/>
            <w:noWrap/>
            <w:vAlign w:val="center"/>
          </w:tcPr>
          <w:p w14:paraId="31925D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ZMJ-011</w:t>
            </w:r>
          </w:p>
        </w:tc>
        <w:tc>
          <w:tcPr>
            <w:tcW w:w="318" w:type="pct"/>
            <w:noWrap/>
            <w:vAlign w:val="center"/>
          </w:tcPr>
          <w:p w14:paraId="7CBC51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0.173</w:t>
            </w:r>
          </w:p>
        </w:tc>
        <w:tc>
          <w:tcPr>
            <w:tcW w:w="559" w:type="pct"/>
            <w:noWrap/>
            <w:vAlign w:val="center"/>
          </w:tcPr>
          <w:p w14:paraId="1C044B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5002402L05</w:t>
            </w:r>
          </w:p>
        </w:tc>
        <w:tc>
          <w:tcPr>
            <w:tcW w:w="583" w:type="pct"/>
            <w:noWrap/>
            <w:vAlign w:val="center"/>
          </w:tcPr>
          <w:p w14:paraId="26FEAB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94.02</w:t>
            </w:r>
          </w:p>
        </w:tc>
        <w:tc>
          <w:tcPr>
            <w:tcW w:w="1643" w:type="pct"/>
            <w:noWrap/>
            <w:vAlign w:val="center"/>
          </w:tcPr>
          <w:p w14:paraId="678B17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万寿大道以北、碧桂园（含）以东、城东路-石柱县档案馆（含）以南片区</w:t>
            </w:r>
          </w:p>
        </w:tc>
        <w:tc>
          <w:tcPr>
            <w:tcW w:w="1214" w:type="pct"/>
            <w:noWrap/>
            <w:vAlign w:val="center"/>
          </w:tcPr>
          <w:p w14:paraId="3AFCCA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碧桂园、石柱县档案馆、石柱县青少年活动中心、石柱县文化馆、石柱中医院、景苑小区、汇景龙湾等</w:t>
            </w:r>
          </w:p>
        </w:tc>
      </w:tr>
      <w:tr w14:paraId="3532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7CF15C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12</w:t>
            </w:r>
          </w:p>
        </w:tc>
        <w:tc>
          <w:tcPr>
            <w:tcW w:w="443" w:type="pct"/>
            <w:noWrap/>
            <w:vAlign w:val="center"/>
          </w:tcPr>
          <w:p w14:paraId="201EAB2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ZMJ-012</w:t>
            </w:r>
          </w:p>
        </w:tc>
        <w:tc>
          <w:tcPr>
            <w:tcW w:w="318" w:type="pct"/>
            <w:noWrap/>
            <w:vAlign w:val="center"/>
          </w:tcPr>
          <w:p w14:paraId="4F238C4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0.181</w:t>
            </w:r>
          </w:p>
        </w:tc>
        <w:tc>
          <w:tcPr>
            <w:tcW w:w="559" w:type="pct"/>
            <w:noWrap/>
            <w:vAlign w:val="center"/>
          </w:tcPr>
          <w:p w14:paraId="0B0223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5002401L04</w:t>
            </w:r>
          </w:p>
        </w:tc>
        <w:tc>
          <w:tcPr>
            <w:tcW w:w="583" w:type="pct"/>
            <w:noWrap/>
            <w:vAlign w:val="center"/>
          </w:tcPr>
          <w:p w14:paraId="0D3C7A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89.56</w:t>
            </w:r>
          </w:p>
        </w:tc>
        <w:tc>
          <w:tcPr>
            <w:tcW w:w="1643" w:type="pct"/>
            <w:noWrap/>
            <w:vAlign w:val="center"/>
          </w:tcPr>
          <w:p w14:paraId="6E20E0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双庆小学（含）以北、龙河以东、石柱县综合办公大楼以南、万寿大道以西片区</w:t>
            </w:r>
          </w:p>
        </w:tc>
        <w:tc>
          <w:tcPr>
            <w:tcW w:w="1214" w:type="pct"/>
            <w:noWrap/>
            <w:vAlign w:val="center"/>
          </w:tcPr>
          <w:p w14:paraId="668233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双庆小学、石柱县综合办公大楼、黄金水岸、蟠龙豪庭等</w:t>
            </w:r>
          </w:p>
        </w:tc>
      </w:tr>
      <w:tr w14:paraId="6043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59448F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13</w:t>
            </w:r>
          </w:p>
        </w:tc>
        <w:tc>
          <w:tcPr>
            <w:tcW w:w="443" w:type="pct"/>
            <w:noWrap/>
            <w:vAlign w:val="center"/>
          </w:tcPr>
          <w:p w14:paraId="6CD6A6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ZMJ-013</w:t>
            </w:r>
          </w:p>
        </w:tc>
        <w:tc>
          <w:tcPr>
            <w:tcW w:w="318" w:type="pct"/>
            <w:noWrap/>
            <w:vAlign w:val="center"/>
          </w:tcPr>
          <w:p w14:paraId="6FCF8A6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0.237</w:t>
            </w:r>
          </w:p>
        </w:tc>
        <w:tc>
          <w:tcPr>
            <w:tcW w:w="559" w:type="pct"/>
            <w:noWrap/>
            <w:vAlign w:val="center"/>
          </w:tcPr>
          <w:p w14:paraId="21235A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5002402L06</w:t>
            </w:r>
          </w:p>
        </w:tc>
        <w:tc>
          <w:tcPr>
            <w:tcW w:w="583" w:type="pct"/>
            <w:noWrap/>
            <w:vAlign w:val="center"/>
          </w:tcPr>
          <w:p w14:paraId="5FEF77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91.97</w:t>
            </w:r>
          </w:p>
        </w:tc>
        <w:tc>
          <w:tcPr>
            <w:tcW w:w="1643" w:type="pct"/>
            <w:noWrap/>
            <w:vAlign w:val="center"/>
          </w:tcPr>
          <w:p w14:paraId="106250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隆鑫花漾城、石柱县人民小区、石潼小学片区</w:t>
            </w:r>
          </w:p>
        </w:tc>
        <w:tc>
          <w:tcPr>
            <w:tcW w:w="1214" w:type="pct"/>
            <w:noWrap/>
            <w:vAlign w:val="center"/>
          </w:tcPr>
          <w:p w14:paraId="341B83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隆鑫花漾城、石柱县人民小区、石潼小学等</w:t>
            </w:r>
          </w:p>
        </w:tc>
      </w:tr>
      <w:tr w14:paraId="211F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331D22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14</w:t>
            </w:r>
          </w:p>
        </w:tc>
        <w:tc>
          <w:tcPr>
            <w:tcW w:w="443" w:type="pct"/>
            <w:noWrap/>
            <w:vAlign w:val="center"/>
          </w:tcPr>
          <w:p w14:paraId="78F3F3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ZMJ-014</w:t>
            </w:r>
          </w:p>
        </w:tc>
        <w:tc>
          <w:tcPr>
            <w:tcW w:w="318" w:type="pct"/>
            <w:noWrap/>
            <w:vAlign w:val="center"/>
          </w:tcPr>
          <w:p w14:paraId="601758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0.186</w:t>
            </w:r>
          </w:p>
        </w:tc>
        <w:tc>
          <w:tcPr>
            <w:tcW w:w="559" w:type="pct"/>
            <w:noWrap/>
            <w:vAlign w:val="center"/>
          </w:tcPr>
          <w:p w14:paraId="258475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5002401L04、5002401L05</w:t>
            </w:r>
          </w:p>
        </w:tc>
        <w:tc>
          <w:tcPr>
            <w:tcW w:w="583" w:type="pct"/>
            <w:noWrap/>
            <w:vAlign w:val="center"/>
          </w:tcPr>
          <w:p w14:paraId="434E61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99.61</w:t>
            </w:r>
          </w:p>
        </w:tc>
        <w:tc>
          <w:tcPr>
            <w:tcW w:w="1643" w:type="pct"/>
            <w:noWrap/>
            <w:vAlign w:val="center"/>
          </w:tcPr>
          <w:p w14:paraId="1B8242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双庆小学（迁建）</w:t>
            </w:r>
            <w:r>
              <w:rPr>
                <w:rFonts w:hint="eastAsia" w:ascii="方正仿宋_GBK" w:hAnsi="Times New Roman" w:eastAsia="方正仿宋_GBK" w:cs="Times New Roman"/>
                <w:snapToGrid w:val="0"/>
                <w:color w:val="000000"/>
                <w:kern w:val="2"/>
                <w:sz w:val="24"/>
                <w:szCs w:val="24"/>
                <w:lang w:eastAsia="zh-CN" w:bidi="ar"/>
              </w:rPr>
              <w:t>、双庆廉租房、江月山、回龙中学校片区</w:t>
            </w:r>
          </w:p>
        </w:tc>
        <w:tc>
          <w:tcPr>
            <w:tcW w:w="1214" w:type="pct"/>
            <w:noWrap/>
            <w:vAlign w:val="center"/>
          </w:tcPr>
          <w:p w14:paraId="643244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双庆小学（迁建）</w:t>
            </w:r>
            <w:r>
              <w:rPr>
                <w:rFonts w:ascii="Times New Roman" w:hAnsi="Times New Roman" w:eastAsia="方正仿宋_GBK" w:cs="Times New Roman"/>
                <w:snapToGrid w:val="0"/>
                <w:color w:val="000000"/>
                <w:kern w:val="2"/>
                <w:sz w:val="24"/>
                <w:szCs w:val="24"/>
                <w:lang w:eastAsia="zh-CN" w:bidi="ar"/>
              </w:rPr>
              <w:t>、双庆廉租房、江月山、回龙中学校等</w:t>
            </w:r>
          </w:p>
        </w:tc>
      </w:tr>
      <w:tr w14:paraId="2C0B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141ADF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15</w:t>
            </w:r>
          </w:p>
        </w:tc>
        <w:tc>
          <w:tcPr>
            <w:tcW w:w="443" w:type="pct"/>
            <w:noWrap/>
            <w:vAlign w:val="center"/>
          </w:tcPr>
          <w:p w14:paraId="39C2A0B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ZMJ-015</w:t>
            </w:r>
          </w:p>
        </w:tc>
        <w:tc>
          <w:tcPr>
            <w:tcW w:w="318" w:type="pct"/>
            <w:noWrap/>
            <w:vAlign w:val="center"/>
          </w:tcPr>
          <w:p w14:paraId="2D01A9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0.120</w:t>
            </w:r>
          </w:p>
        </w:tc>
        <w:tc>
          <w:tcPr>
            <w:tcW w:w="559" w:type="pct"/>
            <w:noWrap/>
            <w:vAlign w:val="center"/>
          </w:tcPr>
          <w:p w14:paraId="61BECC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5002401L05</w:t>
            </w:r>
          </w:p>
        </w:tc>
        <w:tc>
          <w:tcPr>
            <w:tcW w:w="583" w:type="pct"/>
            <w:noWrap/>
            <w:vAlign w:val="center"/>
          </w:tcPr>
          <w:p w14:paraId="7548B1A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100</w:t>
            </w:r>
          </w:p>
        </w:tc>
        <w:tc>
          <w:tcPr>
            <w:tcW w:w="1643" w:type="pct"/>
            <w:noWrap/>
            <w:vAlign w:val="center"/>
          </w:tcPr>
          <w:p w14:paraId="6A3B40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石柱县职业教育中心片区</w:t>
            </w:r>
          </w:p>
        </w:tc>
        <w:tc>
          <w:tcPr>
            <w:tcW w:w="1214" w:type="pct"/>
            <w:noWrap/>
            <w:vAlign w:val="center"/>
          </w:tcPr>
          <w:p w14:paraId="0521A5A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石柱县职业教育中心等</w:t>
            </w:r>
          </w:p>
        </w:tc>
      </w:tr>
      <w:tr w14:paraId="5663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37" w:type="pct"/>
            <w:noWrap/>
            <w:vAlign w:val="center"/>
          </w:tcPr>
          <w:p w14:paraId="7B5E9EA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16</w:t>
            </w:r>
          </w:p>
        </w:tc>
        <w:tc>
          <w:tcPr>
            <w:tcW w:w="443" w:type="pct"/>
            <w:noWrap/>
            <w:vAlign w:val="center"/>
          </w:tcPr>
          <w:p w14:paraId="4E95BE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ZMJ-016</w:t>
            </w:r>
          </w:p>
        </w:tc>
        <w:tc>
          <w:tcPr>
            <w:tcW w:w="318" w:type="pct"/>
            <w:noWrap/>
            <w:vAlign w:val="center"/>
          </w:tcPr>
          <w:p w14:paraId="7656CF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rPr>
              <w:t>0.213</w:t>
            </w:r>
          </w:p>
        </w:tc>
        <w:tc>
          <w:tcPr>
            <w:tcW w:w="559" w:type="pct"/>
            <w:noWrap/>
            <w:vAlign w:val="center"/>
          </w:tcPr>
          <w:p w14:paraId="24ED80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rPr>
              <w:t>5002402L08</w:t>
            </w:r>
          </w:p>
        </w:tc>
        <w:tc>
          <w:tcPr>
            <w:tcW w:w="583" w:type="pct"/>
            <w:noWrap/>
            <w:vAlign w:val="center"/>
          </w:tcPr>
          <w:p w14:paraId="1D42EF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ascii="Times New Roman" w:hAnsi="Times New Roman" w:eastAsia="方正仿宋_GBK" w:cs="Times New Roman"/>
                <w:snapToGrid w:val="0"/>
                <w:color w:val="000000"/>
                <w:kern w:val="2"/>
                <w:sz w:val="24"/>
                <w:szCs w:val="24"/>
                <w:lang w:eastAsia="zh-CN"/>
              </w:rPr>
            </w:pPr>
            <w:r>
              <w:rPr>
                <w:rFonts w:ascii="Times New Roman" w:hAnsi="Times New Roman" w:eastAsia="方正仿宋_GBK" w:cs="Times New Roman"/>
                <w:snapToGrid w:val="0"/>
                <w:color w:val="000000"/>
                <w:kern w:val="2"/>
                <w:sz w:val="24"/>
                <w:szCs w:val="24"/>
                <w:lang w:eastAsia="zh-CN" w:bidi="ar"/>
              </w:rPr>
              <w:t>97.97</w:t>
            </w:r>
          </w:p>
        </w:tc>
        <w:tc>
          <w:tcPr>
            <w:tcW w:w="1643" w:type="pct"/>
            <w:noWrap/>
            <w:vAlign w:val="center"/>
          </w:tcPr>
          <w:p w14:paraId="524AA5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方正仿宋_GBK" w:hAnsi="Times New Roman" w:eastAsia="方正仿宋_GBK" w:cs="Times New Roman"/>
                <w:snapToGrid w:val="0"/>
                <w:color w:val="000000"/>
                <w:kern w:val="2"/>
                <w:sz w:val="24"/>
                <w:szCs w:val="24"/>
                <w:lang w:eastAsia="zh-CN"/>
              </w:rPr>
            </w:pPr>
            <w:r>
              <w:rPr>
                <w:rFonts w:hint="eastAsia" w:ascii="方正仿宋_GBK" w:hAnsi="Times New Roman" w:eastAsia="方正仿宋_GBK" w:cs="Times New Roman"/>
                <w:snapToGrid w:val="0"/>
                <w:color w:val="000000"/>
                <w:kern w:val="2"/>
                <w:sz w:val="24"/>
                <w:szCs w:val="24"/>
                <w:lang w:eastAsia="zh-CN"/>
              </w:rPr>
              <w:t>下路街道办事处片区</w:t>
            </w:r>
          </w:p>
        </w:tc>
        <w:tc>
          <w:tcPr>
            <w:tcW w:w="1214" w:type="pct"/>
            <w:noWrap/>
            <w:vAlign w:val="center"/>
          </w:tcPr>
          <w:p w14:paraId="129E5E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ascii="Times New Roman" w:hAnsi="Times New Roman" w:eastAsia="方正仿宋_GBK" w:cs="Times New Roman"/>
                <w:snapToGrid w:val="0"/>
                <w:color w:val="000000"/>
                <w:kern w:val="2"/>
                <w:sz w:val="24"/>
                <w:szCs w:val="24"/>
                <w:lang w:eastAsia="zh-CN" w:bidi="ar"/>
              </w:rPr>
            </w:pPr>
            <w:r>
              <w:rPr>
                <w:rFonts w:ascii="Times New Roman" w:hAnsi="Times New Roman" w:eastAsia="方正仿宋_GBK" w:cs="Times New Roman"/>
                <w:snapToGrid w:val="0"/>
                <w:color w:val="000000"/>
                <w:kern w:val="2"/>
                <w:sz w:val="24"/>
                <w:szCs w:val="24"/>
                <w:lang w:eastAsia="zh-CN" w:bidi="ar"/>
              </w:rPr>
              <w:t>下路小学、下路中学、下路街道办事处、宏达雅苑等</w:t>
            </w:r>
          </w:p>
        </w:tc>
      </w:tr>
    </w:tbl>
    <w:p w14:paraId="6697DCC8">
      <w:pPr>
        <w:widowControl w:val="0"/>
        <w:snapToGrid w:val="0"/>
        <w:spacing w:before="0" w:beforeAutospacing="0" w:after="0" w:afterAutospacing="0" w:line="520" w:lineRule="exact"/>
        <w:jc w:val="left"/>
        <w:outlineLvl w:val="0"/>
        <w:rPr>
          <w:rFonts w:hint="eastAsia" w:ascii="黑体" w:hAnsi="黑体" w:eastAsia="黑体" w:cs="黑体"/>
          <w:b w:val="0"/>
          <w:bCs w:val="0"/>
          <w:snapToGrid w:val="0"/>
          <w:kern w:val="2"/>
          <w:sz w:val="32"/>
          <w:szCs w:val="32"/>
          <w:lang w:val="en-US" w:eastAsia="zh-CN" w:bidi="ar-SA"/>
        </w:rPr>
      </w:pPr>
      <w:r>
        <w:rPr>
          <w:rFonts w:hint="eastAsia" w:ascii="黑体" w:hAnsi="黑体" w:eastAsia="黑体" w:cs="黑体"/>
          <w:b w:val="0"/>
          <w:bCs w:val="0"/>
          <w:snapToGrid w:val="0"/>
          <w:kern w:val="2"/>
          <w:sz w:val="32"/>
          <w:szCs w:val="32"/>
          <w:lang w:val="en-US" w:eastAsia="zh-CN" w:bidi="ar-SA"/>
        </w:rPr>
        <w:t>附件2</w:t>
      </w:r>
    </w:p>
    <w:p w14:paraId="2F1BDD31">
      <w:pPr>
        <w:widowControl w:val="0"/>
        <w:snapToGrid w:val="0"/>
        <w:spacing w:before="0" w:beforeAutospacing="0" w:after="0" w:afterAutospacing="0" w:line="520" w:lineRule="exact"/>
        <w:jc w:val="center"/>
        <w:outlineLvl w:val="0"/>
        <w:rPr>
          <w:rFonts w:hint="eastAsia" w:ascii="方正小标宋_GBK" w:hAnsi="宋体" w:eastAsia="方正小标宋_GBK" w:cs="宋体"/>
          <w:b w:val="0"/>
          <w:bCs w:val="0"/>
          <w:snapToGrid w:val="0"/>
          <w:kern w:val="2"/>
          <w:sz w:val="36"/>
          <w:szCs w:val="36"/>
          <w:lang w:val="en-US" w:eastAsia="zh-CN" w:bidi="ar-SA"/>
        </w:rPr>
      </w:pPr>
      <w:r>
        <w:rPr>
          <w:rFonts w:hint="eastAsia" w:ascii="方正小标宋_GBK" w:hAnsi="宋体" w:eastAsia="方正小标宋_GBK" w:cs="宋体"/>
          <w:b w:val="0"/>
          <w:bCs w:val="0"/>
          <w:snapToGrid w:val="0"/>
          <w:kern w:val="2"/>
          <w:sz w:val="36"/>
          <w:szCs w:val="36"/>
          <w:lang w:val="en-US" w:eastAsia="zh-CN" w:bidi="ar-SA"/>
        </w:rPr>
        <w:t>石柱县噪声敏感建筑物集中区域划分范围</w:t>
      </w:r>
    </w:p>
    <w:p w14:paraId="66FFDEA0">
      <w:pPr>
        <w:pStyle w:val="11"/>
        <w:kinsoku/>
        <w:autoSpaceDE/>
        <w:autoSpaceDN/>
        <w:adjustRightInd/>
        <w:snapToGrid/>
        <w:spacing w:line="240" w:lineRule="auto"/>
        <w:textAlignment w:val="auto"/>
        <w:rPr>
          <w:rFonts w:eastAsia="宋体"/>
          <w:snapToGrid w:val="0"/>
        </w:rPr>
      </w:pPr>
      <w:r>
        <w:drawing>
          <wp:anchor distT="0" distB="0" distL="114300" distR="114300" simplePos="0" relativeHeight="251659264" behindDoc="0" locked="0" layoutInCell="1" allowOverlap="1">
            <wp:simplePos x="0" y="0"/>
            <wp:positionH relativeFrom="page">
              <wp:posOffset>1209675</wp:posOffset>
            </wp:positionH>
            <wp:positionV relativeFrom="page">
              <wp:posOffset>2002790</wp:posOffset>
            </wp:positionV>
            <wp:extent cx="8353425" cy="3922395"/>
            <wp:effectExtent l="0" t="0" r="9525" b="1905"/>
            <wp:wrapNone/>
            <wp:docPr id="22" name="图片 4" descr="石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石柱1"/>
                    <pic:cNvPicPr>
                      <a:picLocks noChangeAspect="1"/>
                    </pic:cNvPicPr>
                  </pic:nvPicPr>
                  <pic:blipFill>
                    <a:blip r:embed="rId16"/>
                    <a:srcRect t="3189" b="2618"/>
                    <a:stretch>
                      <a:fillRect/>
                    </a:stretch>
                  </pic:blipFill>
                  <pic:spPr>
                    <a:xfrm>
                      <a:off x="0" y="0"/>
                      <a:ext cx="8353425" cy="3922395"/>
                    </a:xfrm>
                    <a:prstGeom prst="rect">
                      <a:avLst/>
                    </a:prstGeom>
                    <a:noFill/>
                    <a:ln>
                      <a:noFill/>
                    </a:ln>
                  </pic:spPr>
                </pic:pic>
              </a:graphicData>
            </a:graphic>
          </wp:anchor>
        </w:drawing>
      </w:r>
    </w:p>
    <w:sectPr>
      <w:headerReference r:id="rId11" w:type="default"/>
      <w:footerReference r:id="rId13" w:type="default"/>
      <w:headerReference r:id="rId12" w:type="even"/>
      <w:footerReference r:id="rId14" w:type="even"/>
      <w:pgSz w:w="16839" w:h="11906" w:orient="landscape"/>
      <w:pgMar w:top="1531" w:right="1440" w:bottom="1531" w:left="1440" w:header="850" w:footer="28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CE27">
    <w:pPr>
      <w:widowControl w:val="0"/>
      <w:wordWrap w:val="0"/>
      <w:snapToGrid w:val="0"/>
      <w:jc w:val="right"/>
      <w:rPr>
        <w:rFonts w:hint="eastAsia" w:ascii="方正仿宋_GBK" w:hAnsi="Times New Roman" w:eastAsia="方正仿宋_GBK"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A9670">
                          <w:pPr>
                            <w:widowControl w:val="0"/>
                            <w:wordWrap w:val="0"/>
                            <w:snapToGrid w:val="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40A9670">
                    <w:pPr>
                      <w:widowControl w:val="0"/>
                      <w:wordWrap w:val="0"/>
                      <w:snapToGrid w:val="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258D186C">
    <w:pPr>
      <w:spacing w:before="92" w:line="220" w:lineRule="auto"/>
      <w:ind w:left="210" w:hanging="321" w:hangingChars="100"/>
      <w:jc w:val="right"/>
      <w:rPr>
        <w:rFonts w:hint="eastAsia" w:eastAsia="宋体"/>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156845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1006475" y="124333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12.35pt;height:0pt;width:442.55pt;z-index:251663360;mso-width-relative:page;mso-height-relative:page;" filled="f" stroked="t" coordsize="21600,21600" o:gfxdata="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a3OeXTAAAABwEAAA8AAAAAAAAAAQAgAAAAIgAAAGRycy9kb3ducmV2LnhtbFBLAQIU&#10;ABQAAAAIAIdO4kDbFtQv+AEAAMwDAAAOAAAAAAAAAAEAIAAAACI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sz w:val="28"/>
        <w:szCs w:val="28"/>
        <w:lang w:val="en-US" w:eastAsia="zh-CN"/>
      </w:rPr>
      <w:t xml:space="preserve">     </w:t>
    </w:r>
  </w:p>
  <w:p w14:paraId="0B61B581">
    <w:pPr>
      <w:spacing w:before="92" w:line="220" w:lineRule="auto"/>
      <w:ind w:left="275" w:leftChars="131" w:firstLine="2201" w:firstLineChars="800"/>
      <w:jc w:val="both"/>
      <w:rPr>
        <w:rFonts w:ascii="宋体" w:hAnsi="宋体" w:eastAsia="宋体" w:cs="宋体"/>
        <w:sz w:val="28"/>
        <w:szCs w:val="28"/>
      </w:rPr>
    </w:pPr>
    <w:r>
      <w:rPr>
        <w:rFonts w:ascii="宋体" w:hAnsi="宋体" w:eastAsia="宋体" w:cs="宋体"/>
        <w:b/>
        <w:bCs/>
        <w:color w:val="005192"/>
        <w:spacing w:val="-3"/>
        <w:sz w:val="28"/>
        <w:szCs w:val="28"/>
      </w:rPr>
      <w:t>重庆市石柱土家族自治县人民政府办公室发布</w:t>
    </w:r>
  </w:p>
  <w:p w14:paraId="3771B52C">
    <w:pPr>
      <w:widowControl w:val="0"/>
      <w:wordWrap/>
      <w:snapToGrid w:val="0"/>
      <w:jc w:val="right"/>
      <w:rPr>
        <w:rFonts w:hint="eastAsia" w:ascii="方正仿宋_GBK" w:hAnsi="Times New Roman" w:eastAsia="方正仿宋_GBK" w:cs="Times New Roman"/>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8BD6">
    <w:pPr>
      <w:widowControl w:val="0"/>
      <w:snapToGrid w:val="0"/>
      <w:ind w:firstLine="140" w:firstLineChars="50"/>
      <w:jc w:val="left"/>
      <w:rPr>
        <w:rFonts w:ascii="Times New Roman" w:hAnsi="Times New Roman" w:eastAsia="宋体" w:cs="Times New Roman"/>
        <w:kern w:val="2"/>
        <w:sz w:val="18"/>
        <w:szCs w:val="24"/>
        <w:lang w:val="en-US" w:eastAsia="zh-CN" w:bidi="ar-SA"/>
      </w:rPr>
    </w:pPr>
    <w:r>
      <w:rPr>
        <w:rFonts w:hint="eastAsia" w:ascii="方正仿宋_GBK" w:hAnsi="Times New Roman" w:eastAsia="方正仿宋_GBK" w:cs="Times New Roman"/>
        <w:kern w:val="2"/>
        <w:sz w:val="28"/>
        <w:szCs w:val="28"/>
        <w:lang w:val="en-US" w:eastAsia="zh-CN" w:bidi="ar-SA"/>
      </w:rPr>
      <w:t xml:space="preserve">— </w:t>
    </w:r>
    <w:r>
      <w:rPr>
        <w:rFonts w:ascii="Times New Roman" w:hAnsi="Times New Roman" w:eastAsia="方正仿宋_GBK" w:cs="Times New Roman"/>
        <w:kern w:val="2"/>
        <w:sz w:val="28"/>
        <w:szCs w:val="28"/>
        <w:lang w:val="en-US" w:eastAsia="zh-CN" w:bidi="ar-SA"/>
      </w:rPr>
      <w:fldChar w:fldCharType="begin"/>
    </w:r>
    <w:r>
      <w:rPr>
        <w:rFonts w:ascii="Times New Roman" w:hAnsi="Times New Roman" w:eastAsia="方正仿宋_GBK" w:cs="Times New Roman"/>
        <w:kern w:val="2"/>
        <w:sz w:val="28"/>
        <w:szCs w:val="28"/>
        <w:lang w:val="en-US" w:eastAsia="zh-CN" w:bidi="ar-SA"/>
      </w:rPr>
      <w:instrText xml:space="preserve">PAGE   \* MERGEFORMAT</w:instrText>
    </w:r>
    <w:r>
      <w:rPr>
        <w:rFonts w:ascii="Times New Roman" w:hAnsi="Times New Roman" w:eastAsia="方正仿宋_GBK" w:cs="Times New Roman"/>
        <w:kern w:val="2"/>
        <w:sz w:val="28"/>
        <w:szCs w:val="28"/>
        <w:lang w:val="en-US" w:eastAsia="zh-CN" w:bidi="ar-SA"/>
      </w:rPr>
      <w:fldChar w:fldCharType="separate"/>
    </w:r>
    <w:r>
      <w:rPr>
        <w:rFonts w:ascii="Times New Roman" w:hAnsi="Times New Roman" w:eastAsia="方正仿宋_GBK" w:cs="Times New Roman"/>
        <w:kern w:val="2"/>
        <w:sz w:val="28"/>
        <w:szCs w:val="28"/>
        <w:lang w:val="zh-CN" w:eastAsia="zh-CN" w:bidi="ar-SA"/>
      </w:rPr>
      <w:t>2</w:t>
    </w:r>
    <w:r>
      <w:rPr>
        <w:rFonts w:ascii="Times New Roman" w:hAnsi="Times New Roman" w:eastAsia="方正仿宋_GBK" w:cs="Times New Roman"/>
        <w:kern w:val="2"/>
        <w:sz w:val="28"/>
        <w:szCs w:val="28"/>
        <w:lang w:val="en-US" w:eastAsia="zh-CN" w:bidi="ar-SA"/>
      </w:rPr>
      <w:fldChar w:fldCharType="end"/>
    </w:r>
    <w:r>
      <w:rPr>
        <w:rFonts w:hint="eastAsia" w:ascii="方正仿宋_GBK" w:hAnsi="Times New Roman" w:eastAsia="方正仿宋_GBK"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34D2">
    <w:pPr>
      <w:widowControl w:val="0"/>
      <w:snapToGrid w:val="0"/>
      <w:ind w:firstLine="36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F482">
    <w:pPr>
      <w:widowControl w:val="0"/>
      <w:wordWrap w:val="0"/>
      <w:snapToGrid w:val="0"/>
      <w:jc w:val="right"/>
      <w:rPr>
        <w:rFonts w:hint="eastAsia" w:eastAsia="宋体"/>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B0F6A">
                          <w:pPr>
                            <w:pStyle w:val="12"/>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61312;mso-width-relative:page;mso-height-relative:page;" filled="f" stroked="f" coordsize="21600,21600" o:gfxdata="UEsDBAoAAAAAAIdO4kAAAAAAAAAAAAAAAAAEAAAAZHJzL1BLAwQUAAAACACHTuJAxAFgb9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QBYG/UAAAACAEAAA8AAAAAAAAAAQAgAAAAIgAAAGRycy9kb3ducmV2LnhtbFBL&#10;AQIUABQAAAAIAIdO4kAIxY6ZMwIAAGMEAAAOAAAAAAAAAAEAIAAAACMBAABkcnMvZTJvRG9jLnht&#10;bFBLBQYAAAAABgAGAFkBAADIBQAAAAA=&#10;">
              <v:fill on="f" focussize="0,0"/>
              <v:stroke on="f" weight="0.5pt"/>
              <v:imagedata o:title=""/>
              <o:lock v:ext="edit" aspectratio="f"/>
              <v:textbox inset="0mm,0mm,0mm,0mm" style="mso-fit-shape-to-text:t;">
                <w:txbxContent>
                  <w:p w14:paraId="632B0F6A">
                    <w:pPr>
                      <w:pStyle w:val="12"/>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5408" behindDoc="0" locked="0" layoutInCell="1" allowOverlap="1">
              <wp:simplePos x="0" y="0"/>
              <wp:positionH relativeFrom="column">
                <wp:posOffset>8255</wp:posOffset>
              </wp:positionH>
              <wp:positionV relativeFrom="paragraph">
                <wp:posOffset>77470</wp:posOffset>
              </wp:positionV>
              <wp:extent cx="8848090" cy="635"/>
              <wp:effectExtent l="0" t="10795" r="10160" b="17145"/>
              <wp:wrapNone/>
              <wp:docPr id="3" name="直接连接符 3"/>
              <wp:cNvGraphicFramePr/>
              <a:graphic xmlns:a="http://schemas.openxmlformats.org/drawingml/2006/main">
                <a:graphicData uri="http://schemas.microsoft.com/office/word/2010/wordprocessingShape">
                  <wps:wsp>
                    <wps:cNvCnPr/>
                    <wps:spPr>
                      <a:xfrm flipV="1">
                        <a:off x="922655" y="916305"/>
                        <a:ext cx="8848090" cy="63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5pt;margin-top:6.1pt;height:0.05pt;width:696.7pt;z-index:251665408;mso-width-relative:page;mso-height-relative:page;" filled="f" stroked="t" coordsize="21600,21600" o:gfxdata="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xmd+fYAAAACAEAAA8AAAAAAAAAAQAgAAAAIgAAAGRycy9k&#10;b3ducmV2LnhtbFBLAQIUABQAAAAIAIdO4kAeTsTOAgIAANYDAAAOAAAAAAAAAAEAIAAAACcBAABk&#10;cnMvZTJvRG9jLnhtbFBLBQYAAAAABgAGAFkBAACbBQAAAAA=&#10;">
              <v:fill on="f" focussize="0,0"/>
              <v:stroke weight="1.75pt" color="#005192 [3204]" miterlimit="8" joinstyle="miter"/>
              <v:imagedata o:title=""/>
              <o:lock v:ext="edit" aspectratio="f"/>
            </v:line>
          </w:pict>
        </mc:Fallback>
      </mc:AlternateContent>
    </w:r>
    <w:r>
      <w:rPr>
        <w:rFonts w:hint="eastAsia" w:ascii="宋体" w:hAnsi="宋体" w:eastAsia="宋体" w:cs="宋体"/>
        <w:kern w:val="2"/>
        <w:sz w:val="28"/>
        <w:szCs w:val="28"/>
        <w:lang w:val="en-US" w:eastAsia="zh-CN" w:bidi="ar-SA"/>
      </w:rPr>
      <w:t xml:space="preserve">     </w:t>
    </w:r>
  </w:p>
  <w:p w14:paraId="32E86608">
    <w:pPr>
      <w:spacing w:before="92" w:line="220" w:lineRule="auto"/>
      <w:ind w:left="275" w:leftChars="131" w:firstLine="2201" w:firstLineChars="800"/>
      <w:jc w:val="center"/>
      <w:rPr>
        <w:rFonts w:ascii="宋体" w:hAnsi="宋体" w:eastAsia="宋体" w:cs="宋体"/>
        <w:sz w:val="28"/>
        <w:szCs w:val="28"/>
      </w:rPr>
    </w:pPr>
    <w:r>
      <w:rPr>
        <w:rFonts w:hint="eastAsia" w:ascii="宋体" w:hAnsi="宋体" w:eastAsia="宋体" w:cs="宋体"/>
        <w:b/>
        <w:bCs/>
        <w:color w:val="005192"/>
        <w:spacing w:val="-3"/>
        <w:sz w:val="28"/>
        <w:szCs w:val="28"/>
        <w:lang w:val="en-US" w:eastAsia="zh-CN"/>
      </w:rPr>
      <w:t xml:space="preserve">                         </w:t>
    </w:r>
    <w:r>
      <w:rPr>
        <w:rFonts w:ascii="宋体" w:hAnsi="宋体" w:eastAsia="宋体" w:cs="宋体"/>
        <w:b/>
        <w:bCs/>
        <w:color w:val="005192"/>
        <w:spacing w:val="-3"/>
        <w:sz w:val="28"/>
        <w:szCs w:val="28"/>
      </w:rPr>
      <w:t>重庆市石柱土家族自治县人民政府办公室发布</w:t>
    </w:r>
  </w:p>
  <w:p w14:paraId="00604B1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3ED3">
    <w:pPr>
      <w:widowControl w:val="0"/>
      <w:snapToGrid w:val="0"/>
      <w:ind w:firstLine="140" w:firstLineChars="50"/>
      <w:jc w:val="left"/>
      <w:rPr>
        <w:rFonts w:ascii="Times New Roman" w:hAnsi="Times New Roman" w:eastAsia="宋体" w:cs="Times New Roman"/>
        <w:kern w:val="2"/>
        <w:sz w:val="18"/>
        <w:szCs w:val="24"/>
        <w:lang w:val="en-US" w:eastAsia="zh-CN" w:bidi="ar-SA"/>
      </w:rPr>
    </w:pPr>
    <w:r>
      <w:rPr>
        <w:rFonts w:hint="eastAsia" w:ascii="方正仿宋_GBK" w:hAnsi="Times New Roman" w:eastAsia="方正仿宋_GBK" w:cs="Times New Roman"/>
        <w:kern w:val="2"/>
        <w:sz w:val="28"/>
        <w:szCs w:val="28"/>
        <w:lang w:val="en-US" w:eastAsia="zh-CN" w:bidi="ar-SA"/>
      </w:rPr>
      <w:t xml:space="preserve">— </w:t>
    </w:r>
    <w:r>
      <w:rPr>
        <w:rFonts w:ascii="Times New Roman" w:hAnsi="Times New Roman" w:eastAsia="方正仿宋_GBK" w:cs="Times New Roman"/>
        <w:kern w:val="2"/>
        <w:sz w:val="28"/>
        <w:szCs w:val="28"/>
        <w:lang w:val="en-US" w:eastAsia="zh-CN" w:bidi="ar-SA"/>
      </w:rPr>
      <w:fldChar w:fldCharType="begin"/>
    </w:r>
    <w:r>
      <w:rPr>
        <w:rFonts w:ascii="Times New Roman" w:hAnsi="Times New Roman" w:eastAsia="方正仿宋_GBK" w:cs="Times New Roman"/>
        <w:kern w:val="2"/>
        <w:sz w:val="28"/>
        <w:szCs w:val="28"/>
        <w:lang w:val="en-US" w:eastAsia="zh-CN" w:bidi="ar-SA"/>
      </w:rPr>
      <w:instrText xml:space="preserve">PAGE   \* MERGEFORMAT</w:instrText>
    </w:r>
    <w:r>
      <w:rPr>
        <w:rFonts w:ascii="Times New Roman" w:hAnsi="Times New Roman" w:eastAsia="方正仿宋_GBK" w:cs="Times New Roman"/>
        <w:kern w:val="2"/>
        <w:sz w:val="28"/>
        <w:szCs w:val="28"/>
        <w:lang w:val="en-US" w:eastAsia="zh-CN" w:bidi="ar-SA"/>
      </w:rPr>
      <w:fldChar w:fldCharType="separate"/>
    </w:r>
    <w:r>
      <w:rPr>
        <w:rFonts w:ascii="Times New Roman" w:hAnsi="Times New Roman" w:eastAsia="方正仿宋_GBK" w:cs="Times New Roman"/>
        <w:kern w:val="2"/>
        <w:sz w:val="28"/>
        <w:szCs w:val="28"/>
        <w:lang w:val="zh-CN" w:eastAsia="zh-CN" w:bidi="ar-SA"/>
      </w:rPr>
      <w:t>2</w:t>
    </w:r>
    <w:r>
      <w:rPr>
        <w:rFonts w:ascii="Times New Roman" w:hAnsi="Times New Roman" w:eastAsia="方正仿宋_GBK" w:cs="Times New Roman"/>
        <w:kern w:val="2"/>
        <w:sz w:val="28"/>
        <w:szCs w:val="28"/>
        <w:lang w:val="en-US" w:eastAsia="zh-CN" w:bidi="ar-SA"/>
      </w:rPr>
      <w:fldChar w:fldCharType="end"/>
    </w:r>
    <w:r>
      <w:rPr>
        <w:rFonts w:hint="eastAsia" w:ascii="方正仿宋_GBK" w:hAnsi="Times New Roman" w:eastAsia="方正仿宋_GBK" w:cs="Times New Roman"/>
        <w:kern w:val="2"/>
        <w:sz w:val="28"/>
        <w:szCs w:val="28"/>
        <w:lang w:val="en-US"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7BDD">
    <w:pPr>
      <w:spacing w:before="29"/>
      <w:ind w:left="40"/>
      <w:rPr>
        <w:rFonts w:ascii="宋体" w:hAnsi="宋体" w:eastAsia="宋体" w:cs="宋体"/>
        <w:sz w:val="32"/>
        <w:szCs w:val="32"/>
      </w:rPr>
    </w:pPr>
    <w:r>
      <w:rPr>
        <w:rFonts w:ascii="宋体" w:hAnsi="宋体" w:eastAsia="宋体" w:cs="宋体"/>
        <w:color w:val="005192"/>
        <w:position w:val="-8"/>
        <w:sz w:val="31"/>
        <w:szCs w:val="31"/>
      </w:rPr>
      <w:drawing>
        <wp:inline distT="0" distB="0" distL="0" distR="0">
          <wp:extent cx="259715" cy="273050"/>
          <wp:effectExtent l="0" t="0" r="0" b="0"/>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1"/>
                  <a:stretch>
                    <a:fillRect/>
                  </a:stretch>
                </pic:blipFill>
                <pic:spPr>
                  <a:xfrm>
                    <a:off x="0" y="0"/>
                    <a:ext cx="259872" cy="273674"/>
                  </a:xfrm>
                  <a:prstGeom prst="rect">
                    <a:avLst/>
                  </a:prstGeom>
                </pic:spPr>
              </pic:pic>
            </a:graphicData>
          </a:graphic>
        </wp:inline>
      </w:drawing>
    </w:r>
    <w:r>
      <w:rPr>
        <w:rFonts w:ascii="宋体" w:hAnsi="宋体" w:eastAsia="宋体" w:cs="宋体"/>
        <w:b/>
        <w:bCs/>
        <w:color w:val="005192"/>
        <w:spacing w:val="10"/>
        <w:sz w:val="32"/>
        <w:szCs w:val="32"/>
      </w:rPr>
      <w:t>重庆市石柱土家族自治县人民政府行政规范性文件</w:t>
    </w:r>
  </w:p>
  <w:p w14:paraId="7FACB5C8">
    <w:pPr>
      <w:spacing w:before="146" w:line="25" w:lineRule="exact"/>
    </w:pPr>
  </w:p>
  <w:p w14:paraId="0858D350">
    <w:pPr>
      <w:pStyle w:val="13"/>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48260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1006475" y="124333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3.8pt;height:0pt;width:442.55pt;z-index:251662336;mso-width-relative:page;mso-height-relative:page;" filled="f" stroked="t" coordsize="21600,21600" o:gfxdata="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H2Gt0QAAAAUBAAAPAAAAAAAAAAEAIAAAACIAAABkcnMvZG93bnJldi54bWxQSwECFAAU&#10;AAAACACHTuJAIBtbu/gBAADMAwAADgAAAAAAAAABACAAAAAgAQAAZHJzL2Uyb0RvYy54bWxQSwUG&#10;AAAAAAYABgBZAQAAigU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CF04">
    <w:pPr>
      <w:pStyle w:val="13"/>
      <w:kinsoku/>
      <w:autoSpaceDE/>
      <w:autoSpaceDN/>
      <w:adjustRightInd/>
      <w:ind w:firstLine="360"/>
      <w:textAlignment w:val="auto"/>
      <w:rPr>
        <w:rFonts w:eastAsia="宋体" w:cs="Times New Roman"/>
        <w:snapToGr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93EF">
    <w:pPr>
      <w:pStyle w:val="13"/>
      <w:kinsoku/>
      <w:autoSpaceDE/>
      <w:autoSpaceDN/>
      <w:adjustRightInd/>
      <w:ind w:firstLine="360"/>
      <w:textAlignment w:val="auto"/>
      <w:rPr>
        <w:rFonts w:eastAsia="宋体" w:cs="Times New Roman"/>
        <w:snapToGr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F5E0">
    <w:pPr>
      <w:spacing w:before="29"/>
      <w:ind w:left="40"/>
      <w:rPr>
        <w:rFonts w:ascii="宋体" w:hAnsi="宋体" w:eastAsia="宋体" w:cs="宋体"/>
        <w:sz w:val="31"/>
        <w:szCs w:val="31"/>
      </w:rPr>
    </w:pPr>
    <w:r>
      <w:rPr>
        <w:rFonts w:ascii="宋体" w:hAnsi="宋体" w:eastAsia="宋体" w:cs="宋体"/>
        <w:color w:val="005192"/>
        <w:position w:val="-8"/>
        <w:sz w:val="31"/>
        <w:szCs w:val="31"/>
      </w:rPr>
      <w:drawing>
        <wp:inline distT="0" distB="0" distL="0" distR="0">
          <wp:extent cx="259715" cy="273050"/>
          <wp:effectExtent l="0" t="0" r="0" b="0"/>
          <wp:docPr id="18" name="IM 2"/>
          <wp:cNvGraphicFramePr/>
          <a:graphic xmlns:a="http://schemas.openxmlformats.org/drawingml/2006/main">
            <a:graphicData uri="http://schemas.openxmlformats.org/drawingml/2006/picture">
              <pic:pic xmlns:pic="http://schemas.openxmlformats.org/drawingml/2006/picture">
                <pic:nvPicPr>
                  <pic:cNvPr id="18" name="IM 2"/>
                  <pic:cNvPicPr/>
                </pic:nvPicPr>
                <pic:blipFill>
                  <a:blip r:embed="rId1"/>
                  <a:stretch>
                    <a:fillRect/>
                  </a:stretch>
                </pic:blipFill>
                <pic:spPr>
                  <a:xfrm>
                    <a:off x="0" y="0"/>
                    <a:ext cx="259872" cy="273674"/>
                  </a:xfrm>
                  <a:prstGeom prst="rect">
                    <a:avLst/>
                  </a:prstGeom>
                </pic:spPr>
              </pic:pic>
            </a:graphicData>
          </a:graphic>
        </wp:inline>
      </w:drawing>
    </w:r>
    <w:r>
      <w:rPr>
        <w:rFonts w:ascii="宋体" w:hAnsi="宋体" w:eastAsia="宋体" w:cs="宋体"/>
        <w:b/>
        <w:bCs/>
        <w:color w:val="005192"/>
        <w:spacing w:val="10"/>
        <w:sz w:val="32"/>
        <w:szCs w:val="32"/>
      </w:rPr>
      <w:t>重庆市石柱土家族自治县人民政府行政规范性文件</w:t>
    </w:r>
  </w:p>
  <w:p w14:paraId="423B0BF1">
    <w:pPr>
      <w:spacing w:before="146" w:line="25" w:lineRule="exac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77470</wp:posOffset>
              </wp:positionV>
              <wp:extent cx="8848090" cy="635"/>
              <wp:effectExtent l="0" t="10795" r="10160" b="17145"/>
              <wp:wrapNone/>
              <wp:docPr id="2" name="直接连接符 2"/>
              <wp:cNvGraphicFramePr/>
              <a:graphic xmlns:a="http://schemas.openxmlformats.org/drawingml/2006/main">
                <a:graphicData uri="http://schemas.microsoft.com/office/word/2010/wordprocessingShape">
                  <wps:wsp>
                    <wps:cNvCnPr/>
                    <wps:spPr>
                      <a:xfrm flipV="1">
                        <a:off x="1006475" y="1243330"/>
                        <a:ext cx="8848090" cy="63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5pt;margin-top:6.1pt;height:0.05pt;width:696.7pt;z-index:251664384;mso-width-relative:page;mso-height-relative:page;" filled="f" stroked="t" coordsize="21600,21600" o:gfxdata="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Znfn2AAAAAgBAAAPAAAAAAAAAAEAIAAAACIAAABkcnMvZG93&#10;bnJldi54bWxQSwECFAAUAAAACACHTuJAzRQfUQACAADYAwAADgAAAAAAAAABACAAAAAnAQAAZHJz&#10;L2Uyb0RvYy54bWxQSwUGAAAAAAYABgBZAQAAmQUAAAAA&#10;">
              <v:fill on="f" focussize="0,0"/>
              <v:stroke weight="1.75pt" color="#005192 [3204]" miterlimit="8" joinstyle="miter"/>
              <v:imagedata o:title=""/>
              <o:lock v:ext="edit" aspectratio="f"/>
            </v:line>
          </w:pict>
        </mc:Fallback>
      </mc:AlternateContent>
    </w:r>
  </w:p>
  <w:p w14:paraId="4E28787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A05D">
    <w:pPr>
      <w:pStyle w:val="13"/>
      <w:kinsoku/>
      <w:autoSpaceDE/>
      <w:autoSpaceDN/>
      <w:adjustRightInd/>
      <w:ind w:firstLine="360"/>
      <w:textAlignment w:val="auto"/>
      <w:rPr>
        <w:rFonts w:eastAsia="宋体" w:cs="Times New Roman"/>
        <w:snapToGr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6F1983"/>
    <w:rsid w:val="327F3614"/>
    <w:rsid w:val="395C2A99"/>
    <w:rsid w:val="57A1432B"/>
    <w:rsid w:val="679C1695"/>
    <w:rsid w:val="7CDA2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next w:val="1"/>
    <w:qFormat/>
    <w:uiPriority w:val="0"/>
    <w:pPr>
      <w:widowControl/>
      <w:spacing w:before="100" w:beforeAutospacing="1" w:after="100" w:afterAutospacing="1"/>
      <w:jc w:val="left"/>
      <w:outlineLvl w:val="0"/>
    </w:pPr>
    <w:rPr>
      <w:rFonts w:ascii="宋体" w:hAnsi="宋体" w:eastAsia="宋体" w:cs="宋体"/>
      <w:b/>
      <w:bCs/>
      <w:kern w:val="36"/>
      <w:sz w:val="48"/>
      <w:szCs w:val="48"/>
      <w:lang w:val="en-US" w:eastAsia="zh-CN" w:bidi="ar-SA"/>
    </w:rPr>
  </w:style>
  <w:style w:type="paragraph" w:styleId="8">
    <w:name w:val="heading 2"/>
    <w:next w:val="1"/>
    <w:qFormat/>
    <w:uiPriority w:val="0"/>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leftChars="200" w:firstLine="420" w:firstLineChars="200"/>
    </w:pPr>
  </w:style>
  <w:style w:type="paragraph" w:styleId="3">
    <w:name w:val="Body Text Indent"/>
    <w:basedOn w:val="1"/>
    <w:next w:val="1"/>
    <w:qFormat/>
    <w:uiPriority w:val="0"/>
    <w:pPr>
      <w:ind w:firstLine="560" w:firstLineChars="200"/>
    </w:pPr>
    <w:rPr>
      <w:rFonts w:eastAsia="华文仿宋"/>
      <w:sz w:val="28"/>
    </w:rPr>
  </w:style>
  <w:style w:type="paragraph" w:customStyle="1" w:styleId="4">
    <w:name w:val="样式 正文首行缩进 2 + 首行缩进:  2 字符"/>
    <w:basedOn w:val="1"/>
    <w:next w:val="5"/>
    <w:qFormat/>
    <w:uiPriority w:val="0"/>
    <w:pPr>
      <w:ind w:firstLine="480"/>
    </w:pPr>
    <w:rPr>
      <w:rFonts w:cs="宋体"/>
      <w:sz w:val="24"/>
    </w:rPr>
  </w:style>
  <w:style w:type="paragraph" w:customStyle="1" w:styleId="5">
    <w:name w:val="正文 A"/>
    <w:next w:val="6"/>
    <w:qFormat/>
    <w:uiPriority w:val="0"/>
    <w:pPr>
      <w:widowControl w:val="0"/>
      <w:jc w:val="both"/>
    </w:pPr>
    <w:rPr>
      <w:rFonts w:ascii="仿宋_GB2312" w:hAnsi="仿宋_GB2312" w:eastAsia="仿宋_GB2312" w:cs="仿宋_GB2312"/>
      <w:color w:val="000000"/>
      <w:kern w:val="2"/>
      <w:sz w:val="24"/>
      <w:szCs w:val="24"/>
      <w:lang w:val="en-US" w:eastAsia="zh-CN" w:bidi="ar-SA"/>
    </w:rPr>
  </w:style>
  <w:style w:type="paragraph" w:customStyle="1" w:styleId="6">
    <w:name w:val="正文首行缩进 21"/>
    <w:next w:val="4"/>
    <w:qFormat/>
    <w:uiPriority w:val="0"/>
    <w:pPr>
      <w:widowControl w:val="0"/>
      <w:spacing w:after="120" w:line="600" w:lineRule="exact"/>
      <w:ind w:left="420" w:firstLine="420"/>
      <w:jc w:val="both"/>
    </w:pPr>
    <w:rPr>
      <w:rFonts w:hint="eastAsia" w:ascii="Arial Unicode MS" w:hAnsi="Arial Unicode MS" w:eastAsia="Times New Roman" w:cs="Arial Unicode MS"/>
      <w:color w:val="000000"/>
      <w:kern w:val="2"/>
      <w:sz w:val="21"/>
      <w:szCs w:val="21"/>
      <w:lang w:val="en-US" w:eastAsia="zh-CN" w:bidi="ar-SA"/>
    </w:rPr>
  </w:style>
  <w:style w:type="paragraph" w:styleId="9">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10">
    <w:name w:val="toc 5"/>
    <w:next w:val="1"/>
    <w:qFormat/>
    <w:uiPriority w:val="0"/>
    <w:pPr>
      <w:widowControl w:val="0"/>
      <w:ind w:left="1680" w:leftChars="800"/>
      <w:jc w:val="both"/>
    </w:pPr>
    <w:rPr>
      <w:rFonts w:ascii="Times New Roman" w:hAnsi="Times New Roman" w:eastAsia="宋体" w:cs="Times New Roman"/>
      <w:kern w:val="2"/>
      <w:sz w:val="32"/>
      <w:szCs w:val="24"/>
      <w:lang w:val="en-US" w:eastAsia="zh-CN" w:bidi="ar-SA"/>
    </w:rPr>
  </w:style>
  <w:style w:type="paragraph" w:styleId="11">
    <w:name w:val="Plain Text"/>
    <w:qFormat/>
    <w:uiPriority w:val="0"/>
    <w:pPr>
      <w:widowControl w:val="0"/>
      <w:jc w:val="both"/>
    </w:pPr>
    <w:rPr>
      <w:rFonts w:hint="eastAsia" w:ascii="宋体" w:hAnsi="Courier New" w:eastAsia="宋体" w:cs="Times New Roman"/>
      <w:kern w:val="2"/>
      <w:sz w:val="21"/>
      <w:szCs w:val="24"/>
      <w:lang w:val="en-US" w:eastAsia="zh-CN" w:bidi="ar-SA"/>
    </w:r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Times New Roman" w:hAnsi="Times New Roman" w:eastAsia="Times New Roman" w:cs="Times New Roman"/>
      <w:sz w:val="28"/>
      <w:szCs w:val="28"/>
      <w:lang w:val="en-US" w:eastAsia="en-US" w:bidi="ar-SA"/>
    </w:rPr>
  </w:style>
  <w:style w:type="paragraph" w:customStyle="1" w:styleId="18">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3601</Words>
  <Characters>4148</Characters>
  <TotalTime>14</TotalTime>
  <ScaleCrop>false</ScaleCrop>
  <LinksUpToDate>false</LinksUpToDate>
  <CharactersWithSpaces>4214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2025-07-28T17:31:00Z</dcterms:created>
  <dc:creator>t</dc:creator>
  <cp:lastModifiedBy>转转</cp:lastModifiedBy>
  <dcterms:modified xsi:type="dcterms:W3CDTF">2026-01-06T01:48:30Z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2026-01-04T11:39:29Z</vt:filetime>
  </property>
  <property fmtid="{D5CDD505-2E9C-101B-9397-08002B2CF9AE}" pid="4" name="KSOTemplateDocerSaveRecord">
    <vt:lpwstr>eyJoZGlkIjoiOTkwYmU4ZGI5MTdkYzNlZTBmOWQzNzVlYTQwNjRlZWIiLCJ1c2VySWQiOiI0MzgzMzE0NjQifQ==</vt:lpwstr>
  </property>
  <property fmtid="{D5CDD505-2E9C-101B-9397-08002B2CF9AE}" pid="5" name="KSOProductBuildVer">
    <vt:lpwstr>2052-12.1.0.24034</vt:lpwstr>
  </property>
  <property fmtid="{D5CDD505-2E9C-101B-9397-08002B2CF9AE}" pid="6" name="ICV">
    <vt:lpwstr>28BAD4A57A9E430AB2C9670D4B77152F_12</vt:lpwstr>
  </property>
</Properties>
</file>