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cs="Times New Roman"/>
          <w:b w:val="0"/>
          <w:bCs w:val="0"/>
          <w:caps w:val="0"/>
          <w:smallCaps w:val="0"/>
          <w:sz w:val="32"/>
          <w:szCs w:val="32"/>
          <w:lang w:eastAsia="zh-CN"/>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cs="Times New Roman"/>
          <w:b w:val="0"/>
          <w:bCs w:val="0"/>
          <w:caps w:val="0"/>
          <w:smallCaps w:val="0"/>
          <w:sz w:val="32"/>
          <w:szCs w:val="32"/>
          <w:lang w:eastAsia="zh-CN"/>
        </w:rPr>
      </w:pPr>
      <w:bookmarkStart w:id="65" w:name="_GoBack"/>
      <w:bookmarkEnd w:id="65"/>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cs="Times New Roman"/>
          <w:b w:val="0"/>
          <w:bCs w:val="0"/>
          <w:caps w:val="0"/>
          <w:smallCaps w:val="0"/>
          <w:sz w:val="32"/>
          <w:szCs w:val="32"/>
          <w:lang w:eastAsia="zh-CN"/>
        </w:rPr>
      </w:pPr>
      <w:r>
        <w:rPr>
          <w:rFonts w:ascii="Times New Roman" w:hAnsi="Times New Roman" w:cs="方正仿宋_GBK"/>
          <w:color w:val="000000"/>
          <w:szCs w:val="20"/>
        </w:rPr>
        <w:pict>
          <v:group id="_x0000_s1026" o:spid="_x0000_s1026" o:spt="203" style="position:absolute;left:0pt;margin-left:-0.1pt;margin-top:18.6pt;height:151.5pt;width:444pt;z-index:251660288;mso-width-relative:page;mso-height-relative:page;" coordorigin="1586,3629" coordsize="8880,3030">
            <o:lock v:ext="edit"/>
            <v:shape id="艺术字 32" o:spid="_x0000_s1027" o:spt="136" type="#_x0000_t136" style="position:absolute;left:4188;top:3629;height:1141;width:6105;" fillcolor="#FF0000" filled="t" stroked="t" coordsize="21600,21600">
              <v:path/>
              <v:fill on="t" focussize="0,0"/>
              <v:stroke color="#FF0000"/>
              <v:imagedata o:title=""/>
              <o:lock v:ext="edit"/>
              <v:textpath on="t" fitshape="t" fitpath="t" trim="t" xscale="f" string="人民政府办公室文件" style="font-family:方正小标宋_GBK;font-size:28pt;v-text-align:center;"/>
            </v:shape>
            <v:line id="直线 33" o:spid="_x0000_s1028" o:spt="20" style="position:absolute;left:1586;top:6659;height:0;width:8880;" stroked="t" coordsize="21600,21600">
              <v:path arrowok="t"/>
              <v:fill focussize="0,0"/>
              <v:stroke weight="2.25pt" color="#FF0000"/>
              <v:imagedata o:title=""/>
              <o:lock v:ext="edit"/>
            </v:line>
            <v:shape id="艺术字 34" o:spid="_x0000_s1029" o:spt="136" type="#_x0000_t136" style="position:absolute;left:2715;top:3689;height:1081;width:1473;" fillcolor="#FF0000" filled="t" stroked="t" coordsize="21600,21600">
              <v:path/>
              <v:fill on="t" focussize="0,0"/>
              <v:stroke color="#FF0000"/>
              <v:imagedata o:title=""/>
              <o:lock v:ext="edit"/>
              <v:textpath on="t" fitshape="t" fitpath="t" trim="t" xscale="f" string="土家族&#10;自治县" style="font-family:方正小标宋_GBK;font-size:28pt;v-text-align:center;"/>
            </v:shape>
            <v:shape id="艺术字 35" o:spid="_x0000_s1030" o:spt="136" type="#_x0000_t136" style="position:absolute;left:1722;top:3629;height:1268;width:933;" fillcolor="#FF0000" filled="t" stroked="t" coordsize="21600,21600">
              <v:path/>
              <v:fill on="t" focussize="0,0"/>
              <v:stroke color="#FF0000"/>
              <v:imagedata o:title=""/>
              <o:lock v:ext="edit"/>
              <v:textpath on="t" fitshape="t" fitpath="t" trim="t" xscale="f" string="石柱" style="font-family:方正小标宋_GBK;font-size:28pt;v-text-align:center;"/>
            </v:shape>
          </v:group>
        </w:pic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cs="Times New Roman"/>
          <w:b w:val="0"/>
          <w:bCs w:val="0"/>
          <w:caps w:val="0"/>
          <w:smallCaps w:val="0"/>
          <w:sz w:val="32"/>
          <w:szCs w:val="32"/>
          <w:lang w:eastAsia="zh-CN"/>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cs="Times New Roman"/>
          <w:b w:val="0"/>
          <w:bCs w:val="0"/>
          <w:caps w:val="0"/>
          <w:smallCaps w:val="0"/>
          <w:sz w:val="32"/>
          <w:szCs w:val="32"/>
          <w:lang w:eastAsia="zh-CN"/>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cs="Times New Roman"/>
          <w:b w:val="0"/>
          <w:bCs w:val="0"/>
          <w:caps w:val="0"/>
          <w:smallCaps w:val="0"/>
          <w:sz w:val="32"/>
          <w:szCs w:val="32"/>
          <w:lang w:eastAsia="zh-CN"/>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cs="Times New Roman"/>
          <w:b w:val="0"/>
          <w:bCs w:val="0"/>
          <w:caps w:val="0"/>
          <w:smallCaps w:val="0"/>
          <w:sz w:val="32"/>
          <w:szCs w:val="32"/>
          <w:lang w:eastAsia="zh-CN"/>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cs="Times New Roman"/>
          <w:b w:val="0"/>
          <w:bCs w:val="0"/>
          <w:caps w:val="0"/>
          <w:smallCaps w:val="0"/>
          <w:sz w:val="32"/>
          <w:szCs w:val="32"/>
          <w:lang w:val="en-US" w:eastAsia="zh-CN"/>
        </w:rPr>
      </w:pPr>
      <w:r>
        <w:rPr>
          <w:rFonts w:hint="eastAsia" w:ascii="Times New Roman" w:hAnsi="Times New Roman" w:cs="Times New Roman"/>
          <w:b w:val="0"/>
          <w:bCs w:val="0"/>
          <w:caps w:val="0"/>
          <w:smallCaps w:val="0"/>
          <w:sz w:val="32"/>
          <w:szCs w:val="32"/>
          <w:lang w:eastAsia="zh-CN"/>
        </w:rPr>
        <w:t>石柱府办发〔</w:t>
      </w:r>
      <w:r>
        <w:rPr>
          <w:rFonts w:hint="eastAsia" w:ascii="Times New Roman" w:hAnsi="Times New Roman" w:cs="Times New Roman"/>
          <w:b w:val="0"/>
          <w:bCs w:val="0"/>
          <w:caps w:val="0"/>
          <w:smallCaps w:val="0"/>
          <w:sz w:val="32"/>
          <w:szCs w:val="32"/>
          <w:lang w:val="en-US" w:eastAsia="zh-CN"/>
        </w:rPr>
        <w:t>2022</w:t>
      </w:r>
      <w:r>
        <w:rPr>
          <w:rFonts w:hint="eastAsia" w:ascii="Times New Roman" w:hAnsi="Times New Roman" w:cs="Times New Roman"/>
          <w:b w:val="0"/>
          <w:bCs w:val="0"/>
          <w:caps w:val="0"/>
          <w:smallCaps w:val="0"/>
          <w:sz w:val="32"/>
          <w:szCs w:val="32"/>
          <w:lang w:eastAsia="zh-CN"/>
        </w:rPr>
        <w:t>〕</w:t>
      </w:r>
      <w:r>
        <w:rPr>
          <w:rFonts w:hint="eastAsia" w:ascii="Times New Roman" w:hAnsi="Times New Roman" w:cs="Times New Roman"/>
          <w:b w:val="0"/>
          <w:bCs w:val="0"/>
          <w:caps w:val="0"/>
          <w:smallCaps w:val="0"/>
          <w:sz w:val="32"/>
          <w:szCs w:val="32"/>
          <w:lang w:val="en-US" w:eastAsia="zh-CN"/>
        </w:rPr>
        <w:t>87号</w:t>
      </w: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default" w:ascii="Times New Roman" w:hAnsi="Times New Roman" w:eastAsia="方正小标宋_GBK"/>
          <w:b w:val="0"/>
          <w:bCs w:val="0"/>
          <w:caps w:val="0"/>
          <w:smallCaps w:val="0"/>
          <w:snapToGrid w:val="0"/>
          <w:sz w:val="44"/>
          <w:szCs w:val="44"/>
          <w:lang w:val="en-US" w:eastAsia="zh-CN"/>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ascii="Times New Roman" w:hAnsi="Times New Roman" w:eastAsia="方正小标宋_GBK"/>
          <w:b w:val="0"/>
          <w:bCs w:val="0"/>
          <w:caps w:val="0"/>
          <w:smallCaps w:val="0"/>
          <w:snapToGrid w:val="0"/>
          <w:sz w:val="44"/>
          <w:szCs w:val="44"/>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ascii="Times New Roman" w:hAnsi="Times New Roman" w:eastAsia="方正小标宋_GBK"/>
          <w:b w:val="0"/>
          <w:bCs w:val="0"/>
          <w:caps w:val="0"/>
          <w:smallCaps w:val="0"/>
          <w:snapToGrid w:val="0"/>
          <w:sz w:val="44"/>
          <w:szCs w:val="44"/>
        </w:rPr>
      </w:pPr>
      <w:r>
        <w:rPr>
          <w:rFonts w:ascii="Times New Roman" w:hAnsi="Times New Roman" w:eastAsia="方正小标宋_GBK"/>
          <w:b w:val="0"/>
          <w:bCs w:val="0"/>
          <w:caps w:val="0"/>
          <w:smallCaps w:val="0"/>
          <w:snapToGrid w:val="0"/>
          <w:sz w:val="44"/>
          <w:szCs w:val="44"/>
        </w:rPr>
        <w:t>石柱土家族自治县人民政府办公室</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eastAsia="方正小标宋_GBK"/>
          <w:b w:val="0"/>
          <w:bCs w:val="0"/>
          <w:caps w:val="0"/>
          <w:smallCaps w:val="0"/>
          <w:snapToGrid w:val="0"/>
          <w:spacing w:val="-10"/>
          <w:sz w:val="44"/>
          <w:szCs w:val="44"/>
        </w:rPr>
      </w:pPr>
      <w:r>
        <w:rPr>
          <w:rFonts w:ascii="Times New Roman" w:hAnsi="Times New Roman" w:eastAsia="方正小标宋_GBK"/>
          <w:b w:val="0"/>
          <w:bCs w:val="0"/>
          <w:caps w:val="0"/>
          <w:smallCaps w:val="0"/>
          <w:snapToGrid w:val="0"/>
          <w:spacing w:val="-10"/>
          <w:sz w:val="44"/>
          <w:szCs w:val="44"/>
        </w:rPr>
        <w:t>关于印发《</w:t>
      </w:r>
      <w:r>
        <w:rPr>
          <w:rFonts w:hint="eastAsia" w:ascii="Times New Roman" w:hAnsi="Times New Roman" w:eastAsia="方正小标宋_GBK"/>
          <w:b w:val="0"/>
          <w:bCs w:val="0"/>
          <w:caps w:val="0"/>
          <w:smallCaps w:val="0"/>
          <w:snapToGrid w:val="0"/>
          <w:spacing w:val="-10"/>
          <w:sz w:val="44"/>
          <w:szCs w:val="44"/>
        </w:rPr>
        <w:t>石柱县</w:t>
      </w:r>
      <w:r>
        <w:rPr>
          <w:rFonts w:hint="eastAsia" w:ascii="Times New Roman" w:hAnsi="Times New Roman" w:eastAsia="方正小标宋_GBK"/>
          <w:b w:val="0"/>
          <w:bCs w:val="0"/>
          <w:caps w:val="0"/>
          <w:smallCaps w:val="0"/>
          <w:spacing w:val="-20"/>
          <w:sz w:val="48"/>
          <w:szCs w:val="48"/>
        </w:rPr>
        <w:t>消防救援事业</w:t>
      </w:r>
      <w:r>
        <w:rPr>
          <w:rFonts w:hint="eastAsia" w:ascii="Times New Roman" w:hAnsi="Times New Roman" w:eastAsia="方正小标宋_GBK"/>
          <w:b w:val="0"/>
          <w:bCs w:val="0"/>
          <w:caps w:val="0"/>
          <w:smallCaps w:val="0"/>
          <w:snapToGrid w:val="0"/>
          <w:spacing w:val="-10"/>
          <w:sz w:val="44"/>
          <w:szCs w:val="44"/>
        </w:rPr>
        <w:t>发展十四五”</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eastAsia="方正小标宋_GBK"/>
          <w:b w:val="0"/>
          <w:bCs w:val="0"/>
          <w:caps w:val="0"/>
          <w:smallCaps w:val="0"/>
          <w:snapToGrid w:val="0"/>
          <w:sz w:val="44"/>
          <w:szCs w:val="44"/>
        </w:rPr>
      </w:pPr>
      <w:r>
        <w:rPr>
          <w:rFonts w:hint="eastAsia" w:ascii="Times New Roman" w:hAnsi="Times New Roman" w:eastAsia="方正小标宋_GBK"/>
          <w:b w:val="0"/>
          <w:bCs w:val="0"/>
          <w:caps w:val="0"/>
          <w:smallCaps w:val="0"/>
          <w:snapToGrid w:val="0"/>
          <w:spacing w:val="-10"/>
          <w:sz w:val="44"/>
          <w:szCs w:val="44"/>
        </w:rPr>
        <w:t>规划</w:t>
      </w:r>
      <w:r>
        <w:rPr>
          <w:rFonts w:hint="eastAsia" w:ascii="Times New Roman" w:hAnsi="Times New Roman" w:eastAsia="方正小标宋_GBK"/>
          <w:b w:val="0"/>
          <w:bCs w:val="0"/>
          <w:caps w:val="0"/>
          <w:smallCaps w:val="0"/>
          <w:sz w:val="48"/>
          <w:szCs w:val="48"/>
        </w:rPr>
        <w:t>（2021</w:t>
      </w:r>
      <w:r>
        <w:rPr>
          <w:rFonts w:hint="eastAsia" w:ascii="Times New Roman" w:hAnsi="Times New Roman" w:eastAsia="方正小标宋_GBK"/>
          <w:b w:val="0"/>
          <w:bCs w:val="0"/>
          <w:caps w:val="0"/>
          <w:smallCaps w:val="0"/>
          <w:sz w:val="48"/>
          <w:szCs w:val="48"/>
          <w:lang w:eastAsia="zh-CN"/>
        </w:rPr>
        <w:t>—</w:t>
      </w:r>
      <w:r>
        <w:rPr>
          <w:rFonts w:hint="eastAsia" w:ascii="Times New Roman" w:hAnsi="Times New Roman" w:eastAsia="方正小标宋_GBK"/>
          <w:b w:val="0"/>
          <w:bCs w:val="0"/>
          <w:caps w:val="0"/>
          <w:smallCaps w:val="0"/>
          <w:sz w:val="48"/>
          <w:szCs w:val="48"/>
        </w:rPr>
        <w:t>2025年）</w:t>
      </w:r>
      <w:r>
        <w:rPr>
          <w:rFonts w:hint="eastAsia" w:ascii="Times New Roman" w:hAnsi="Times New Roman" w:eastAsia="方正小标宋_GBK"/>
          <w:b w:val="0"/>
          <w:bCs w:val="0"/>
          <w:caps w:val="0"/>
          <w:smallCaps w:val="0"/>
          <w:snapToGrid w:val="0"/>
          <w:sz w:val="44"/>
          <w:szCs w:val="44"/>
        </w:rPr>
        <w:t>》的通知</w:t>
      </w: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仿宋_GBK"/>
          <w:b w:val="0"/>
          <w:bCs w:val="0"/>
          <w:caps w:val="0"/>
          <w:smallCaps w:val="0"/>
          <w:snapToGrid w:val="0"/>
          <w:szCs w:val="32"/>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ascii="Times New Roman" w:hAnsi="Times New Roman" w:eastAsia="方正仿宋_GBK"/>
          <w:b w:val="0"/>
          <w:bCs w:val="0"/>
          <w:caps w:val="0"/>
          <w:smallCaps w:val="0"/>
          <w:snapToGrid w:val="0"/>
          <w:szCs w:val="32"/>
        </w:rPr>
      </w:pPr>
      <w:r>
        <w:rPr>
          <w:rFonts w:hint="eastAsia" w:ascii="Times New Roman" w:hAnsi="Times New Roman" w:eastAsia="方正仿宋_GBK"/>
          <w:b w:val="0"/>
          <w:bCs w:val="0"/>
          <w:caps w:val="0"/>
          <w:smallCaps w:val="0"/>
          <w:snapToGrid w:val="0"/>
          <w:szCs w:val="32"/>
        </w:rPr>
        <w:t>各乡镇（街道）人民政府（办事处）</w:t>
      </w:r>
      <w:r>
        <w:rPr>
          <w:rFonts w:ascii="Times New Roman" w:hAnsi="Times New Roman" w:eastAsia="方正仿宋_GBK"/>
          <w:b w:val="0"/>
          <w:bCs w:val="0"/>
          <w:caps w:val="0"/>
          <w:smallCaps w:val="0"/>
          <w:snapToGrid w:val="0"/>
          <w:szCs w:val="32"/>
        </w:rPr>
        <w:t>，县政府有关部门，有关单位：</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b w:val="0"/>
          <w:bCs w:val="0"/>
          <w:caps w:val="0"/>
          <w:smallCaps w:val="0"/>
          <w:snapToGrid w:val="0"/>
          <w:szCs w:val="32"/>
        </w:rPr>
      </w:pPr>
      <w:r>
        <w:rPr>
          <w:rFonts w:ascii="Times New Roman" w:hAnsi="Times New Roman" w:eastAsia="方正仿宋_GBK"/>
          <w:b w:val="0"/>
          <w:bCs w:val="0"/>
          <w:caps w:val="0"/>
          <w:smallCaps w:val="0"/>
          <w:snapToGrid w:val="0"/>
          <w:szCs w:val="32"/>
        </w:rPr>
        <w:t>《</w:t>
      </w:r>
      <w:r>
        <w:rPr>
          <w:rFonts w:hint="eastAsia" w:ascii="Times New Roman" w:hAnsi="Times New Roman" w:eastAsia="方正仿宋_GBK"/>
          <w:b w:val="0"/>
          <w:bCs w:val="0"/>
          <w:caps w:val="0"/>
          <w:smallCaps w:val="0"/>
          <w:snapToGrid w:val="0"/>
          <w:szCs w:val="32"/>
        </w:rPr>
        <w:t>石柱县</w:t>
      </w:r>
      <w:r>
        <w:rPr>
          <w:rFonts w:hint="eastAsia" w:ascii="Times New Roman" w:hAnsi="Times New Roman"/>
          <w:b w:val="0"/>
          <w:bCs w:val="0"/>
          <w:caps w:val="0"/>
          <w:smallCaps w:val="0"/>
          <w:snapToGrid w:val="0"/>
          <w:szCs w:val="32"/>
          <w:lang w:eastAsia="zh-CN"/>
        </w:rPr>
        <w:t>消防救援事业</w:t>
      </w:r>
      <w:r>
        <w:rPr>
          <w:rFonts w:hint="eastAsia" w:ascii="Times New Roman" w:hAnsi="Times New Roman" w:eastAsia="方正仿宋_GBK"/>
          <w:b w:val="0"/>
          <w:bCs w:val="0"/>
          <w:caps w:val="0"/>
          <w:smallCaps w:val="0"/>
          <w:snapToGrid w:val="0"/>
          <w:szCs w:val="32"/>
        </w:rPr>
        <w:t>发展“十四五”规划</w:t>
      </w:r>
      <w:r>
        <w:rPr>
          <w:rFonts w:hint="eastAsia" w:ascii="Times New Roman" w:hAnsi="Times New Roman"/>
          <w:b w:val="0"/>
          <w:bCs w:val="0"/>
          <w:caps w:val="0"/>
          <w:smallCaps w:val="0"/>
          <w:snapToGrid w:val="0"/>
          <w:szCs w:val="32"/>
          <w:lang w:eastAsia="zh-CN"/>
        </w:rPr>
        <w:t>（</w:t>
      </w:r>
      <w:r>
        <w:rPr>
          <w:rFonts w:hint="eastAsia" w:ascii="Times New Roman" w:hAnsi="Times New Roman"/>
          <w:b w:val="0"/>
          <w:bCs w:val="0"/>
          <w:caps w:val="0"/>
          <w:smallCaps w:val="0"/>
          <w:snapToGrid w:val="0"/>
          <w:szCs w:val="32"/>
          <w:lang w:val="en-US" w:eastAsia="zh-CN"/>
        </w:rPr>
        <w:t>2021—2025年</w:t>
      </w:r>
      <w:r>
        <w:rPr>
          <w:rFonts w:hint="eastAsia" w:ascii="Times New Roman" w:hAnsi="Times New Roman"/>
          <w:b w:val="0"/>
          <w:bCs w:val="0"/>
          <w:caps w:val="0"/>
          <w:smallCaps w:val="0"/>
          <w:snapToGrid w:val="0"/>
          <w:szCs w:val="32"/>
          <w:lang w:eastAsia="zh-CN"/>
        </w:rPr>
        <w:t>）</w:t>
      </w:r>
      <w:r>
        <w:rPr>
          <w:rFonts w:ascii="Times New Roman" w:hAnsi="Times New Roman" w:eastAsia="方正仿宋_GBK"/>
          <w:b w:val="0"/>
          <w:bCs w:val="0"/>
          <w:caps w:val="0"/>
          <w:smallCaps w:val="0"/>
          <w:snapToGrid w:val="0"/>
          <w:szCs w:val="32"/>
        </w:rPr>
        <w:t>》已经县政府同意，现印发给你们，请认真贯彻执行。</w:t>
      </w:r>
    </w:p>
    <w:p>
      <w:pPr>
        <w:pStyle w:val="5"/>
        <w:keepNext w:val="0"/>
        <w:keepLines w:val="0"/>
        <w:kinsoku/>
        <w:wordWrap/>
        <w:overflowPunct/>
        <w:topLinePunct w:val="0"/>
        <w:autoSpaceDE/>
        <w:autoSpaceDN/>
        <w:bidi w:val="0"/>
        <w:adjustRightInd/>
        <w:snapToGrid w:val="0"/>
        <w:spacing w:before="0" w:after="0" w:line="560" w:lineRule="exact"/>
        <w:ind w:left="0" w:leftChars="0" w:firstLine="632" w:firstLineChars="200"/>
        <w:jc w:val="both"/>
        <w:textAlignment w:val="auto"/>
        <w:rPr>
          <w:rFonts w:ascii="Times New Roman" w:hAnsi="Times New Roman" w:eastAsia="方正仿宋_GBK"/>
          <w:b w:val="0"/>
          <w:bCs w:val="0"/>
          <w:caps w:val="0"/>
          <w:smallCaps w:val="0"/>
          <w:snapToGrid w:val="0"/>
          <w:sz w:val="32"/>
          <w:szCs w:val="32"/>
        </w:rPr>
      </w:pPr>
    </w:p>
    <w:p>
      <w:pPr>
        <w:pStyle w:val="5"/>
        <w:keepNext w:val="0"/>
        <w:keepLines w:val="0"/>
        <w:kinsoku/>
        <w:wordWrap/>
        <w:overflowPunct/>
        <w:topLinePunct w:val="0"/>
        <w:autoSpaceDE/>
        <w:autoSpaceDN/>
        <w:bidi w:val="0"/>
        <w:adjustRightInd/>
        <w:snapToGrid w:val="0"/>
        <w:spacing w:before="0" w:after="0" w:line="560" w:lineRule="exact"/>
        <w:ind w:left="0" w:leftChars="0" w:firstLine="632" w:firstLineChars="200"/>
        <w:jc w:val="right"/>
        <w:textAlignment w:val="auto"/>
        <w:rPr>
          <w:rFonts w:hint="eastAsia" w:ascii="Times New Roman" w:hAnsi="Times New Roman" w:eastAsia="方正仿宋_GBK"/>
          <w:b w:val="0"/>
          <w:bCs w:val="0"/>
          <w:caps w:val="0"/>
          <w:smallCaps w:val="0"/>
          <w:snapToGrid w:val="0"/>
          <w:sz w:val="32"/>
          <w:szCs w:val="32"/>
        </w:rPr>
      </w:pPr>
      <w:r>
        <w:rPr>
          <w:rFonts w:ascii="Times New Roman" w:hAnsi="Times New Roman" w:eastAsia="方正仿宋_GBK"/>
          <w:b w:val="0"/>
          <w:bCs w:val="0"/>
          <w:caps w:val="0"/>
          <w:smallCaps w:val="0"/>
          <w:snapToGrid w:val="0"/>
          <w:sz w:val="32"/>
          <w:szCs w:val="32"/>
        </w:rPr>
        <w:t>石柱土家族自治县人民政府办公室</w:t>
      </w:r>
    </w:p>
    <w:p>
      <w:pPr>
        <w:pStyle w:val="5"/>
        <w:keepNext w:val="0"/>
        <w:keepLines w:val="0"/>
        <w:kinsoku/>
        <w:wordWrap w:val="0"/>
        <w:overflowPunct/>
        <w:topLinePunct w:val="0"/>
        <w:autoSpaceDE/>
        <w:autoSpaceDN/>
        <w:bidi w:val="0"/>
        <w:adjustRightInd/>
        <w:snapToGrid w:val="0"/>
        <w:spacing w:before="0" w:after="0" w:line="560" w:lineRule="exact"/>
        <w:ind w:left="0" w:leftChars="0" w:firstLine="632" w:firstLineChars="200"/>
        <w:jc w:val="right"/>
        <w:textAlignment w:val="auto"/>
        <w:rPr>
          <w:rFonts w:hint="eastAsia" w:ascii="Times New Roman" w:hAnsi="Times New Roman" w:eastAsia="方正仿宋_GBK"/>
          <w:b w:val="0"/>
          <w:bCs w:val="0"/>
          <w:caps w:val="0"/>
          <w:smallCaps w:val="0"/>
          <w:snapToGrid w:val="0"/>
          <w:sz w:val="32"/>
          <w:szCs w:val="32"/>
          <w:lang w:val="en-US" w:eastAsia="zh-CN"/>
        </w:rPr>
      </w:pPr>
      <w:r>
        <w:rPr>
          <w:rFonts w:hint="eastAsia" w:ascii="Times New Roman" w:hAnsi="Times New Roman" w:eastAsia="方正仿宋_GBK"/>
          <w:b w:val="0"/>
          <w:bCs w:val="0"/>
          <w:caps w:val="0"/>
          <w:smallCaps w:val="0"/>
          <w:snapToGrid w:val="0"/>
          <w:sz w:val="32"/>
          <w:szCs w:val="32"/>
        </w:rPr>
        <w:t xml:space="preserve">       </w:t>
      </w:r>
      <w:r>
        <w:rPr>
          <w:rFonts w:ascii="Times New Roman" w:hAnsi="Times New Roman" w:eastAsia="方正仿宋_GBK"/>
          <w:b w:val="0"/>
          <w:bCs w:val="0"/>
          <w:caps w:val="0"/>
          <w:smallCaps w:val="0"/>
          <w:snapToGrid w:val="0"/>
          <w:sz w:val="32"/>
          <w:szCs w:val="32"/>
        </w:rPr>
        <w:t>202</w:t>
      </w:r>
      <w:r>
        <w:rPr>
          <w:rFonts w:hint="eastAsia" w:ascii="Times New Roman" w:hAnsi="Times New Roman" w:eastAsia="方正仿宋_GBK"/>
          <w:b w:val="0"/>
          <w:bCs w:val="0"/>
          <w:caps w:val="0"/>
          <w:smallCaps w:val="0"/>
          <w:snapToGrid w:val="0"/>
          <w:sz w:val="32"/>
          <w:szCs w:val="32"/>
        </w:rPr>
        <w:t>2</w:t>
      </w:r>
      <w:r>
        <w:rPr>
          <w:rFonts w:ascii="Times New Roman" w:hAnsi="Times New Roman" w:eastAsia="方正仿宋_GBK"/>
          <w:b w:val="0"/>
          <w:bCs w:val="0"/>
          <w:caps w:val="0"/>
          <w:smallCaps w:val="0"/>
          <w:snapToGrid w:val="0"/>
          <w:sz w:val="32"/>
          <w:szCs w:val="32"/>
        </w:rPr>
        <w:t>年</w:t>
      </w:r>
      <w:r>
        <w:rPr>
          <w:rFonts w:hint="eastAsia" w:ascii="Times New Roman" w:hAnsi="Times New Roman" w:eastAsia="方正仿宋_GBK"/>
          <w:b w:val="0"/>
          <w:bCs w:val="0"/>
          <w:caps w:val="0"/>
          <w:smallCaps w:val="0"/>
          <w:snapToGrid w:val="0"/>
          <w:sz w:val="32"/>
          <w:szCs w:val="32"/>
          <w:lang w:val="en-US" w:eastAsia="zh-CN"/>
        </w:rPr>
        <w:t>8</w:t>
      </w:r>
      <w:r>
        <w:rPr>
          <w:rFonts w:ascii="Times New Roman" w:hAnsi="Times New Roman" w:eastAsia="方正仿宋_GBK"/>
          <w:b w:val="0"/>
          <w:bCs w:val="0"/>
          <w:caps w:val="0"/>
          <w:smallCaps w:val="0"/>
          <w:snapToGrid w:val="0"/>
          <w:sz w:val="32"/>
          <w:szCs w:val="32"/>
        </w:rPr>
        <w:t>月</w:t>
      </w:r>
      <w:r>
        <w:rPr>
          <w:rFonts w:hint="eastAsia" w:ascii="Times New Roman" w:hAnsi="Times New Roman" w:eastAsia="方正仿宋_GBK"/>
          <w:b w:val="0"/>
          <w:bCs w:val="0"/>
          <w:caps w:val="0"/>
          <w:smallCaps w:val="0"/>
          <w:snapToGrid w:val="0"/>
          <w:sz w:val="32"/>
          <w:szCs w:val="32"/>
          <w:lang w:val="en-US" w:eastAsia="zh-CN"/>
        </w:rPr>
        <w:t>12</w:t>
      </w:r>
      <w:r>
        <w:rPr>
          <w:rFonts w:ascii="Times New Roman" w:hAnsi="Times New Roman" w:eastAsia="方正仿宋_GBK"/>
          <w:b w:val="0"/>
          <w:bCs w:val="0"/>
          <w:caps w:val="0"/>
          <w:smallCaps w:val="0"/>
          <w:snapToGrid w:val="0"/>
          <w:sz w:val="32"/>
          <w:szCs w:val="32"/>
        </w:rPr>
        <w:t>日</w:t>
      </w:r>
      <w:r>
        <w:rPr>
          <w:rFonts w:hint="eastAsia" w:ascii="Times New Roman" w:hAnsi="Times New Roman" w:eastAsia="方正仿宋_GBK"/>
          <w:b w:val="0"/>
          <w:bCs w:val="0"/>
          <w:caps w:val="0"/>
          <w:smallCaps w:val="0"/>
          <w:snapToGrid w:val="0"/>
          <w:sz w:val="32"/>
          <w:szCs w:val="32"/>
          <w:lang w:val="en-US" w:eastAsia="zh-CN"/>
        </w:rPr>
        <w:t xml:space="preserve">        </w:t>
      </w:r>
    </w:p>
    <w:p>
      <w:pPr>
        <w:wordWrap/>
        <w:rPr>
          <w:rFonts w:hint="eastAsia"/>
          <w:lang w:val="en-US" w:eastAsia="zh-CN"/>
        </w:rPr>
      </w:pPr>
      <w:r>
        <w:rPr>
          <w:rFonts w:hint="eastAsia" w:ascii="Times New Roman" w:hAnsi="Times New Roman"/>
          <w:b w:val="0"/>
          <w:bCs w:val="0"/>
          <w:caps w:val="0"/>
          <w:smallCaps w:val="0"/>
          <w:snapToGrid w:val="0"/>
          <w:sz w:val="32"/>
          <w:szCs w:val="32"/>
          <w:lang w:val="en-US" w:eastAsia="zh-CN"/>
        </w:rPr>
        <w:t>（此件主动公开发布）</w:t>
      </w:r>
    </w:p>
    <w:p>
      <w:pPr>
        <w:wordWrap/>
        <w:rPr>
          <w:rFonts w:hint="default"/>
          <w:lang w:val="en-US" w:eastAsia="zh-CN"/>
        </w:rPr>
        <w:sectPr>
          <w:headerReference r:id="rId5" w:type="default"/>
          <w:footerReference r:id="rId6" w:type="default"/>
          <w:footerReference r:id="rId7" w:type="even"/>
          <w:type w:val="continuous"/>
          <w:pgSz w:w="11907" w:h="16840"/>
          <w:pgMar w:top="2098" w:right="1531" w:bottom="1985" w:left="1531" w:header="851" w:footer="1474" w:gutter="0"/>
          <w:pgNumType w:start="1"/>
          <w:cols w:space="720" w:num="1"/>
          <w:docGrid w:type="linesAndChars" w:linePitch="579" w:charSpace="-842"/>
        </w:sectPr>
      </w:pPr>
    </w:p>
    <w:p>
      <w:pPr>
        <w:kinsoku/>
        <w:wordWrap/>
        <w:overflowPunct/>
        <w:topLinePunct w:val="0"/>
        <w:autoSpaceDE/>
        <w:autoSpaceDN/>
        <w:bidi w:val="0"/>
        <w:adjustRightInd/>
        <w:snapToGrid w:val="0"/>
        <w:spacing w:line="560" w:lineRule="exact"/>
        <w:ind w:left="0" w:leftChars="0" w:firstLine="872" w:firstLineChars="200"/>
        <w:jc w:val="both"/>
        <w:textAlignment w:val="auto"/>
        <w:rPr>
          <w:rFonts w:hint="eastAsia" w:ascii="Times New Roman" w:hAnsi="Times New Roman" w:eastAsia="方正小标宋简体"/>
          <w:b w:val="0"/>
          <w:bCs w:val="0"/>
          <w:caps w:val="0"/>
          <w:smallCaps w:val="0"/>
          <w:sz w:val="44"/>
          <w:szCs w:val="44"/>
        </w:rPr>
      </w:pPr>
      <w:bookmarkStart w:id="0" w:name="_Toc91584012"/>
      <w:bookmarkStart w:id="1" w:name="_Toc2809"/>
      <w:bookmarkStart w:id="2" w:name="_Toc85202324"/>
      <w:bookmarkStart w:id="3" w:name="_Toc82071392"/>
    </w:p>
    <w:p>
      <w:pPr>
        <w:kinsoku/>
        <w:wordWrap/>
        <w:overflowPunct/>
        <w:topLinePunct w:val="0"/>
        <w:autoSpaceDE/>
        <w:autoSpaceDN/>
        <w:bidi w:val="0"/>
        <w:adjustRightInd/>
        <w:snapToGrid w:val="0"/>
        <w:spacing w:line="560" w:lineRule="exact"/>
        <w:ind w:left="0" w:leftChars="0" w:firstLine="872" w:firstLineChars="200"/>
        <w:jc w:val="both"/>
        <w:textAlignment w:val="auto"/>
        <w:rPr>
          <w:rFonts w:hint="eastAsia" w:ascii="Times New Roman" w:hAnsi="Times New Roman" w:eastAsia="方正小标宋简体"/>
          <w:b w:val="0"/>
          <w:bCs w:val="0"/>
          <w:caps w:val="0"/>
          <w:smallCaps w:val="0"/>
          <w:sz w:val="44"/>
          <w:szCs w:val="44"/>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eastAsia="方正小标宋简体"/>
          <w:b w:val="0"/>
          <w:bCs w:val="0"/>
          <w:caps w:val="0"/>
          <w:smallCaps w:val="0"/>
          <w:sz w:val="44"/>
          <w:szCs w:val="44"/>
        </w:rPr>
      </w:pPr>
      <w:r>
        <w:rPr>
          <w:rFonts w:hint="eastAsia" w:ascii="Times New Roman" w:hAnsi="Times New Roman" w:eastAsia="方正小标宋简体"/>
          <w:b w:val="0"/>
          <w:bCs w:val="0"/>
          <w:caps w:val="0"/>
          <w:smallCaps w:val="0"/>
          <w:sz w:val="44"/>
          <w:szCs w:val="44"/>
        </w:rPr>
        <w:t>石柱县消防救援事业发展“十四五”规划</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ascii="Times New Roman" w:hAnsi="Times New Roman" w:eastAsia="方正小标宋简体"/>
          <w:b w:val="0"/>
          <w:bCs w:val="0"/>
          <w:caps w:val="0"/>
          <w:smallCaps w:val="0"/>
          <w:sz w:val="44"/>
          <w:szCs w:val="44"/>
        </w:rPr>
      </w:pPr>
      <w:r>
        <w:rPr>
          <w:rFonts w:hint="eastAsia" w:ascii="Times New Roman" w:hAnsi="Times New Roman" w:eastAsia="方正小标宋简体"/>
          <w:b w:val="0"/>
          <w:bCs w:val="0"/>
          <w:caps w:val="0"/>
          <w:smallCaps w:val="0"/>
          <w:sz w:val="44"/>
          <w:szCs w:val="44"/>
        </w:rPr>
        <w:t>（2021—2025年）</w:t>
      </w:r>
    </w:p>
    <w:p>
      <w:pPr>
        <w:kinsoku/>
        <w:wordWrap/>
        <w:overflowPunct/>
        <w:topLinePunct w:val="0"/>
        <w:autoSpaceDE/>
        <w:autoSpaceDN/>
        <w:bidi w:val="0"/>
        <w:adjustRightInd/>
        <w:snapToGrid w:val="0"/>
        <w:spacing w:line="560" w:lineRule="exact"/>
        <w:ind w:left="0" w:leftChars="0" w:firstLine="872" w:firstLineChars="200"/>
        <w:jc w:val="both"/>
        <w:textAlignment w:val="auto"/>
        <w:rPr>
          <w:rFonts w:ascii="Times New Roman" w:hAnsi="Times New Roman" w:eastAsia="方正小标宋简体"/>
          <w:b w:val="0"/>
          <w:bCs w:val="0"/>
          <w:caps w:val="0"/>
          <w:smallCaps w:val="0"/>
          <w:sz w:val="44"/>
          <w:szCs w:val="44"/>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szCs w:val="20"/>
        </w:rPr>
      </w:pPr>
      <w:r>
        <w:rPr>
          <w:rFonts w:hint="eastAsia" w:ascii="Times New Roman" w:hAnsi="Times New Roman"/>
          <w:b w:val="0"/>
          <w:bCs w:val="0"/>
          <w:caps w:val="0"/>
          <w:smallCaps w:val="0"/>
          <w:szCs w:val="20"/>
        </w:rPr>
        <w:t>为认真贯彻党中央、国务院关于应急管理和消防救援工作决策部署，加强和改进“十四五”时期全县消防救援工作，保障经济社会发展，根据《中华人民共和国消防法》《重庆市消防条例》等法律法规以及《“十四五”国家应急体系规划》《“十四五”国家消防工作规划》《重庆市消防救援事业发展“十四五”规划》《石柱土家族自治县国民经济和社会发展第十四个五年规划和二〇三五远景目标纲要》等文件精神，编制本规划。</w:t>
      </w:r>
      <w:bookmarkStart w:id="4" w:name="_Toc109989608"/>
      <w:bookmarkStart w:id="5" w:name="_Toc100577308"/>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Cs w:val="20"/>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黑体_GBK" w:hAnsi="方正黑体_GBK" w:eastAsia="方正黑体_GBK" w:cs="方正黑体_GBK"/>
          <w:b w:val="0"/>
          <w:bCs w:val="0"/>
          <w:caps w:val="0"/>
          <w:smallCaps w:val="0"/>
        </w:rPr>
      </w:pPr>
      <w:r>
        <w:rPr>
          <w:rFonts w:hint="eastAsia" w:ascii="方正黑体_GBK" w:hAnsi="方正黑体_GBK" w:eastAsia="方正黑体_GBK" w:cs="方正黑体_GBK"/>
          <w:b w:val="0"/>
          <w:bCs w:val="0"/>
          <w:caps w:val="0"/>
          <w:smallCaps w:val="0"/>
        </w:rPr>
        <w:t>第一章</w:t>
      </w:r>
      <w:r>
        <w:rPr>
          <w:rFonts w:hint="eastAsia" w:ascii="方正黑体_GBK" w:hAnsi="方正黑体_GBK" w:eastAsia="方正黑体_GBK" w:cs="方正黑体_GBK"/>
          <w:b w:val="0"/>
          <w:bCs w:val="0"/>
          <w:caps w:val="0"/>
          <w:smallCaps w:val="0"/>
          <w:lang w:val="en-US" w:eastAsia="zh-CN"/>
        </w:rPr>
        <w:t xml:space="preserve"> </w:t>
      </w:r>
      <w:r>
        <w:rPr>
          <w:rFonts w:hint="eastAsia" w:ascii="方正黑体_GBK" w:hAnsi="方正黑体_GBK" w:eastAsia="方正黑体_GBK" w:cs="方正黑体_GBK"/>
          <w:b w:val="0"/>
          <w:bCs w:val="0"/>
          <w:caps w:val="0"/>
          <w:smallCaps w:val="0"/>
        </w:rPr>
        <w:t xml:space="preserve"> </w:t>
      </w:r>
      <w:bookmarkEnd w:id="0"/>
      <w:bookmarkEnd w:id="1"/>
      <w:bookmarkEnd w:id="2"/>
      <w:bookmarkEnd w:id="3"/>
      <w:r>
        <w:rPr>
          <w:rFonts w:hint="eastAsia" w:ascii="方正黑体_GBK" w:hAnsi="方正黑体_GBK" w:eastAsia="方正黑体_GBK" w:cs="方正黑体_GBK"/>
          <w:b w:val="0"/>
          <w:bCs w:val="0"/>
          <w:caps w:val="0"/>
          <w:smallCaps w:val="0"/>
        </w:rPr>
        <w:t>发展形势</w:t>
      </w:r>
      <w:bookmarkEnd w:id="4"/>
      <w:bookmarkEnd w:id="5"/>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rPr>
      </w:pPr>
      <w:bookmarkStart w:id="6" w:name="_Toc82071393"/>
      <w:bookmarkStart w:id="7" w:name="_Toc85202325"/>
      <w:bookmarkStart w:id="8" w:name="_Toc91584013"/>
      <w:bookmarkStart w:id="9" w:name="_Toc100577309"/>
      <w:bookmarkStart w:id="10" w:name="_Toc109989609"/>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rPr>
      </w:pPr>
      <w:r>
        <w:rPr>
          <w:rFonts w:hint="eastAsia" w:ascii="方正楷体_GBK" w:hAnsi="方正楷体_GBK" w:eastAsia="方正楷体_GBK" w:cs="方正楷体_GBK"/>
          <w:b w:val="0"/>
          <w:bCs w:val="0"/>
          <w:caps w:val="0"/>
          <w:smallCaps w:val="0"/>
        </w:rPr>
        <w:t xml:space="preserve">第一节 </w:t>
      </w:r>
      <w:r>
        <w:rPr>
          <w:rFonts w:hint="eastAsia" w:ascii="方正楷体_GBK" w:hAnsi="方正楷体_GBK" w:eastAsia="方正楷体_GBK" w:cs="方正楷体_GBK"/>
          <w:b w:val="0"/>
          <w:bCs w:val="0"/>
          <w:caps w:val="0"/>
          <w:smallCaps w:val="0"/>
          <w:lang w:val="en-US" w:eastAsia="zh-CN"/>
        </w:rPr>
        <w:t xml:space="preserve"> </w:t>
      </w:r>
      <w:r>
        <w:rPr>
          <w:rFonts w:hint="eastAsia" w:ascii="方正楷体_GBK" w:hAnsi="方正楷体_GBK" w:eastAsia="方正楷体_GBK" w:cs="方正楷体_GBK"/>
          <w:b w:val="0"/>
          <w:bCs w:val="0"/>
          <w:caps w:val="0"/>
          <w:smallCaps w:val="0"/>
        </w:rPr>
        <w:t>“十三五”时期发展成</w:t>
      </w:r>
      <w:bookmarkEnd w:id="6"/>
      <w:bookmarkEnd w:id="7"/>
      <w:bookmarkEnd w:id="8"/>
      <w:r>
        <w:rPr>
          <w:rFonts w:hint="eastAsia" w:ascii="方正楷体_GBK" w:hAnsi="方正楷体_GBK" w:eastAsia="方正楷体_GBK" w:cs="方正楷体_GBK"/>
          <w:b w:val="0"/>
          <w:bCs w:val="0"/>
          <w:caps w:val="0"/>
          <w:smallCaps w:val="0"/>
        </w:rPr>
        <w:t>果</w:t>
      </w:r>
      <w:bookmarkEnd w:id="9"/>
      <w:bookmarkEnd w:id="10"/>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“十三五”时期，全县消防救援工作深入贯彻落实党中央、国务院决策部署，</w:t>
      </w:r>
      <w:r>
        <w:rPr>
          <w:rFonts w:hint="eastAsia" w:ascii="Times New Roman" w:hAnsi="Times New Roman"/>
          <w:b w:val="0"/>
          <w:bCs w:val="0"/>
          <w:caps w:val="0"/>
          <w:smallCaps w:val="0"/>
          <w:szCs w:val="20"/>
          <w:lang w:eastAsia="zh-CN"/>
        </w:rPr>
        <w:t>按照市委、市政府的工作要求，</w:t>
      </w:r>
      <w:r>
        <w:rPr>
          <w:rFonts w:hint="eastAsia" w:ascii="Times New Roman" w:hAnsi="Times New Roman"/>
          <w:b w:val="0"/>
          <w:bCs w:val="0"/>
          <w:caps w:val="0"/>
          <w:smallCaps w:val="0"/>
          <w:szCs w:val="20"/>
        </w:rPr>
        <w:t>紧紧围绕服务和保障经济社会发展大局，大力推进消防治理体系和治理能力现代化建设，消防救援工作服务经济社会发展、保障民生取得显著成效，人民群众安全感和满意度不断增强。</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社会消防安全环境持续向好。全县以冬春、夏季火灾防控为抓手，坚持规定动作与自选动作相结合，强化“高低大化”（高层建筑、地下建筑、大型综合体、石化企业）、“老幼古标”（养老服务机构、幼儿教育场所、文物古建筑、标示性建筑）等高风险对象大排查</w:t>
      </w:r>
      <w:r>
        <w:rPr>
          <w:rFonts w:hint="eastAsia" w:ascii="Times New Roman" w:hAnsi="Times New Roman"/>
          <w:b w:val="0"/>
          <w:bCs w:val="0"/>
          <w:caps w:val="0"/>
          <w:smallCaps w:val="0"/>
          <w:szCs w:val="20"/>
          <w:lang w:eastAsia="zh-CN"/>
        </w:rPr>
        <w:t>、</w:t>
      </w:r>
      <w:r>
        <w:rPr>
          <w:rFonts w:hint="eastAsia" w:ascii="Times New Roman" w:hAnsi="Times New Roman"/>
          <w:b w:val="0"/>
          <w:bCs w:val="0"/>
          <w:caps w:val="0"/>
          <w:smallCaps w:val="0"/>
          <w:szCs w:val="20"/>
        </w:rPr>
        <w:t>大整治，深入开展消防安全专项整治三年行动。出台《石柱县高层建筑消防安全提升计划（2020—2022年）》，部署开展突出问题专项整治，厘清全县242幢高层建筑“隐患清单”和“责任清单”，完成10幢消防用水问题高层建筑整改任务，全部小区实现消防车道标识化管理，拆改可燃雨棚、突出外墙防护网3148户，新增停车泊位1.3万余个。“十三五”时期，县消防救援大队共检查单位</w:t>
      </w:r>
      <w:r>
        <w:rPr>
          <w:rFonts w:ascii="Times New Roman" w:hAnsi="Times New Roman"/>
          <w:b w:val="0"/>
          <w:bCs w:val="0"/>
          <w:caps w:val="0"/>
          <w:smallCaps w:val="0"/>
          <w:szCs w:val="20"/>
        </w:rPr>
        <w:t>1.78</w:t>
      </w:r>
      <w:r>
        <w:rPr>
          <w:rFonts w:hint="eastAsia" w:ascii="Times New Roman" w:hAnsi="Times New Roman"/>
          <w:b w:val="0"/>
          <w:bCs w:val="0"/>
          <w:caps w:val="0"/>
          <w:smallCaps w:val="0"/>
          <w:szCs w:val="20"/>
        </w:rPr>
        <w:t>万余家，办理行政处罚案件40</w:t>
      </w:r>
      <w:r>
        <w:rPr>
          <w:rFonts w:ascii="Times New Roman" w:hAnsi="Times New Roman"/>
          <w:b w:val="0"/>
          <w:bCs w:val="0"/>
          <w:caps w:val="0"/>
          <w:smallCaps w:val="0"/>
          <w:szCs w:val="20"/>
        </w:rPr>
        <w:t>6</w:t>
      </w:r>
      <w:r>
        <w:rPr>
          <w:rFonts w:hint="eastAsia" w:ascii="Times New Roman" w:hAnsi="Times New Roman"/>
          <w:b w:val="0"/>
          <w:bCs w:val="0"/>
          <w:caps w:val="0"/>
          <w:smallCaps w:val="0"/>
          <w:szCs w:val="20"/>
        </w:rPr>
        <w:t>件，办理查封案件1</w:t>
      </w:r>
      <w:r>
        <w:rPr>
          <w:rFonts w:ascii="Times New Roman" w:hAnsi="Times New Roman"/>
          <w:b w:val="0"/>
          <w:bCs w:val="0"/>
          <w:caps w:val="0"/>
          <w:smallCaps w:val="0"/>
          <w:szCs w:val="20"/>
        </w:rPr>
        <w:t>52</w:t>
      </w:r>
      <w:r>
        <w:rPr>
          <w:rFonts w:hint="eastAsia" w:ascii="Times New Roman" w:hAnsi="Times New Roman"/>
          <w:b w:val="0"/>
          <w:bCs w:val="0"/>
          <w:caps w:val="0"/>
          <w:smallCaps w:val="0"/>
          <w:szCs w:val="20"/>
        </w:rPr>
        <w:t>件，责令“三停”1</w:t>
      </w:r>
      <w:r>
        <w:rPr>
          <w:rFonts w:ascii="Times New Roman" w:hAnsi="Times New Roman"/>
          <w:b w:val="0"/>
          <w:bCs w:val="0"/>
          <w:caps w:val="0"/>
          <w:smallCaps w:val="0"/>
          <w:szCs w:val="20"/>
        </w:rPr>
        <w:t>66</w:t>
      </w:r>
      <w:r>
        <w:rPr>
          <w:rFonts w:hint="eastAsia" w:ascii="Times New Roman" w:hAnsi="Times New Roman"/>
          <w:b w:val="0"/>
          <w:bCs w:val="0"/>
          <w:caps w:val="0"/>
          <w:smallCaps w:val="0"/>
          <w:szCs w:val="20"/>
        </w:rPr>
        <w:t>家，行政拘留4</w:t>
      </w:r>
      <w:r>
        <w:rPr>
          <w:rFonts w:ascii="Times New Roman" w:hAnsi="Times New Roman"/>
          <w:b w:val="0"/>
          <w:bCs w:val="0"/>
          <w:caps w:val="0"/>
          <w:smallCaps w:val="0"/>
          <w:szCs w:val="20"/>
        </w:rPr>
        <w:t>3</w:t>
      </w:r>
      <w:r>
        <w:rPr>
          <w:rFonts w:hint="eastAsia" w:ascii="Times New Roman" w:hAnsi="Times New Roman"/>
          <w:b w:val="0"/>
          <w:bCs w:val="0"/>
          <w:caps w:val="0"/>
          <w:smallCaps w:val="0"/>
          <w:szCs w:val="20"/>
        </w:rPr>
        <w:t>人，督促整改火灾隐患</w:t>
      </w:r>
      <w:r>
        <w:rPr>
          <w:rFonts w:ascii="Times New Roman" w:hAnsi="Times New Roman"/>
          <w:b w:val="0"/>
          <w:bCs w:val="0"/>
          <w:caps w:val="0"/>
          <w:smallCaps w:val="0"/>
          <w:szCs w:val="20"/>
        </w:rPr>
        <w:t>2.92</w:t>
      </w:r>
      <w:r>
        <w:rPr>
          <w:rFonts w:hint="eastAsia" w:ascii="Times New Roman" w:hAnsi="Times New Roman"/>
          <w:b w:val="0"/>
          <w:bCs w:val="0"/>
          <w:caps w:val="0"/>
          <w:smallCaps w:val="0"/>
          <w:szCs w:val="20"/>
        </w:rPr>
        <w:t>万余处，挂牌督改重大火灾隐患</w:t>
      </w:r>
      <w:r>
        <w:rPr>
          <w:rFonts w:ascii="Times New Roman" w:hAnsi="Times New Roman"/>
          <w:b w:val="0"/>
          <w:bCs w:val="0"/>
          <w:caps w:val="0"/>
          <w:smallCaps w:val="0"/>
          <w:szCs w:val="20"/>
        </w:rPr>
        <w:t>18</w:t>
      </w:r>
      <w:r>
        <w:rPr>
          <w:rFonts w:hint="eastAsia" w:ascii="Times New Roman" w:hAnsi="Times New Roman"/>
          <w:b w:val="0"/>
          <w:bCs w:val="0"/>
          <w:caps w:val="0"/>
          <w:smallCaps w:val="0"/>
          <w:szCs w:val="20"/>
        </w:rPr>
        <w:t>处。全县共发生火灾691起，死亡4人，受伤15人，直接财产损失1021万元，未发生较大以上火灾事故，社会面火灾形势整体平稳。</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r>
        <w:rPr>
          <w:rFonts w:hint="eastAsia" w:ascii="Times New Roman" w:hAnsi="Times New Roman"/>
          <w:b w:val="0"/>
          <w:bCs w:val="0"/>
          <w:caps w:val="0"/>
          <w:smallCaps w:val="0"/>
          <w:sz w:val="28"/>
          <w:szCs w:val="28"/>
        </w:rPr>
        <w:t>专栏1  “十三五”时期全县火灾基本情况</w:t>
      </w:r>
    </w:p>
    <w:tbl>
      <w:tblPr>
        <w:tblStyle w:val="31"/>
        <w:tblW w:w="878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897"/>
        <w:gridCol w:w="1742"/>
        <w:gridCol w:w="1743"/>
        <w:gridCol w:w="1697"/>
        <w:gridCol w:w="170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8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年  份</w:t>
            </w:r>
          </w:p>
        </w:tc>
        <w:tc>
          <w:tcPr>
            <w:tcW w:w="174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火灾起数（起）</w:t>
            </w:r>
          </w:p>
        </w:tc>
        <w:tc>
          <w:tcPr>
            <w:tcW w:w="1743"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死亡人数（人）</w:t>
            </w:r>
          </w:p>
        </w:tc>
        <w:tc>
          <w:tcPr>
            <w:tcW w:w="16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受伤人数（人）</w:t>
            </w:r>
          </w:p>
        </w:tc>
        <w:tc>
          <w:tcPr>
            <w:tcW w:w="17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直接财产损失（万元）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8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2016年</w:t>
            </w:r>
          </w:p>
        </w:tc>
        <w:tc>
          <w:tcPr>
            <w:tcW w:w="174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139</w:t>
            </w:r>
          </w:p>
        </w:tc>
        <w:tc>
          <w:tcPr>
            <w:tcW w:w="1743"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w:t>
            </w:r>
          </w:p>
        </w:tc>
        <w:tc>
          <w:tcPr>
            <w:tcW w:w="16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w:t>
            </w:r>
          </w:p>
        </w:tc>
        <w:tc>
          <w:tcPr>
            <w:tcW w:w="17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180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8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2017年</w:t>
            </w:r>
          </w:p>
        </w:tc>
        <w:tc>
          <w:tcPr>
            <w:tcW w:w="174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115</w:t>
            </w:r>
          </w:p>
        </w:tc>
        <w:tc>
          <w:tcPr>
            <w:tcW w:w="1743"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0</w:t>
            </w:r>
          </w:p>
        </w:tc>
        <w:tc>
          <w:tcPr>
            <w:tcW w:w="16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2</w:t>
            </w:r>
          </w:p>
        </w:tc>
        <w:tc>
          <w:tcPr>
            <w:tcW w:w="17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116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8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2018年</w:t>
            </w:r>
          </w:p>
        </w:tc>
        <w:tc>
          <w:tcPr>
            <w:tcW w:w="174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163</w:t>
            </w:r>
          </w:p>
        </w:tc>
        <w:tc>
          <w:tcPr>
            <w:tcW w:w="1743"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0</w:t>
            </w:r>
          </w:p>
        </w:tc>
        <w:tc>
          <w:tcPr>
            <w:tcW w:w="16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w:t>
            </w:r>
          </w:p>
        </w:tc>
        <w:tc>
          <w:tcPr>
            <w:tcW w:w="17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219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8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2019年</w:t>
            </w:r>
          </w:p>
        </w:tc>
        <w:tc>
          <w:tcPr>
            <w:tcW w:w="174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142</w:t>
            </w:r>
          </w:p>
        </w:tc>
        <w:tc>
          <w:tcPr>
            <w:tcW w:w="1743"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w:t>
            </w:r>
          </w:p>
        </w:tc>
        <w:tc>
          <w:tcPr>
            <w:tcW w:w="16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2</w:t>
            </w:r>
          </w:p>
        </w:tc>
        <w:tc>
          <w:tcPr>
            <w:tcW w:w="17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324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8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2020年</w:t>
            </w:r>
          </w:p>
        </w:tc>
        <w:tc>
          <w:tcPr>
            <w:tcW w:w="174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w:t>
            </w:r>
            <w:r>
              <w:rPr>
                <w:rFonts w:hint="eastAsia" w:ascii="Times New Roman" w:hAnsi="Times New Roman"/>
                <w:b w:val="0"/>
                <w:bCs w:val="0"/>
                <w:caps w:val="0"/>
                <w:smallCaps w:val="0"/>
                <w:sz w:val="24"/>
                <w:szCs w:val="24"/>
              </w:rPr>
              <w:t>32</w:t>
            </w:r>
          </w:p>
        </w:tc>
        <w:tc>
          <w:tcPr>
            <w:tcW w:w="1743"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w:t>
            </w:r>
          </w:p>
        </w:tc>
        <w:tc>
          <w:tcPr>
            <w:tcW w:w="16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9</w:t>
            </w:r>
          </w:p>
        </w:tc>
        <w:tc>
          <w:tcPr>
            <w:tcW w:w="17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182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18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合  计</w:t>
            </w:r>
          </w:p>
        </w:tc>
        <w:tc>
          <w:tcPr>
            <w:tcW w:w="174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691</w:t>
            </w:r>
          </w:p>
        </w:tc>
        <w:tc>
          <w:tcPr>
            <w:tcW w:w="1743"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4</w:t>
            </w:r>
          </w:p>
        </w:tc>
        <w:tc>
          <w:tcPr>
            <w:tcW w:w="169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15</w:t>
            </w:r>
          </w:p>
        </w:tc>
        <w:tc>
          <w:tcPr>
            <w:tcW w:w="17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1021</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社会化消防工作格局基本构建。全面贯彻落实《消防安全责任制实施办法》《重庆市消防安全责任制实施办法》，县消防安全委员会部署开展年度消防工作考核，考核结果纳入全县经济社会发展实绩考核内容。各行业主管部门严格落实“管行业必须管安全、管业务必须管安全，管生产经营必须管安全”要求，按照《消防安全管理规定》和《消防安全自查导则》要求，推动石柱社会福利机构、学校、医院等9类重点行业，实行消防安全标准化管理，打造教育、民政等行业标杆单位。社会单位持续开展“四个能力”达标创建和“三自主两公开一承诺”制度。扎实推进消防宣传“五进”工作，建成消防全媒体中心和应急消防科普教育基地，公众消防安全知晓率、关注度和参与度不断提升，社会化消防工作格局迈上了新的台阶。</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治理机制手段不断创新。全面贯彻落实党中央、国务院关于消防执法改革意见，按照《关于深化消防执法改革的实施意见》，顺利完成消防审验职能移交，全面推行“双随机、一公开”监管模式，试行公众聚集场所投入使用、营业前消防安全告知承诺制。将老旧居住建筑消防设施改造纳入民生实事工程，完成42幢老旧居住建筑消防设施改造任务，为</w:t>
      </w:r>
      <w:r>
        <w:rPr>
          <w:rFonts w:ascii="Times New Roman" w:hAnsi="Times New Roman"/>
          <w:b w:val="0"/>
          <w:bCs w:val="0"/>
          <w:caps w:val="0"/>
          <w:smallCaps w:val="0"/>
          <w:szCs w:val="20"/>
        </w:rPr>
        <w:t>16</w:t>
      </w:r>
      <w:r>
        <w:rPr>
          <w:rFonts w:hint="eastAsia" w:ascii="Times New Roman" w:hAnsi="Times New Roman"/>
          <w:b w:val="0"/>
          <w:bCs w:val="0"/>
          <w:caps w:val="0"/>
          <w:smallCaps w:val="0"/>
          <w:szCs w:val="20"/>
        </w:rPr>
        <w:t>家火灾高危单位投保火灾公众责任险。严格落实《乡镇消防委托执法工作实施意见》，推行乡镇消防委托执工作法，全部镇街签订消防委托执法协议。</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公共消防基础建设稳步推进。全面落实财政消防经费保障机制，统筹推进消防基础设施和多元消防力量建设。“十三五”时期，积极推进乡镇完成消防专项规划或消防专篇修编工作，全县新建</w:t>
      </w:r>
      <w:r>
        <w:rPr>
          <w:rFonts w:ascii="Times New Roman" w:hAnsi="Times New Roman"/>
          <w:b w:val="0"/>
          <w:bCs w:val="0"/>
          <w:caps w:val="0"/>
          <w:smallCaps w:val="0"/>
          <w:szCs w:val="20"/>
        </w:rPr>
        <w:t>1</w:t>
      </w:r>
      <w:r>
        <w:rPr>
          <w:rFonts w:hint="eastAsia" w:ascii="Times New Roman" w:hAnsi="Times New Roman"/>
          <w:b w:val="0"/>
          <w:bCs w:val="0"/>
          <w:caps w:val="0"/>
          <w:smallCaps w:val="0"/>
          <w:szCs w:val="20"/>
        </w:rPr>
        <w:t>座黄水二级消防站，新建西沱镇、三河镇、下路街道3个政府专职消防队。购置水罐车、泡沫车、抢险救援车、通信指挥车等消防车各1辆。建设市政消火栓</w:t>
      </w:r>
      <w:r>
        <w:rPr>
          <w:rFonts w:ascii="Times New Roman" w:hAnsi="Times New Roman"/>
          <w:b w:val="0"/>
          <w:bCs w:val="0"/>
          <w:caps w:val="0"/>
          <w:smallCaps w:val="0"/>
          <w:szCs w:val="20"/>
        </w:rPr>
        <w:t>263</w:t>
      </w:r>
      <w:r>
        <w:rPr>
          <w:rFonts w:hint="eastAsia" w:ascii="Times New Roman" w:hAnsi="Times New Roman"/>
          <w:b w:val="0"/>
          <w:bCs w:val="0"/>
          <w:caps w:val="0"/>
          <w:smallCaps w:val="0"/>
          <w:szCs w:val="20"/>
        </w:rPr>
        <w:t>个，取水设施</w:t>
      </w:r>
      <w:r>
        <w:rPr>
          <w:rFonts w:ascii="Times New Roman" w:hAnsi="Times New Roman"/>
          <w:b w:val="0"/>
          <w:bCs w:val="0"/>
          <w:caps w:val="0"/>
          <w:smallCaps w:val="0"/>
          <w:szCs w:val="20"/>
        </w:rPr>
        <w:t>12</w:t>
      </w:r>
      <w:r>
        <w:rPr>
          <w:rFonts w:hint="eastAsia" w:ascii="Times New Roman" w:hAnsi="Times New Roman"/>
          <w:b w:val="0"/>
          <w:bCs w:val="0"/>
          <w:caps w:val="0"/>
          <w:smallCaps w:val="0"/>
          <w:szCs w:val="20"/>
        </w:rPr>
        <w:t>处。城乡公共消防基础建设取得长足发展。</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消防应急救援能力显著提升。立足“全灾种、大应急”新形势，加快推动消防救援队伍转型升级，着力打造指挥控制、作战力量、作战保障“三大体系”。加强全县应急救援力量体系建设，组建</w:t>
      </w:r>
      <w:r>
        <w:rPr>
          <w:rFonts w:ascii="Times New Roman" w:hAnsi="Times New Roman"/>
          <w:b w:val="0"/>
          <w:bCs w:val="0"/>
          <w:caps w:val="0"/>
          <w:smallCaps w:val="0"/>
          <w:szCs w:val="20"/>
        </w:rPr>
        <w:t>30</w:t>
      </w:r>
      <w:r>
        <w:rPr>
          <w:rFonts w:hint="eastAsia" w:ascii="Times New Roman" w:hAnsi="Times New Roman"/>
          <w:b w:val="0"/>
          <w:bCs w:val="0"/>
          <w:caps w:val="0"/>
          <w:smallCaps w:val="0"/>
          <w:szCs w:val="20"/>
        </w:rPr>
        <w:t>人的县综合应急救援支队，优化重组40人的县森林防灭火支队，完善三河、黄水、西沱、下路等4个重点乡镇（街道）应急救援队（专职消防队、民兵综合应急分队），实现“三位一体”功能。强化应急救援队伍实战实练，完善应急预案体系，组织开展防汛抗旱、地质灾害、危险化学品以及非煤矿山等重点领域多部门联合大型应急演练，探索与利川市建立了应急救援联动机制，</w:t>
      </w:r>
      <w:r>
        <w:rPr>
          <w:rFonts w:hint="eastAsia" w:ascii="Times New Roman" w:hAnsi="Times New Roman" w:cs="宋体"/>
          <w:b w:val="0"/>
          <w:bCs w:val="0"/>
          <w:caps w:val="0"/>
          <w:smallCaps w:val="0"/>
          <w:spacing w:val="7"/>
          <w:kern w:val="0"/>
          <w:szCs w:val="32"/>
        </w:rPr>
        <w:t>不</w:t>
      </w:r>
      <w:r>
        <w:rPr>
          <w:rFonts w:hint="eastAsia" w:ascii="Times New Roman" w:hAnsi="Times New Roman" w:cs="仿宋_GB2312"/>
          <w:b w:val="0"/>
          <w:bCs w:val="0"/>
          <w:caps w:val="0"/>
          <w:smallCaps w:val="0"/>
          <w:szCs w:val="32"/>
        </w:rPr>
        <w:t>断提升队伍专业化、正规化、职业化水平</w:t>
      </w:r>
      <w:r>
        <w:rPr>
          <w:rFonts w:hint="eastAsia" w:ascii="Times New Roman" w:hAnsi="Times New Roman"/>
          <w:b w:val="0"/>
          <w:bCs w:val="0"/>
          <w:caps w:val="0"/>
          <w:smallCaps w:val="0"/>
          <w:szCs w:val="20"/>
        </w:rPr>
        <w:t>。“十三五”期间，全县消防救援队伍共接处警1167次，抢救和疏散被困人员452人，保护财产价值1200余万元，成功处置“6.4”华夏小学抗洪抢险、“9.4”西沱云梯街火灾、“</w:t>
      </w:r>
      <w:r>
        <w:rPr>
          <w:rFonts w:ascii="Times New Roman" w:hAnsi="Times New Roman"/>
          <w:b w:val="0"/>
          <w:bCs w:val="0"/>
          <w:caps w:val="0"/>
          <w:smallCaps w:val="0"/>
          <w:szCs w:val="20"/>
        </w:rPr>
        <w:t>10.15</w:t>
      </w:r>
      <w:r>
        <w:rPr>
          <w:rFonts w:hint="eastAsia" w:ascii="Times New Roman" w:hAnsi="Times New Roman"/>
          <w:b w:val="0"/>
          <w:bCs w:val="0"/>
          <w:caps w:val="0"/>
          <w:smallCaps w:val="0"/>
          <w:szCs w:val="20"/>
        </w:rPr>
        <w:t>”顶力鞋服有限公司复合车间爆炸等急难险重任务，全力确保人民群众生命财产安全。</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r>
        <w:rPr>
          <w:rFonts w:hint="eastAsia" w:ascii="Times New Roman" w:hAnsi="Times New Roman"/>
          <w:b w:val="0"/>
          <w:bCs w:val="0"/>
          <w:caps w:val="0"/>
          <w:smallCaps w:val="0"/>
          <w:sz w:val="28"/>
          <w:szCs w:val="28"/>
        </w:rPr>
        <w:t>专栏2  “十三五”时期全县警情基本情况</w:t>
      </w:r>
    </w:p>
    <w:tbl>
      <w:tblPr>
        <w:tblStyle w:val="31"/>
        <w:tblW w:w="8838"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818"/>
        <w:gridCol w:w="1595"/>
        <w:gridCol w:w="1881"/>
        <w:gridCol w:w="1934"/>
        <w:gridCol w:w="161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1818"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年  份</w:t>
            </w:r>
          </w:p>
        </w:tc>
        <w:tc>
          <w:tcPr>
            <w:tcW w:w="1595"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总警情（次）</w:t>
            </w:r>
          </w:p>
        </w:tc>
        <w:tc>
          <w:tcPr>
            <w:tcW w:w="188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火灾扑救（次）</w:t>
            </w:r>
          </w:p>
        </w:tc>
        <w:tc>
          <w:tcPr>
            <w:tcW w:w="1934"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抢险救援（次）</w:t>
            </w:r>
          </w:p>
        </w:tc>
        <w:tc>
          <w:tcPr>
            <w:tcW w:w="161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社会救助（次）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1818"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2016年</w:t>
            </w:r>
          </w:p>
        </w:tc>
        <w:tc>
          <w:tcPr>
            <w:tcW w:w="1595"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261</w:t>
            </w:r>
          </w:p>
        </w:tc>
        <w:tc>
          <w:tcPr>
            <w:tcW w:w="188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139</w:t>
            </w:r>
          </w:p>
        </w:tc>
        <w:tc>
          <w:tcPr>
            <w:tcW w:w="1934"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74</w:t>
            </w:r>
          </w:p>
        </w:tc>
        <w:tc>
          <w:tcPr>
            <w:tcW w:w="161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48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818"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2017年</w:t>
            </w:r>
          </w:p>
        </w:tc>
        <w:tc>
          <w:tcPr>
            <w:tcW w:w="1595"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179</w:t>
            </w:r>
          </w:p>
        </w:tc>
        <w:tc>
          <w:tcPr>
            <w:tcW w:w="188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115</w:t>
            </w:r>
          </w:p>
        </w:tc>
        <w:tc>
          <w:tcPr>
            <w:tcW w:w="1934"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29</w:t>
            </w:r>
          </w:p>
        </w:tc>
        <w:tc>
          <w:tcPr>
            <w:tcW w:w="161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35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1818"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2018年</w:t>
            </w:r>
          </w:p>
        </w:tc>
        <w:tc>
          <w:tcPr>
            <w:tcW w:w="1595"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239</w:t>
            </w:r>
          </w:p>
        </w:tc>
        <w:tc>
          <w:tcPr>
            <w:tcW w:w="188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163</w:t>
            </w:r>
          </w:p>
        </w:tc>
        <w:tc>
          <w:tcPr>
            <w:tcW w:w="1934"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54</w:t>
            </w:r>
          </w:p>
        </w:tc>
        <w:tc>
          <w:tcPr>
            <w:tcW w:w="161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818"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2019年</w:t>
            </w:r>
          </w:p>
        </w:tc>
        <w:tc>
          <w:tcPr>
            <w:tcW w:w="1595"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225</w:t>
            </w:r>
          </w:p>
        </w:tc>
        <w:tc>
          <w:tcPr>
            <w:tcW w:w="188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142</w:t>
            </w:r>
          </w:p>
        </w:tc>
        <w:tc>
          <w:tcPr>
            <w:tcW w:w="1934"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57</w:t>
            </w:r>
          </w:p>
        </w:tc>
        <w:tc>
          <w:tcPr>
            <w:tcW w:w="161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1818"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2020年</w:t>
            </w:r>
          </w:p>
        </w:tc>
        <w:tc>
          <w:tcPr>
            <w:tcW w:w="1595"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26</w:t>
            </w:r>
            <w:r>
              <w:rPr>
                <w:rFonts w:hint="eastAsia" w:ascii="Times New Roman" w:hAnsi="Times New Roman"/>
                <w:b w:val="0"/>
                <w:bCs w:val="0"/>
                <w:caps w:val="0"/>
                <w:smallCaps w:val="0"/>
                <w:sz w:val="24"/>
                <w:szCs w:val="24"/>
              </w:rPr>
              <w:t>3</w:t>
            </w:r>
          </w:p>
        </w:tc>
        <w:tc>
          <w:tcPr>
            <w:tcW w:w="188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w:t>
            </w:r>
            <w:r>
              <w:rPr>
                <w:rFonts w:hint="eastAsia" w:ascii="Times New Roman" w:hAnsi="Times New Roman"/>
                <w:b w:val="0"/>
                <w:bCs w:val="0"/>
                <w:caps w:val="0"/>
                <w:smallCaps w:val="0"/>
                <w:sz w:val="24"/>
                <w:szCs w:val="24"/>
              </w:rPr>
              <w:t>32</w:t>
            </w:r>
          </w:p>
        </w:tc>
        <w:tc>
          <w:tcPr>
            <w:tcW w:w="1934"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80</w:t>
            </w:r>
          </w:p>
        </w:tc>
        <w:tc>
          <w:tcPr>
            <w:tcW w:w="161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51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818"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合  计</w:t>
            </w:r>
          </w:p>
        </w:tc>
        <w:tc>
          <w:tcPr>
            <w:tcW w:w="1595"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w:t>
            </w:r>
            <w:r>
              <w:rPr>
                <w:rFonts w:hint="eastAsia" w:ascii="Times New Roman" w:hAnsi="Times New Roman"/>
                <w:b w:val="0"/>
                <w:bCs w:val="0"/>
                <w:caps w:val="0"/>
                <w:smallCaps w:val="0"/>
                <w:sz w:val="24"/>
                <w:szCs w:val="24"/>
              </w:rPr>
              <w:t>167</w:t>
            </w:r>
          </w:p>
        </w:tc>
        <w:tc>
          <w:tcPr>
            <w:tcW w:w="188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691</w:t>
            </w:r>
          </w:p>
        </w:tc>
        <w:tc>
          <w:tcPr>
            <w:tcW w:w="1934"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294</w:t>
            </w:r>
          </w:p>
        </w:tc>
        <w:tc>
          <w:tcPr>
            <w:tcW w:w="161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182</w:t>
            </w:r>
          </w:p>
        </w:tc>
      </w:tr>
    </w:tbl>
    <w:p>
      <w:pPr>
        <w:pStyle w:val="4"/>
        <w:kinsoku/>
        <w:wordWrap/>
        <w:overflowPunct/>
        <w:topLinePunct w:val="0"/>
        <w:autoSpaceDE/>
        <w:autoSpaceDN/>
        <w:bidi w:val="0"/>
        <w:adjustRightInd/>
        <w:snapToGrid w:val="0"/>
        <w:spacing w:beforeLines="0" w:afterLines="0" w:line="560" w:lineRule="exact"/>
        <w:ind w:left="0" w:leftChars="0" w:firstLine="712" w:firstLineChars="200"/>
        <w:jc w:val="both"/>
        <w:textAlignment w:val="auto"/>
        <w:rPr>
          <w:rFonts w:hint="eastAsia" w:ascii="Times New Roman" w:hAnsi="Times New Roman"/>
          <w:b w:val="0"/>
          <w:bCs w:val="0"/>
          <w:caps w:val="0"/>
          <w:smallCaps w:val="0"/>
        </w:rPr>
      </w:pPr>
      <w:bookmarkStart w:id="11" w:name="_Toc100577311"/>
      <w:bookmarkStart w:id="12" w:name="_Toc109989610"/>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lang w:val="en-US" w:eastAsia="zh-CN"/>
        </w:rPr>
      </w:pPr>
      <w:r>
        <w:rPr>
          <w:rFonts w:hint="eastAsia" w:ascii="方正楷体_GBK" w:hAnsi="方正楷体_GBK" w:eastAsia="方正楷体_GBK" w:cs="方正楷体_GBK"/>
          <w:b w:val="0"/>
          <w:bCs w:val="0"/>
          <w:caps w:val="0"/>
          <w:smallCaps w:val="0"/>
          <w:lang w:val="en-US" w:eastAsia="zh-CN"/>
        </w:rPr>
        <w:t>第二节  “十四五”时期面临的形势</w:t>
      </w:r>
      <w:bookmarkEnd w:id="11"/>
      <w:bookmarkEnd w:id="12"/>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“十四五”时期，石柱</w:t>
      </w:r>
      <w:r>
        <w:rPr>
          <w:rFonts w:hint="eastAsia" w:ascii="Times New Roman" w:hAnsi="Times New Roman"/>
          <w:b w:val="0"/>
          <w:bCs w:val="0"/>
          <w:caps w:val="0"/>
          <w:smallCaps w:val="0"/>
          <w:szCs w:val="20"/>
          <w:lang w:eastAsia="zh-CN"/>
        </w:rPr>
        <w:t>县</w:t>
      </w:r>
      <w:r>
        <w:rPr>
          <w:rFonts w:hint="eastAsia" w:ascii="Times New Roman" w:hAnsi="Times New Roman"/>
          <w:b w:val="0"/>
          <w:bCs w:val="0"/>
          <w:caps w:val="0"/>
          <w:smallCaps w:val="0"/>
          <w:szCs w:val="20"/>
        </w:rPr>
        <w:t>进入高质量发展阶段，但消防救援工作与经济社会发展不适应、不协调的问题依然存在，城市抗御和应对火灾及其他灾害事故的综合能力亟待加强和改进。</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经济社会高质量发展对消防安全提出更高要求。“十四五”时期，随着国家构建以国内大循环为主体、国内国际双循环相互促进的新发展格局，共建“一带一路”、长江经济带发展、新时代西部大开发等重大战略深入实施，成渝地区双城经济圈建设、市域“一区两群”协调发展加快推进，我县深入推进创新型县的建设，着力打造成渝经济圈康养经济示范区，全县经济社会发展速度进一步加快，大量新兴产业和重大项目将落户我县，人流、物流、信息流高度集中，新技术、新材料、新工艺广泛应用，各类传统与非传统致灾因素叠加放大，给消防救援工作带来前所未有的压力。</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城市化进程加快给社会消防治理带来新考验。当前我县消防安全仍处于脆弱期、爬坡期、过坎期，全县已建成高层建筑</w:t>
      </w:r>
      <w:r>
        <w:rPr>
          <w:rFonts w:ascii="Times New Roman" w:hAnsi="Times New Roman"/>
          <w:b w:val="0"/>
          <w:bCs w:val="0"/>
          <w:caps w:val="0"/>
          <w:smallCaps w:val="0"/>
          <w:szCs w:val="20"/>
        </w:rPr>
        <w:t>242</w:t>
      </w:r>
      <w:r>
        <w:rPr>
          <w:rFonts w:hint="eastAsia" w:ascii="Times New Roman" w:hAnsi="Times New Roman"/>
          <w:b w:val="0"/>
          <w:bCs w:val="0"/>
          <w:caps w:val="0"/>
          <w:smallCaps w:val="0"/>
          <w:szCs w:val="20"/>
        </w:rPr>
        <w:t>栋、商业综合体</w:t>
      </w:r>
      <w:r>
        <w:rPr>
          <w:rFonts w:ascii="Times New Roman" w:hAnsi="Times New Roman"/>
          <w:b w:val="0"/>
          <w:bCs w:val="0"/>
          <w:caps w:val="0"/>
          <w:smallCaps w:val="0"/>
          <w:szCs w:val="20"/>
        </w:rPr>
        <w:t>1</w:t>
      </w:r>
      <w:r>
        <w:rPr>
          <w:rFonts w:hint="eastAsia" w:ascii="Times New Roman" w:hAnsi="Times New Roman"/>
          <w:b w:val="0"/>
          <w:bCs w:val="0"/>
          <w:caps w:val="0"/>
          <w:smallCaps w:val="0"/>
          <w:szCs w:val="20"/>
        </w:rPr>
        <w:t>个、各类消防安全重点单位</w:t>
      </w:r>
      <w:r>
        <w:rPr>
          <w:rFonts w:ascii="Times New Roman" w:hAnsi="Times New Roman"/>
          <w:b w:val="0"/>
          <w:bCs w:val="0"/>
          <w:caps w:val="0"/>
          <w:smallCaps w:val="0"/>
          <w:szCs w:val="20"/>
        </w:rPr>
        <w:t>232</w:t>
      </w:r>
      <w:r>
        <w:rPr>
          <w:rFonts w:hint="eastAsia" w:ascii="Times New Roman" w:hAnsi="Times New Roman"/>
          <w:b w:val="0"/>
          <w:bCs w:val="0"/>
          <w:caps w:val="0"/>
          <w:smallCaps w:val="0"/>
          <w:szCs w:val="20"/>
        </w:rPr>
        <w:t>家。高层、商业综合体等建筑大多结构复杂、体量庞大、功能多样、人员密集，造成群死群伤的风险高。同时，城乡</w:t>
      </w:r>
      <w:r>
        <w:rPr>
          <w:rFonts w:hint="eastAsia" w:ascii="Times New Roman" w:hAnsi="Times New Roman"/>
          <w:b w:val="0"/>
          <w:bCs w:val="0"/>
          <w:caps w:val="0"/>
          <w:smallCaps w:val="0"/>
          <w:szCs w:val="20"/>
          <w:lang w:eastAsia="zh-CN"/>
        </w:rPr>
        <w:t>结</w:t>
      </w:r>
      <w:r>
        <w:rPr>
          <w:rFonts w:hint="eastAsia" w:ascii="Times New Roman" w:hAnsi="Times New Roman"/>
          <w:b w:val="0"/>
          <w:bCs w:val="0"/>
          <w:caps w:val="0"/>
          <w:smallCaps w:val="0"/>
          <w:szCs w:val="20"/>
        </w:rPr>
        <w:t>合部聚集了大量低端劳动密集型企业，违规住人、储存、用火用电等动态隐患屡禁不止，给消防安全带来了很大挑战，城市安全运行进入消防风险上升期。</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区域协调发展要求统筹公共消防基础设施建设。“十四五”时期，重庆市深入推动“一区两群”协调发展，要求合理布局和配置消防资源，但目前全县公共消防基础建设仍存短板和欠账。2016年以来，全县共接报火灾691起，其中农村地区火灾395起，占比达57％，呈逐年上升趋势。作为保护农村消防安全骨干力量的农村志愿消防队伍数量基本为零，完全不能满足农村地区消防安全保卫需求。</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全灾种、大应急”任务给灭火应急救援带来新挑战。高层建筑、商业综合体、化工等世界性火灾扑救难题，以及水域、山岳等地域性救援任务在我县集中显现，应急救援任务繁重。消防救援队伍作为应急救援的主力军和国家队，职能任务已从处置单一灾种向“全灾种、大应急”转变，但现有消防员数量相对不足。同时，全县消防装备器材建设虽取得长足进步，配备种类基本齐全，但大功能率供水消防车、灭火机器人等“高、精、尖”装备欠缺，消防力量体系和专业化水平还不能完全适应“全灾种、大应急”实战任务需要。</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公众消防安全素质有待进一步提升和加强。“十四五”时期，</w:t>
      </w:r>
      <w:r>
        <w:rPr>
          <w:rFonts w:hint="eastAsia" w:ascii="Times New Roman" w:hAnsi="Times New Roman"/>
          <w:b w:val="0"/>
          <w:bCs w:val="0"/>
          <w:caps w:val="0"/>
          <w:smallCaps w:val="0"/>
          <w:szCs w:val="20"/>
          <w:lang w:eastAsia="zh-CN"/>
        </w:rPr>
        <w:t>群众</w:t>
      </w:r>
      <w:r>
        <w:rPr>
          <w:rFonts w:hint="eastAsia" w:ascii="Times New Roman" w:hAnsi="Times New Roman"/>
          <w:b w:val="0"/>
          <w:bCs w:val="0"/>
          <w:caps w:val="0"/>
          <w:smallCaps w:val="0"/>
          <w:szCs w:val="20"/>
        </w:rPr>
        <w:t>高品质生活实现长足进步，人民群众对消防安全获得感、幸福感、安全感有了更高要求。目前</w:t>
      </w:r>
      <w:r>
        <w:rPr>
          <w:rFonts w:hint="eastAsia" w:ascii="Times New Roman" w:hAnsi="Times New Roman"/>
          <w:b w:val="0"/>
          <w:bCs w:val="0"/>
          <w:caps w:val="0"/>
          <w:smallCaps w:val="0"/>
          <w:szCs w:val="20"/>
          <w:lang w:eastAsia="zh-CN"/>
        </w:rPr>
        <w:t>，</w:t>
      </w:r>
      <w:r>
        <w:rPr>
          <w:rFonts w:hint="eastAsia" w:ascii="Times New Roman" w:hAnsi="Times New Roman"/>
          <w:b w:val="0"/>
          <w:bCs w:val="0"/>
          <w:caps w:val="0"/>
          <w:smallCaps w:val="0"/>
          <w:szCs w:val="20"/>
        </w:rPr>
        <w:t>我县公众消防安全素质与经济社会发展不相适应，全县消防安全常识知晓率仅为7%，消防科普教育基地仅有2处。“十三五”时期，因居民消防安全意识不到位，用火用电不慎引发的火灾占</w:t>
      </w:r>
      <w:r>
        <w:rPr>
          <w:rFonts w:hint="eastAsia" w:ascii="Times New Roman" w:hAnsi="Times New Roman"/>
          <w:b w:val="0"/>
          <w:bCs w:val="0"/>
          <w:caps w:val="0"/>
          <w:smallCaps w:val="0"/>
          <w:szCs w:val="20"/>
          <w:lang w:eastAsia="zh-CN"/>
        </w:rPr>
        <w:t>比达</w:t>
      </w:r>
      <w:r>
        <w:rPr>
          <w:rFonts w:hint="eastAsia" w:ascii="Times New Roman" w:hAnsi="Times New Roman"/>
          <w:b w:val="0"/>
          <w:bCs w:val="0"/>
          <w:caps w:val="0"/>
          <w:smallCaps w:val="0"/>
          <w:szCs w:val="20"/>
        </w:rPr>
        <w:t>80％以上。公众消防安全意识、初期火灾扑救和应急疏散逃生能力亟待进一步提升和加强。</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lang w:val="en-US" w:eastAsia="zh-CN"/>
        </w:rPr>
      </w:pPr>
      <w:bookmarkStart w:id="13" w:name="_Toc109989611"/>
      <w:bookmarkStart w:id="14" w:name="_Toc100577312"/>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lang w:val="en-US" w:eastAsia="zh-CN"/>
        </w:rPr>
      </w:pPr>
      <w:r>
        <w:rPr>
          <w:rFonts w:hint="eastAsia" w:ascii="方正楷体_GBK" w:hAnsi="方正楷体_GBK" w:eastAsia="方正楷体_GBK" w:cs="方正楷体_GBK"/>
          <w:b w:val="0"/>
          <w:bCs w:val="0"/>
          <w:caps w:val="0"/>
          <w:smallCaps w:val="0"/>
          <w:lang w:val="en-US" w:eastAsia="zh-CN"/>
        </w:rPr>
        <w:t>第三节  “十四五”时期发展机遇</w:t>
      </w:r>
      <w:bookmarkEnd w:id="13"/>
      <w:bookmarkEnd w:id="14"/>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十四五”时期是我国全面建成小康社会、实现第一个百年奋斗目标之后，乘势而上开启全面建设社会主义现代化国家新征程、向第二个百年奋斗目标进军的第一个五年，也是石柱县消防救援事业快速发展的战略机遇期。</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党中央、国务院坚强领导是根本保证。习近平总书记关于应急管理、防灾减灾救灾工作系列重要论述，为新时代消防救援事业发展提供了根本遵循。党中央、国务院坚持以人民为中心的发展思想，对消防救援工作作出重大决策部署，为防范化解重大安全风险、应对处置各类灾害事故指明了前进方向。党的集中统一领导的政治优势、集中力量办大事的体制优势，为有效履行消防救援核心职能提供了有力保障。</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新发展理念成为共识是强大动力。全县各级各部门把新发展理念贯穿发展全过程和各领域，坚持“人民至上、生命至上”理念，统筹发展和安全两件大事，强化底线思维和风险意识，对消防安全越来越重视，投入越来越大，通过健全落实消防安全责任制，深化火灾隐患排查整治，强化综合应急救援准备，为全县消防救援工作注入源源不断的强大动力。</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经济社会高质量发展是有利契机。全县新型城镇化、区域协同化、城乡一体化的更高质量发展，将更加注重从“量”的增长到“质”和“量”的同步提高，有利于加强火灾防范能力、公共消防设施、消防救援力量、应急救援装备等建设，为加快推进消防救援改革发展孕育新契机。人民群众对幸福感、获得感、安全感的更高要求，促使公众消防安全素质不断提升、社会消防力量持续壮大、消防公益事业蓬勃发展，为推动消防治理体系和治理能力现代化汇聚起磅礴力量。</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szCs w:val="20"/>
        </w:rPr>
      </w:pPr>
      <w:r>
        <w:rPr>
          <w:rFonts w:hint="eastAsia" w:ascii="Times New Roman" w:hAnsi="Times New Roman"/>
          <w:b w:val="0"/>
          <w:bCs w:val="0"/>
          <w:caps w:val="0"/>
          <w:smallCaps w:val="0"/>
          <w:szCs w:val="20"/>
        </w:rPr>
        <w:t>科技创新驱动发展是重要支撑。随着“智慧城市”建设深入实施，全县物联网、云计算、大数据、人工智能、5G等高科技在消防领域将深度集成和应用，促使落后工艺、技术、装备和产能加快淘汰，将大幅降低消防安全风险，有效提升消防安全监测预警、监管执法、指挥决策、应急救援、遂行保障等能力，为消防救援事业高质量发展提供强大支撑。</w:t>
      </w:r>
      <w:bookmarkStart w:id="15" w:name="_Toc109989612"/>
      <w:bookmarkStart w:id="16" w:name="_Toc100577313"/>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b w:val="0"/>
          <w:bCs w:val="0"/>
          <w:caps w:val="0"/>
          <w:smallCaps w:val="0"/>
          <w:szCs w:val="20"/>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黑体_GBK" w:hAnsi="方正黑体_GBK" w:eastAsia="方正黑体_GBK" w:cs="方正黑体_GBK"/>
          <w:b w:val="0"/>
          <w:bCs w:val="0"/>
          <w:caps w:val="0"/>
          <w:smallCaps w:val="0"/>
        </w:rPr>
      </w:pPr>
      <w:r>
        <w:rPr>
          <w:rFonts w:hint="eastAsia" w:ascii="方正黑体_GBK" w:hAnsi="方正黑体_GBK" w:eastAsia="方正黑体_GBK" w:cs="方正黑体_GBK"/>
          <w:b w:val="0"/>
          <w:bCs w:val="0"/>
          <w:caps w:val="0"/>
          <w:smallCaps w:val="0"/>
        </w:rPr>
        <w:t xml:space="preserve">第二章 </w:t>
      </w:r>
      <w:r>
        <w:rPr>
          <w:rFonts w:hint="eastAsia" w:ascii="方正黑体_GBK" w:hAnsi="方正黑体_GBK" w:eastAsia="方正黑体_GBK" w:cs="方正黑体_GBK"/>
          <w:b w:val="0"/>
          <w:bCs w:val="0"/>
          <w:caps w:val="0"/>
          <w:smallCaps w:val="0"/>
          <w:lang w:val="en-US" w:eastAsia="zh-CN"/>
        </w:rPr>
        <w:t xml:space="preserve"> </w:t>
      </w:r>
      <w:r>
        <w:rPr>
          <w:rFonts w:hint="eastAsia" w:ascii="方正黑体_GBK" w:hAnsi="方正黑体_GBK" w:eastAsia="方正黑体_GBK" w:cs="方正黑体_GBK"/>
          <w:b w:val="0"/>
          <w:bCs w:val="0"/>
          <w:caps w:val="0"/>
          <w:smallCaps w:val="0"/>
        </w:rPr>
        <w:t>总体要求</w:t>
      </w:r>
      <w:bookmarkEnd w:id="15"/>
      <w:bookmarkEnd w:id="16"/>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lang w:val="en-US" w:eastAsia="zh-CN"/>
        </w:rPr>
      </w:pPr>
      <w:bookmarkStart w:id="17" w:name="_Toc109989613"/>
      <w:bookmarkStart w:id="18" w:name="_Toc100577314"/>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lang w:val="en-US" w:eastAsia="zh-CN"/>
        </w:rPr>
      </w:pPr>
      <w:r>
        <w:rPr>
          <w:rFonts w:hint="eastAsia" w:ascii="方正楷体_GBK" w:hAnsi="方正楷体_GBK" w:eastAsia="方正楷体_GBK" w:cs="方正楷体_GBK"/>
          <w:b w:val="0"/>
          <w:bCs w:val="0"/>
          <w:caps w:val="0"/>
          <w:smallCaps w:val="0"/>
          <w:lang w:val="en-US" w:eastAsia="zh-CN"/>
        </w:rPr>
        <w:t>第一节  指导思想</w:t>
      </w:r>
      <w:bookmarkEnd w:id="17"/>
      <w:bookmarkEnd w:id="18"/>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szCs w:val="20"/>
        </w:rPr>
      </w:pPr>
      <w:r>
        <w:rPr>
          <w:rFonts w:hint="eastAsia" w:ascii="Times New Roman" w:hAnsi="Times New Roman"/>
          <w:b w:val="0"/>
          <w:bCs w:val="0"/>
          <w:caps w:val="0"/>
          <w:smallCaps w:val="0"/>
          <w:szCs w:val="20"/>
        </w:rPr>
        <w:t>以习近平新时代中国特色社会主义思想为指导，全面贯彻党的十九大和十九届</w:t>
      </w:r>
      <w:r>
        <w:rPr>
          <w:rFonts w:hint="eastAsia" w:ascii="Times New Roman" w:hAnsi="Times New Roman"/>
          <w:b w:val="0"/>
          <w:bCs w:val="0"/>
          <w:caps w:val="0"/>
          <w:smallCaps w:val="0"/>
          <w:szCs w:val="20"/>
          <w:lang w:eastAsia="zh-CN"/>
        </w:rPr>
        <w:t>历次</w:t>
      </w:r>
      <w:r>
        <w:rPr>
          <w:rFonts w:hint="eastAsia" w:ascii="Times New Roman" w:hAnsi="Times New Roman"/>
          <w:b w:val="0"/>
          <w:bCs w:val="0"/>
          <w:caps w:val="0"/>
          <w:smallCaps w:val="0"/>
          <w:szCs w:val="20"/>
        </w:rPr>
        <w:t>全会精神，紧紧围绕统筹推进“五位一体”总体布局和协调推进“四个全面”战略布局，深入贯彻习近平总书记对重庆提出的营造良好政治生态，坚持“两点”定位、“两地”“两高”目标，发挥“三个作用”和推动成渝地区双城经济圈建设等重要指示要求以及亲临石柱视察系列重要指示要求，牢固树立“人民至上、生命至上”理念，科学统筹发展和安全两件大事，坚持新发展理念，加快推进消防治理体系和治理能力现代化，全面提升石柱防范化解重大安全风险、应对处置各类灾害事故能力，全力确保消防安全形势持续稳定，为石柱经济社会高质量发展提供坚实的消防安全保障。</w:t>
      </w:r>
      <w:bookmarkStart w:id="19" w:name="_Toc109989614"/>
      <w:bookmarkStart w:id="20" w:name="_Toc100577315"/>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b w:val="0"/>
          <w:bCs w:val="0"/>
          <w:caps w:val="0"/>
          <w:smallCaps w:val="0"/>
          <w:szCs w:val="20"/>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rPr>
      </w:pPr>
      <w:r>
        <w:rPr>
          <w:rFonts w:hint="eastAsia" w:ascii="方正楷体_GBK" w:hAnsi="方正楷体_GBK" w:eastAsia="方正楷体_GBK" w:cs="方正楷体_GBK"/>
          <w:b w:val="0"/>
          <w:bCs w:val="0"/>
          <w:caps w:val="0"/>
          <w:smallCaps w:val="0"/>
        </w:rPr>
        <w:t>第二节</w:t>
      </w:r>
      <w:r>
        <w:rPr>
          <w:rFonts w:hint="eastAsia" w:ascii="方正楷体_GBK" w:hAnsi="方正楷体_GBK" w:eastAsia="方正楷体_GBK" w:cs="方正楷体_GBK"/>
          <w:b w:val="0"/>
          <w:bCs w:val="0"/>
          <w:caps w:val="0"/>
          <w:smallCaps w:val="0"/>
          <w:lang w:val="en-US" w:eastAsia="zh-CN"/>
        </w:rPr>
        <w:t xml:space="preserve"> </w:t>
      </w:r>
      <w:r>
        <w:rPr>
          <w:rFonts w:hint="eastAsia" w:ascii="方正楷体_GBK" w:hAnsi="方正楷体_GBK" w:eastAsia="方正楷体_GBK" w:cs="方正楷体_GBK"/>
          <w:b w:val="0"/>
          <w:bCs w:val="0"/>
          <w:caps w:val="0"/>
          <w:smallCaps w:val="0"/>
        </w:rPr>
        <w:t xml:space="preserve"> 基本原则</w:t>
      </w:r>
      <w:bookmarkEnd w:id="19"/>
      <w:bookmarkEnd w:id="20"/>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——坚持党的全面领导。始终把习近平总书记授旗训词精神作为根本指引，坚持党对消防救援事业的绝对领导，紧紧依靠我国的政治优势、组织优势、制度优势，不断提升消防治理体系和治理能力现代化水平。</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——坚持以人民为中心。坚持“人民至上、生命至上”理念，贯彻预防为主、防消结合的方针，始终把保障人民群众生命财产安全放在首位，着力防范和化解重大消防安全风险，全力保障人民群众生命财产安全。</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坚持新发展理念。把新发展理念贯穿发展全过程和各领域，积极融入服务新发展格局，准确把握新形势下石柱消防救援工作定位，建立完善与之相适应的消防责任体系，实现更高质量、更有效率、更加公平、更可持续、更为安全的发展。</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r>
        <w:rPr>
          <w:rFonts w:hint="eastAsia" w:ascii="Times New Roman" w:hAnsi="Times New Roman"/>
          <w:b w:val="0"/>
          <w:bCs w:val="0"/>
          <w:caps w:val="0"/>
          <w:smallCaps w:val="0"/>
        </w:rPr>
        <w:t>——坚持综合治理。健全完善消防法治体系，以法治方式推进消防工作社会化进程，从本质安全、火灾防范、灭火救援等方面建立风险控制长效机制，全面形成源头严防、过程严管、后果严惩的火灾防控体系。</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r>
        <w:rPr>
          <w:rFonts w:hint="eastAsia" w:ascii="Times New Roman" w:hAnsi="Times New Roman"/>
          <w:b w:val="0"/>
          <w:bCs w:val="0"/>
          <w:caps w:val="0"/>
          <w:smallCaps w:val="0"/>
        </w:rPr>
        <w:t>——坚持系统观念。加强前瞻性思考、全局性谋划、战略性布局、整体性推进，统筹全县城乡消防整体规划，科学统筹消防资源配置和建设，积极构建适应石柱县经济社会发展的消防救援工作格局。</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r>
        <w:rPr>
          <w:rFonts w:hint="eastAsia" w:ascii="Times New Roman" w:hAnsi="Times New Roman"/>
          <w:b w:val="0"/>
          <w:bCs w:val="0"/>
          <w:caps w:val="0"/>
          <w:smallCaps w:val="0"/>
        </w:rPr>
        <w:t>——坚持创新驱动。依靠科技进步，推进信息技术、人工智能、云计算等与消防救援工作深度融合，优化火灾防控和灭火应急救援管理机制，加快“智慧消防”建设，提高消防救援工作现代化水平。</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rPr>
      </w:pPr>
      <w:bookmarkStart w:id="21" w:name="_Toc100577316"/>
      <w:bookmarkStart w:id="22" w:name="_Toc109989615"/>
      <w:r>
        <w:rPr>
          <w:rFonts w:hint="eastAsia" w:ascii="方正楷体_GBK" w:hAnsi="方正楷体_GBK" w:eastAsia="方正楷体_GBK" w:cs="方正楷体_GBK"/>
          <w:b w:val="0"/>
          <w:bCs w:val="0"/>
          <w:caps w:val="0"/>
          <w:smallCaps w:val="0"/>
        </w:rPr>
        <w:t>第三节</w:t>
      </w:r>
      <w:r>
        <w:rPr>
          <w:rFonts w:hint="eastAsia" w:ascii="方正楷体_GBK" w:hAnsi="方正楷体_GBK" w:eastAsia="方正楷体_GBK" w:cs="方正楷体_GBK"/>
          <w:b w:val="0"/>
          <w:bCs w:val="0"/>
          <w:caps w:val="0"/>
          <w:smallCaps w:val="0"/>
          <w:lang w:val="en-US" w:eastAsia="zh-CN"/>
        </w:rPr>
        <w:t xml:space="preserve">  </w:t>
      </w:r>
      <w:r>
        <w:rPr>
          <w:rFonts w:hint="eastAsia" w:ascii="方正楷体_GBK" w:hAnsi="方正楷体_GBK" w:eastAsia="方正楷体_GBK" w:cs="方正楷体_GBK"/>
          <w:b w:val="0"/>
          <w:bCs w:val="0"/>
          <w:caps w:val="0"/>
          <w:smallCaps w:val="0"/>
        </w:rPr>
        <w:t>主要目标</w:t>
      </w:r>
      <w:bookmarkEnd w:id="21"/>
      <w:bookmarkEnd w:id="22"/>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十四五”时期，石柱消防救援工作紧紧围绕全面建设社会主义现代化国家的目标，全面推进消防治理体系和治理能力现代化。到2025年，全县消防治理体系和治理能力全面加强，消防安全形势持续向好，火灾事故总量持续下降，防范火灾事故能力显著增强，城乡消防安全基础条件明显改善，国家综合性消防救援队伍作为应急救援主力军和国家队作用充分彰显，应对处置巨灾大难的能力显著提升。</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——火灾形势平稳可控。火灾起数、死亡人数、受伤人数、直接财产损失数四项指标保持平稳，“十四五”期间全县年度火灾死亡人数控制在</w:t>
      </w:r>
      <w:r>
        <w:rPr>
          <w:rFonts w:ascii="Times New Roman" w:hAnsi="Times New Roman"/>
          <w:b w:val="0"/>
          <w:bCs w:val="0"/>
          <w:caps w:val="0"/>
          <w:smallCaps w:val="0"/>
          <w:szCs w:val="20"/>
        </w:rPr>
        <w:t>1</w:t>
      </w:r>
      <w:r>
        <w:rPr>
          <w:rFonts w:hint="eastAsia" w:ascii="Times New Roman" w:hAnsi="Times New Roman"/>
          <w:b w:val="0"/>
          <w:bCs w:val="0"/>
          <w:caps w:val="0"/>
          <w:smallCaps w:val="0"/>
          <w:szCs w:val="20"/>
        </w:rPr>
        <w:t>人以内，有效遏制“小火亡人”事故，坚决杜绝重特大火灾尤其是群死群伤火灾事故</w:t>
      </w:r>
      <w:r>
        <w:rPr>
          <w:rFonts w:hint="eastAsia" w:ascii="Times New Roman" w:hAnsi="Times New Roman"/>
          <w:b w:val="0"/>
          <w:bCs w:val="0"/>
          <w:caps w:val="0"/>
          <w:smallCaps w:val="0"/>
          <w:szCs w:val="20"/>
          <w:lang w:eastAsia="zh-CN"/>
        </w:rPr>
        <w:t>发生</w:t>
      </w:r>
      <w:r>
        <w:rPr>
          <w:rFonts w:hint="eastAsia" w:ascii="Times New Roman" w:hAnsi="Times New Roman"/>
          <w:b w:val="0"/>
          <w:bCs w:val="0"/>
          <w:caps w:val="0"/>
          <w:smallCaps w:val="0"/>
          <w:szCs w:val="20"/>
        </w:rPr>
        <w:t>。</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治理水平显著提升。各级消防安全责任有效落实，监管机制健全完善，基层治理逐步夯实，综合治理精准高效，社会治理多元共治，消防文化广泛传播，公众消防安全意识和自防自救能力显著增强，消防安全环境不断改善，火灾形势持续稳定。</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救援能力专业高效。应对处置“全灾种、大应急”机制能力有效形成，灭火救援指挥控制、作战力量、作战保障“三大体系”全面构建，应急救援主力军和国家队作用日益凸显，城乡多元消防力量覆盖全域，灭火应急救援响应机制联动高效，遇重大灾情全县基本形成统一调度、统一指挥、职责明确、联勤联动的灾害事故处置合力。</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公共消防基础不断推进。有序推进小型消防站、消防训练基地等项目建设，建立完善市政消火栓建设、管理、维护工作机制，在消防水源缺乏地区新建一批消防取水设施。针对石柱灾害特点，逐步加大消防装备专项投入，配齐配强消防救援特种攻坚装备，智能化高精尖装备配比率大幅提高。</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队伍建设管理更加规范。严格执行“两严两准”建队标准，健全完善适应国家综合性消防救援队伍职责使命和职业特点的制度体系，队伍管理教育保持正规有序，执法执勤行为更加专业规范，队伍形象和人民满意度不断提升，全社会尊崇消防、热爱消防、参与消防氛围日益浓厚。</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智慧消防”建设深度融合。紧跟“智慧城市”建设发展进程，构建广域覆盖的感知网络体系、开放共享的技术支撑体系、智慧联动的业务应用体系和智能迭代的消防“智慧大脑”，形成“体系架构更加合理、感知覆盖更加全面、火灾防控更加高效、指挥决策更加科学、队伍管理更加精细、公众服务更加便捷、通信保障更加可靠”的消防信息化新格局。</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r>
        <w:rPr>
          <w:rFonts w:hint="eastAsia" w:ascii="Times New Roman" w:hAnsi="Times New Roman"/>
          <w:b w:val="0"/>
          <w:bCs w:val="0"/>
          <w:caps w:val="0"/>
          <w:smallCaps w:val="0"/>
          <w:sz w:val="28"/>
          <w:szCs w:val="28"/>
        </w:rPr>
        <w:t>专栏3  “十四五”时期消防救援事业发展主要指标</w:t>
      </w:r>
    </w:p>
    <w:tbl>
      <w:tblPr>
        <w:tblStyle w:val="31"/>
        <w:tblW w:w="869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01"/>
        <w:gridCol w:w="3157"/>
        <w:gridCol w:w="811"/>
        <w:gridCol w:w="992"/>
        <w:gridCol w:w="1500"/>
        <w:gridCol w:w="132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79" w:hRule="atLeast"/>
          <w:jc w:val="center"/>
        </w:trPr>
        <w:tc>
          <w:tcPr>
            <w:tcW w:w="9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序号</w:t>
            </w:r>
          </w:p>
        </w:tc>
        <w:tc>
          <w:tcPr>
            <w:tcW w:w="315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指标名称</w:t>
            </w:r>
          </w:p>
        </w:tc>
        <w:tc>
          <w:tcPr>
            <w:tcW w:w="81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单位</w:t>
            </w:r>
          </w:p>
        </w:tc>
        <w:tc>
          <w:tcPr>
            <w:tcW w:w="99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2020年</w:t>
            </w:r>
          </w:p>
        </w:tc>
        <w:tc>
          <w:tcPr>
            <w:tcW w:w="150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2025年目标</w:t>
            </w:r>
          </w:p>
        </w:tc>
        <w:tc>
          <w:tcPr>
            <w:tcW w:w="1329"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指标属性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80" w:hRule="atLeast"/>
          <w:jc w:val="center"/>
        </w:trPr>
        <w:tc>
          <w:tcPr>
            <w:tcW w:w="9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w:t>
            </w:r>
          </w:p>
        </w:tc>
        <w:tc>
          <w:tcPr>
            <w:tcW w:w="315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年度火灾十万人口死亡率</w:t>
            </w:r>
          </w:p>
        </w:tc>
        <w:tc>
          <w:tcPr>
            <w:tcW w:w="81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人</w:t>
            </w:r>
          </w:p>
        </w:tc>
        <w:tc>
          <w:tcPr>
            <w:tcW w:w="99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0</w:t>
            </w:r>
            <w:r>
              <w:rPr>
                <w:rFonts w:ascii="Times New Roman" w:hAnsi="Times New Roman"/>
                <w:b w:val="0"/>
                <w:bCs w:val="0"/>
                <w:caps w:val="0"/>
                <w:smallCaps w:val="0"/>
                <w:sz w:val="24"/>
                <w:szCs w:val="24"/>
              </w:rPr>
              <w:t>.2</w:t>
            </w:r>
          </w:p>
        </w:tc>
        <w:tc>
          <w:tcPr>
            <w:tcW w:w="150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0.2</w:t>
            </w:r>
          </w:p>
        </w:tc>
        <w:tc>
          <w:tcPr>
            <w:tcW w:w="1329"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79" w:hRule="atLeast"/>
          <w:jc w:val="center"/>
        </w:trPr>
        <w:tc>
          <w:tcPr>
            <w:tcW w:w="9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w:t>
            </w:r>
          </w:p>
        </w:tc>
        <w:tc>
          <w:tcPr>
            <w:tcW w:w="315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十万人拥有消防救援站</w:t>
            </w:r>
          </w:p>
        </w:tc>
        <w:tc>
          <w:tcPr>
            <w:tcW w:w="81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个</w:t>
            </w:r>
          </w:p>
        </w:tc>
        <w:tc>
          <w:tcPr>
            <w:tcW w:w="99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0</w:t>
            </w:r>
            <w:r>
              <w:rPr>
                <w:rFonts w:ascii="Times New Roman" w:hAnsi="Times New Roman"/>
                <w:b w:val="0"/>
                <w:bCs w:val="0"/>
                <w:caps w:val="0"/>
                <w:smallCaps w:val="0"/>
                <w:sz w:val="24"/>
                <w:szCs w:val="24"/>
              </w:rPr>
              <w:t>.51</w:t>
            </w:r>
          </w:p>
        </w:tc>
        <w:tc>
          <w:tcPr>
            <w:tcW w:w="150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1</w:t>
            </w:r>
          </w:p>
        </w:tc>
        <w:tc>
          <w:tcPr>
            <w:tcW w:w="1329"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80" w:hRule="atLeast"/>
          <w:jc w:val="center"/>
        </w:trPr>
        <w:tc>
          <w:tcPr>
            <w:tcW w:w="9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3</w:t>
            </w:r>
          </w:p>
        </w:tc>
        <w:tc>
          <w:tcPr>
            <w:tcW w:w="315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乡镇专职消防队覆盖率</w:t>
            </w:r>
          </w:p>
        </w:tc>
        <w:tc>
          <w:tcPr>
            <w:tcW w:w="81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w:t>
            </w:r>
          </w:p>
        </w:tc>
        <w:tc>
          <w:tcPr>
            <w:tcW w:w="99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10</w:t>
            </w:r>
          </w:p>
        </w:tc>
        <w:tc>
          <w:tcPr>
            <w:tcW w:w="150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20</w:t>
            </w:r>
          </w:p>
        </w:tc>
        <w:tc>
          <w:tcPr>
            <w:tcW w:w="1329"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79" w:hRule="atLeast"/>
          <w:jc w:val="center"/>
        </w:trPr>
        <w:tc>
          <w:tcPr>
            <w:tcW w:w="9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4</w:t>
            </w:r>
          </w:p>
        </w:tc>
        <w:tc>
          <w:tcPr>
            <w:tcW w:w="315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市政消火栓建有率</w:t>
            </w:r>
          </w:p>
        </w:tc>
        <w:tc>
          <w:tcPr>
            <w:tcW w:w="81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w:t>
            </w:r>
          </w:p>
        </w:tc>
        <w:tc>
          <w:tcPr>
            <w:tcW w:w="99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100</w:t>
            </w:r>
          </w:p>
        </w:tc>
        <w:tc>
          <w:tcPr>
            <w:tcW w:w="150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100</w:t>
            </w:r>
          </w:p>
        </w:tc>
        <w:tc>
          <w:tcPr>
            <w:tcW w:w="1329"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80" w:hRule="atLeast"/>
          <w:jc w:val="center"/>
        </w:trPr>
        <w:tc>
          <w:tcPr>
            <w:tcW w:w="9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5</w:t>
            </w:r>
          </w:p>
        </w:tc>
        <w:tc>
          <w:tcPr>
            <w:tcW w:w="315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市政消火栓完好率</w:t>
            </w:r>
          </w:p>
        </w:tc>
        <w:tc>
          <w:tcPr>
            <w:tcW w:w="81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w:t>
            </w:r>
          </w:p>
        </w:tc>
        <w:tc>
          <w:tcPr>
            <w:tcW w:w="99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98</w:t>
            </w:r>
          </w:p>
        </w:tc>
        <w:tc>
          <w:tcPr>
            <w:tcW w:w="150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98</w:t>
            </w:r>
          </w:p>
        </w:tc>
        <w:tc>
          <w:tcPr>
            <w:tcW w:w="1329"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约束性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79" w:hRule="atLeast"/>
          <w:jc w:val="center"/>
        </w:trPr>
        <w:tc>
          <w:tcPr>
            <w:tcW w:w="9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6</w:t>
            </w:r>
          </w:p>
        </w:tc>
        <w:tc>
          <w:tcPr>
            <w:tcW w:w="315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万人专职消防员拥有率</w:t>
            </w:r>
          </w:p>
        </w:tc>
        <w:tc>
          <w:tcPr>
            <w:tcW w:w="81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人</w:t>
            </w:r>
          </w:p>
        </w:tc>
        <w:tc>
          <w:tcPr>
            <w:tcW w:w="99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0</w:t>
            </w:r>
            <w:r>
              <w:rPr>
                <w:rFonts w:ascii="Times New Roman" w:hAnsi="Times New Roman"/>
                <w:b w:val="0"/>
                <w:bCs w:val="0"/>
                <w:caps w:val="0"/>
                <w:smallCaps w:val="0"/>
                <w:sz w:val="24"/>
                <w:szCs w:val="24"/>
              </w:rPr>
              <w:t>.7</w:t>
            </w:r>
          </w:p>
        </w:tc>
        <w:tc>
          <w:tcPr>
            <w:tcW w:w="150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2.5</w:t>
            </w:r>
          </w:p>
        </w:tc>
        <w:tc>
          <w:tcPr>
            <w:tcW w:w="1329"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预期性</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0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7</w:t>
            </w:r>
          </w:p>
        </w:tc>
        <w:tc>
          <w:tcPr>
            <w:tcW w:w="3157"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万人消防车拥有率</w:t>
            </w:r>
          </w:p>
        </w:tc>
        <w:tc>
          <w:tcPr>
            <w:tcW w:w="811"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台</w:t>
            </w:r>
          </w:p>
        </w:tc>
        <w:tc>
          <w:tcPr>
            <w:tcW w:w="992"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0</w:t>
            </w:r>
            <w:r>
              <w:rPr>
                <w:rFonts w:ascii="Times New Roman" w:hAnsi="Times New Roman"/>
                <w:b w:val="0"/>
                <w:bCs w:val="0"/>
                <w:caps w:val="0"/>
                <w:smallCaps w:val="0"/>
                <w:sz w:val="24"/>
                <w:szCs w:val="24"/>
              </w:rPr>
              <w:t>.33</w:t>
            </w:r>
          </w:p>
        </w:tc>
        <w:tc>
          <w:tcPr>
            <w:tcW w:w="1500"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hint="eastAsia" w:ascii="Times New Roman" w:hAnsi="Times New Roman"/>
                <w:b w:val="0"/>
                <w:bCs w:val="0"/>
                <w:caps w:val="0"/>
                <w:smallCaps w:val="0"/>
                <w:sz w:val="24"/>
                <w:szCs w:val="24"/>
              </w:rPr>
              <w:t>0</w:t>
            </w:r>
            <w:r>
              <w:rPr>
                <w:rFonts w:ascii="Times New Roman" w:hAnsi="Times New Roman"/>
                <w:b w:val="0"/>
                <w:bCs w:val="0"/>
                <w:caps w:val="0"/>
                <w:smallCaps w:val="0"/>
                <w:sz w:val="24"/>
                <w:szCs w:val="24"/>
              </w:rPr>
              <w:t>.45</w:t>
            </w:r>
          </w:p>
        </w:tc>
        <w:tc>
          <w:tcPr>
            <w:tcW w:w="1329" w:type="dxa"/>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4"/>
              </w:rPr>
            </w:pPr>
            <w:r>
              <w:rPr>
                <w:rFonts w:ascii="Times New Roman" w:hAnsi="Times New Roman"/>
                <w:b w:val="0"/>
                <w:bCs w:val="0"/>
                <w:caps w:val="0"/>
                <w:smallCaps w:val="0"/>
                <w:sz w:val="24"/>
                <w:szCs w:val="24"/>
              </w:rPr>
              <w:t>预期性</w:t>
            </w:r>
          </w:p>
        </w:tc>
      </w:tr>
    </w:tbl>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Cs w:val="20"/>
        </w:rPr>
      </w:pPr>
      <w:bookmarkStart w:id="23" w:name="_Toc109989616"/>
      <w:bookmarkStart w:id="24" w:name="_Toc100577317"/>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zCs w:val="20"/>
        </w:rPr>
      </w:pPr>
      <w:r>
        <w:rPr>
          <w:rFonts w:hint="eastAsia" w:ascii="方正黑体_GBK" w:hAnsi="方正黑体_GBK" w:eastAsia="方正黑体_GBK" w:cs="方正黑体_GBK"/>
          <w:b w:val="0"/>
          <w:bCs w:val="0"/>
          <w:caps w:val="0"/>
          <w:smallCaps w:val="0"/>
          <w:szCs w:val="20"/>
        </w:rPr>
        <w:t xml:space="preserve">第三章 </w:t>
      </w:r>
      <w:r>
        <w:rPr>
          <w:rFonts w:hint="eastAsia" w:ascii="方正黑体_GBK" w:hAnsi="方正黑体_GBK" w:eastAsia="方正黑体_GBK" w:cs="方正黑体_GBK"/>
          <w:b w:val="0"/>
          <w:bCs w:val="0"/>
          <w:caps w:val="0"/>
          <w:smallCaps w:val="0"/>
          <w:szCs w:val="20"/>
          <w:lang w:val="en-US" w:eastAsia="zh-CN"/>
        </w:rPr>
        <w:t xml:space="preserve"> </w:t>
      </w:r>
      <w:r>
        <w:rPr>
          <w:rFonts w:hint="eastAsia" w:ascii="方正黑体_GBK" w:hAnsi="方正黑体_GBK" w:eastAsia="方正黑体_GBK" w:cs="方正黑体_GBK"/>
          <w:b w:val="0"/>
          <w:bCs w:val="0"/>
          <w:caps w:val="0"/>
          <w:smallCaps w:val="0"/>
          <w:szCs w:val="20"/>
        </w:rPr>
        <w:t>主要任务</w:t>
      </w:r>
      <w:bookmarkEnd w:id="23"/>
      <w:bookmarkEnd w:id="24"/>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rPr>
      </w:pPr>
      <w:bookmarkStart w:id="25" w:name="_Toc109989617"/>
      <w:bookmarkStart w:id="26" w:name="_Toc100577318"/>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rPr>
      </w:pPr>
      <w:r>
        <w:rPr>
          <w:rFonts w:hint="eastAsia" w:ascii="方正楷体_GBK" w:hAnsi="方正楷体_GBK" w:eastAsia="方正楷体_GBK" w:cs="方正楷体_GBK"/>
          <w:b w:val="0"/>
          <w:bCs w:val="0"/>
          <w:caps w:val="0"/>
          <w:smallCaps w:val="0"/>
        </w:rPr>
        <w:t xml:space="preserve">第一节 </w:t>
      </w:r>
      <w:r>
        <w:rPr>
          <w:rFonts w:hint="eastAsia" w:ascii="方正楷体_GBK" w:hAnsi="方正楷体_GBK" w:eastAsia="方正楷体_GBK" w:cs="方正楷体_GBK"/>
          <w:b w:val="0"/>
          <w:bCs w:val="0"/>
          <w:caps w:val="0"/>
          <w:smallCaps w:val="0"/>
          <w:lang w:val="en-US" w:eastAsia="zh-CN"/>
        </w:rPr>
        <w:t xml:space="preserve"> </w:t>
      </w:r>
      <w:r>
        <w:rPr>
          <w:rFonts w:hint="eastAsia" w:ascii="方正楷体_GBK" w:hAnsi="方正楷体_GBK" w:eastAsia="方正楷体_GBK" w:cs="方正楷体_GBK"/>
          <w:b w:val="0"/>
          <w:bCs w:val="0"/>
          <w:caps w:val="0"/>
          <w:smallCaps w:val="0"/>
        </w:rPr>
        <w:t>构建消防安全共建共治格局</w:t>
      </w:r>
      <w:bookmarkEnd w:id="25"/>
      <w:bookmarkEnd w:id="26"/>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强化党委政府领导责任。贯彻落实《重庆市消防安全责任制实施办法》，党委政府建立定期研究消防安全、消防救援机构定期报告的“双定期”机制，建立消防工作巡查制度，完善消防工作督导、考核机制，相关结果作为对各</w:t>
      </w:r>
      <w:r>
        <w:rPr>
          <w:rFonts w:hint="eastAsia" w:ascii="Times New Roman" w:hAnsi="Times New Roman"/>
          <w:b w:val="0"/>
          <w:bCs w:val="0"/>
          <w:caps w:val="0"/>
          <w:smallCaps w:val="0"/>
          <w:szCs w:val="20"/>
          <w:lang w:eastAsia="zh-CN"/>
        </w:rPr>
        <w:t>乡</w:t>
      </w:r>
      <w:r>
        <w:rPr>
          <w:rFonts w:hint="eastAsia" w:ascii="Times New Roman" w:hAnsi="Times New Roman"/>
          <w:b w:val="0"/>
          <w:bCs w:val="0"/>
          <w:caps w:val="0"/>
          <w:smallCaps w:val="0"/>
          <w:szCs w:val="20"/>
        </w:rPr>
        <w:t>镇（街道）经济社会发展业绩考核的重要内容。贯彻《重庆市消防安全督办约谈实施办法（试行）》，强化对火灾事故和消防安全责任落实情况的约谈警示。强化火灾事故延伸调查，对造成人员死亡或重大社会影响的火灾，依法调查有关单位和个人遵守消防法律法规、技术标准情况，查清使用管理、工程建设、中介服务、消防产品质量、属地监管和行业监管等方面的责任。开展亡人和有影响火灾事故“回头看”，对属地政府、行业部门、火灾事故相关责任单位及责任人员落实防范和整改措施情况开展评估，督促落实各级消防安全责任。</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落实行业部门监管责任。实体化运行消防安全委员会，设立常态运行的办公机构，建立健全火灾事故调查处理、消防安全重大问题问责、警示约谈、重大隐患挂牌督办、重大问题抄告反馈等制度。教育、民政、文化旅游、卫生健康、文物等部门，建立完善行业消防安全管理制度，打造学校、养老机构、旅游景区、医院、文物古建筑等消防安全标准化管理示范标杆，实施标准化、规范化管理。发展改革、</w:t>
      </w:r>
      <w:r>
        <w:rPr>
          <w:rFonts w:hint="eastAsia" w:ascii="Times New Roman" w:hAnsi="Times New Roman"/>
          <w:b w:val="0"/>
          <w:bCs w:val="0"/>
          <w:caps w:val="0"/>
          <w:smallCaps w:val="0"/>
        </w:rPr>
        <w:t>规划自然资源</w:t>
      </w:r>
      <w:r>
        <w:rPr>
          <w:rFonts w:hint="eastAsia" w:ascii="Times New Roman" w:hAnsi="Times New Roman"/>
          <w:b w:val="0"/>
          <w:bCs w:val="0"/>
          <w:caps w:val="0"/>
          <w:smallCaps w:val="0"/>
          <w:szCs w:val="20"/>
        </w:rPr>
        <w:t>、住建、市场监管等部门，建立信息共享、执法衔接、移交查办等制度，加强项目审批环节、工程建设领域和电气、电动车、消防产品等生产流通领域的源头监管。健全行业部门分析评估、定期会商、联合执法等机制，针对突出隐患问题组织开展集中整治，形成齐抓共管消防工作格局。</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督促社会单位主体责任。全面推行火灾风险隐患“自知、自查、自改”和公示承诺、风险申报制度。强化社会单位“四个能力”建设，健全消防安全自主管理机制，培养消防安全管理“明白人”。对连锁经营企业、集团企业加强系统治理、规范管理。推动大型商业综合体等聘用注册消防工程师参与消防安全管理。指导大型商业综合体常态化开展消防设施维保、全员消防培训等“七个一”活动，推动康德中央大街及新建大型商业综合体消防安全管理人，全部取得注册消防工程师执业资格，组建专业的消防安全管理团队和应急处置团队，打造消防安全标准化管理示范单位。鼓励引导公众聚集场所投保火灾公众责任险，推动保险公司建立完善检查评估制度，发挥保险机构参与火灾风险评估、火灾事故预防等作用，有效提升单位消防安全管理水平。</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rPr>
      </w:pPr>
      <w:bookmarkStart w:id="27" w:name="_Toc100577319"/>
      <w:bookmarkStart w:id="28" w:name="_Toc109989618"/>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rPr>
      </w:pPr>
      <w:r>
        <w:rPr>
          <w:rFonts w:hint="eastAsia" w:ascii="方正楷体_GBK" w:hAnsi="方正楷体_GBK" w:eastAsia="方正楷体_GBK" w:cs="方正楷体_GBK"/>
          <w:b w:val="0"/>
          <w:bCs w:val="0"/>
          <w:caps w:val="0"/>
          <w:smallCaps w:val="0"/>
        </w:rPr>
        <w:t xml:space="preserve">第二节 </w:t>
      </w:r>
      <w:r>
        <w:rPr>
          <w:rFonts w:hint="eastAsia" w:ascii="方正楷体_GBK" w:hAnsi="方正楷体_GBK" w:eastAsia="方正楷体_GBK" w:cs="方正楷体_GBK"/>
          <w:b w:val="0"/>
          <w:bCs w:val="0"/>
          <w:caps w:val="0"/>
          <w:smallCaps w:val="0"/>
          <w:lang w:val="en-US" w:eastAsia="zh-CN"/>
        </w:rPr>
        <w:t xml:space="preserve"> </w:t>
      </w:r>
      <w:r>
        <w:rPr>
          <w:rFonts w:hint="eastAsia" w:ascii="方正楷体_GBK" w:hAnsi="方正楷体_GBK" w:eastAsia="方正楷体_GBK" w:cs="方正楷体_GBK"/>
          <w:b w:val="0"/>
          <w:bCs w:val="0"/>
          <w:caps w:val="0"/>
          <w:smallCaps w:val="0"/>
        </w:rPr>
        <w:t>防范化解重大消防安全风险</w:t>
      </w:r>
      <w:bookmarkEnd w:id="27"/>
      <w:bookmarkEnd w:id="28"/>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深化重点领域消防安全综合治理。持续开展消防安全专项整治三年行动，深入推进打通生命通道、重点场所治理、突出风险、重点行业管理等工作，集中整治地下工程和交通隧道、大型商业综合体、电动自行车、外墙保温材料、彩钢板建筑、家庭加工作坊、城乡接合部、物流仓储等消防安全突出问题。落实《石柱县高层建筑消防安全提升计划（2020—2022年）》，围绕“责、规、建、管、防、改、宣、救”8个方面，持续开展高层建筑消防安全综合治理，解决高层建筑“人上不去、水上不去、车进不去”等消防安全突出问题。结合石柱老旧小区改造提升总体安排，同步开展老旧小区消防安全整治，从2022年起，根据老旧小区改造年度提升计划，将消防设施改造纳入全过程，同步设计、同步施工、同步验收，确保老旧小区消防安全问题逐步解决，全面提升城市抗御火灾整体能力。按照</w:t>
      </w:r>
      <w:r>
        <w:rPr>
          <w:rFonts w:hint="eastAsia" w:ascii="Times New Roman" w:hAnsi="Times New Roman"/>
          <w:b w:val="0"/>
          <w:bCs w:val="0"/>
          <w:caps w:val="0"/>
          <w:smallCaps w:val="0"/>
          <w:szCs w:val="20"/>
          <w:lang w:eastAsia="zh-CN"/>
        </w:rPr>
        <w:t>“</w:t>
      </w:r>
      <w:r>
        <w:rPr>
          <w:rFonts w:hint="eastAsia" w:ascii="Times New Roman" w:hAnsi="Times New Roman"/>
          <w:b w:val="0"/>
          <w:bCs w:val="0"/>
          <w:caps w:val="0"/>
          <w:smallCaps w:val="0"/>
          <w:szCs w:val="20"/>
        </w:rPr>
        <w:t>存在什么隐患就整改什么隐患</w:t>
      </w:r>
      <w:r>
        <w:rPr>
          <w:rFonts w:hint="eastAsia" w:ascii="Times New Roman" w:hAnsi="Times New Roman"/>
          <w:b w:val="0"/>
          <w:bCs w:val="0"/>
          <w:caps w:val="0"/>
          <w:smallCaps w:val="0"/>
          <w:szCs w:val="20"/>
          <w:lang w:eastAsia="zh-CN"/>
        </w:rPr>
        <w:t>”</w:t>
      </w:r>
      <w:r>
        <w:rPr>
          <w:rFonts w:hint="eastAsia" w:ascii="Times New Roman" w:hAnsi="Times New Roman"/>
          <w:b w:val="0"/>
          <w:bCs w:val="0"/>
          <w:caps w:val="0"/>
          <w:smallCaps w:val="0"/>
          <w:szCs w:val="20"/>
        </w:rPr>
        <w:t>的标准，推进全县3栋“三无”高层建筑消防设施的改造工作，对室内消火栓、自动报警系统进行维修并增加物业管理。</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统筹农村地区火灾隐患治理。通过人居环境改造治理、易地扶贫搬迁、农村危房改造、民房恢复重建等工程，结合乡村文物古迹、传统村落、民族村寨、传统建筑历史文化保护工作，进一步解决建筑耐火等级低、消防通道不畅通、防火间距不足、电气线路老化等问题，特别针对连片村寨火灾等突出风险，积极运用科技手段，及时预警、消除隐患。紧盯农村新兴产业和扶贫产业中的新问题、新风险，强化产业工业园、特色小镇、家庭工厂、手工作坊、乡村车间、直采电商、农家乐及民宿等单位场所的消防安全管理，重点整治“出租屋”和“三合一”场所（住宿与生产储存经营等一种或几种功能混合设置在同一连通空间内的场所）等火灾隐患，加强易地扶贫搬迁安置点、“老幼病残”和贫困地区建档立卡等特殊人群居住场所的消防安全检查，确保农村地区消防安全。</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提升消防监督执法效能。深化消防执法改革要求，全面推行适应新产业、新业态、新模式特点的“六位一体”新型监管模式。优化“双随机、一公开”监管，适当提高火灾高风险场所、严重违法失信对象监督检查抽查率。建立多部门联合检查、信息共享、执法衔接、移交查办等制度，完善消防安全事中事后监管工作运行机制。推进消防员参与执法、消防文员辅助执法工作，推动消防救援站、政府专职消防队开展消防巡查。分级组建消防安全专家库，分行业领域成立专家组，建立推行专家检查制度，采取政府购买服务等方式，开展高风险场所消防检查、专业评估和隐患整改。加强消防监督能力建设，配齐消防监督技术装备和火灾事故调查装备，增强消防监督执法能力。</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加强消防风险评估管理。加强新材料新产品新业态消防安全风险研判，落实全县每半年开展一次消防安全形势综合分析，民政、商务、教育、卫健、文旅、民宗等部门每半年开展一次行业系统消防安全风险分析研判，火灾高危单位每年开展一次消防安全评估制度，全面提升城市消防安全风险防范能力。</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创新消防信用监管模式。贯彻落实消防安全领域信用管理办法，健全部门信息共享、联合惩戒机制，将消防失信信息依法依规纳入市公共信用信息基础目录，推进至市公共信用信息平台，向社会进行公示和实施惩戒。利用科技手段规范消防技术服务机构和人员从业行为，依法惩处不具备从业条件、弄虚作假等违法违规行为。</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构建全民参与消防宣教格局。深入推进消防宣传“五进”工作，加强党政领导，行业部门、村（居）委负责人，企业消防安全负责人、管理人，以及多种形式消防队员、进城务工人员等重点人群消防安全教育培训。持续将消防知识纳入国民素质教育、普法宣传、科普推广、职业技能等培训教育体系，建立完善学校消防安全教育长效机制。因地制宜建设消防科普教育馆、消防主题公园、文化广场（街区）、流动宣传服务站。积极推进“互联网+”消防宣传教育，依托县消防全媒体中心建立“政务+媒体+服务”消防宣传模式，打造石柱消防官方融媒体产品矩阵。建立消防公益宣传及公益力量培育宣传长效机制，发展多种形式的消防宣教队伍和消防志愿者队伍，引导社会力量广泛参与形式多样的消防公益服务活动。倡导消防公益文化创作，支持创作消防题材文学和艺术作品，营造“关注消防、参与消防”的浓厚氛围。</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Cs w:val="20"/>
        </w:rPr>
      </w:pPr>
      <w:bookmarkStart w:id="29" w:name="_Toc109989619"/>
      <w:bookmarkStart w:id="30" w:name="_Toc100577320"/>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r>
        <w:rPr>
          <w:rFonts w:hint="eastAsia" w:ascii="方正楷体_GBK" w:hAnsi="方正楷体_GBK" w:eastAsia="方正楷体_GBK" w:cs="方正楷体_GBK"/>
          <w:b w:val="0"/>
          <w:bCs w:val="0"/>
          <w:caps w:val="0"/>
          <w:smallCaps w:val="0"/>
          <w:szCs w:val="20"/>
        </w:rPr>
        <w:t xml:space="preserve">第三节 </w:t>
      </w:r>
      <w:r>
        <w:rPr>
          <w:rFonts w:hint="eastAsia" w:ascii="方正楷体_GBK" w:hAnsi="方正楷体_GBK" w:eastAsia="方正楷体_GBK" w:cs="方正楷体_GBK"/>
          <w:b w:val="0"/>
          <w:bCs w:val="0"/>
          <w:caps w:val="0"/>
          <w:smallCaps w:val="0"/>
          <w:szCs w:val="20"/>
          <w:lang w:val="en-US" w:eastAsia="zh-CN"/>
        </w:rPr>
        <w:t xml:space="preserve"> </w:t>
      </w:r>
      <w:r>
        <w:rPr>
          <w:rFonts w:hint="eastAsia" w:ascii="方正楷体_GBK" w:hAnsi="方正楷体_GBK" w:eastAsia="方正楷体_GBK" w:cs="方正楷体_GBK"/>
          <w:b w:val="0"/>
          <w:bCs w:val="0"/>
          <w:caps w:val="0"/>
          <w:smallCaps w:val="0"/>
          <w:szCs w:val="20"/>
        </w:rPr>
        <w:t>提升城乡抗御火灾能力水平</w:t>
      </w:r>
      <w:bookmarkEnd w:id="29"/>
      <w:bookmarkEnd w:id="30"/>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完善基层末端网络。推动建立乡镇（街道）消防安全委员会、村（社区）消防工作小组，建立经济发达镇消防监督赋权执法，其他乡镇消防委托执法业务指导和案件移交等工作机制，落实定期分析研判、联合会商、督导检查等工作制度，明确消防专兼职管理人员，落实经费、人才、考核和科技等保障措施，强化末端消防管理。落实乡镇（街道）应急管理办公室、综合行政执法大队消防监管职责，以及网格人员防火巡查和消防宣传工作职责，指导公安派出所依法依规开展消防监督检查、宣传教育和委托执法等工作，加强基础消防安全管理。将消防工作与基层自治、网格管理、联防联控等工作有机结合，落实网格人员防火巡查和消防宣传工作职责，筑牢社会面火灾防控人民防线。</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加强公共消防基础设施建设。将城乡消防专项规划融入国土空间规划体系，编制并落实《石柱土家族自治县城乡消防规划（20</w:t>
      </w:r>
      <w:r>
        <w:rPr>
          <w:rFonts w:ascii="Times New Roman" w:hAnsi="Times New Roman"/>
          <w:b w:val="0"/>
          <w:bCs w:val="0"/>
          <w:caps w:val="0"/>
          <w:smallCaps w:val="0"/>
          <w:szCs w:val="20"/>
        </w:rPr>
        <w:t>20</w:t>
      </w:r>
      <w:r>
        <w:rPr>
          <w:rFonts w:hint="eastAsia" w:ascii="Times New Roman" w:hAnsi="Times New Roman"/>
          <w:b w:val="0"/>
          <w:bCs w:val="0"/>
          <w:caps w:val="0"/>
          <w:smallCaps w:val="0"/>
          <w:szCs w:val="20"/>
        </w:rPr>
        <w:t>—2035年）》，各建制镇编制消防专项规划或消防专篇。结合乡村振兴战略、村庄整治和小城镇、连片村寨改造等工作，统筹将农村消防基础设施建设纳入本地区经济社会发展规划、乡镇总体规划编制内容，同步建设农村消防力量和消防器材配置点、消防水源、消防通道、消防取水等设施。严格按照市政消火栓与新建道路同步设计、同步建设、同步验收、同步投用原则，加强市政消火栓建设。“十四五”期间，石柱城区建设消火栓1</w:t>
      </w:r>
      <w:r>
        <w:rPr>
          <w:rFonts w:ascii="Times New Roman" w:hAnsi="Times New Roman"/>
          <w:b w:val="0"/>
          <w:bCs w:val="0"/>
          <w:caps w:val="0"/>
          <w:smallCaps w:val="0"/>
          <w:szCs w:val="20"/>
        </w:rPr>
        <w:t>9</w:t>
      </w:r>
      <w:r>
        <w:rPr>
          <w:rFonts w:hint="eastAsia" w:ascii="Times New Roman" w:hAnsi="Times New Roman"/>
          <w:b w:val="0"/>
          <w:bCs w:val="0"/>
          <w:caps w:val="0"/>
          <w:smallCaps w:val="0"/>
          <w:szCs w:val="20"/>
        </w:rPr>
        <w:t>个，</w:t>
      </w:r>
      <w:r>
        <w:rPr>
          <w:rFonts w:hint="eastAsia" w:ascii="Times New Roman" w:hAnsi="Times New Roman"/>
          <w:b w:val="0"/>
          <w:bCs w:val="0"/>
          <w:caps w:val="0"/>
          <w:smallCaps w:val="0"/>
        </w:rPr>
        <w:t>下路街道建设消火栓</w:t>
      </w:r>
      <w:r>
        <w:rPr>
          <w:rFonts w:ascii="Times New Roman" w:hAnsi="Times New Roman"/>
          <w:b w:val="0"/>
          <w:bCs w:val="0"/>
          <w:caps w:val="0"/>
          <w:smallCaps w:val="0"/>
        </w:rPr>
        <w:t>3</w:t>
      </w:r>
      <w:r>
        <w:rPr>
          <w:rFonts w:hint="eastAsia" w:ascii="Times New Roman" w:hAnsi="Times New Roman"/>
          <w:b w:val="0"/>
          <w:bCs w:val="0"/>
          <w:caps w:val="0"/>
          <w:smallCaps w:val="0"/>
        </w:rPr>
        <w:t>个，三河镇建设消火栓</w:t>
      </w:r>
      <w:r>
        <w:rPr>
          <w:rFonts w:ascii="Times New Roman" w:hAnsi="Times New Roman"/>
          <w:b w:val="0"/>
          <w:bCs w:val="0"/>
          <w:caps w:val="0"/>
          <w:smallCaps w:val="0"/>
        </w:rPr>
        <w:t>20</w:t>
      </w:r>
      <w:r>
        <w:rPr>
          <w:rFonts w:hint="eastAsia" w:ascii="Times New Roman" w:hAnsi="Times New Roman"/>
          <w:b w:val="0"/>
          <w:bCs w:val="0"/>
          <w:caps w:val="0"/>
          <w:smallCaps w:val="0"/>
        </w:rPr>
        <w:t>个，西沱镇建设消火栓</w:t>
      </w:r>
      <w:r>
        <w:rPr>
          <w:rFonts w:ascii="Times New Roman" w:hAnsi="Times New Roman"/>
          <w:b w:val="0"/>
          <w:bCs w:val="0"/>
          <w:caps w:val="0"/>
          <w:smallCaps w:val="0"/>
        </w:rPr>
        <w:t>13</w:t>
      </w:r>
      <w:r>
        <w:rPr>
          <w:rFonts w:hint="eastAsia" w:ascii="Times New Roman" w:hAnsi="Times New Roman"/>
          <w:b w:val="0"/>
          <w:bCs w:val="0"/>
          <w:caps w:val="0"/>
          <w:smallCaps w:val="0"/>
        </w:rPr>
        <w:t>个，黄水镇建设消火栓</w:t>
      </w:r>
      <w:r>
        <w:rPr>
          <w:rFonts w:ascii="Times New Roman" w:hAnsi="Times New Roman"/>
          <w:b w:val="0"/>
          <w:bCs w:val="0"/>
          <w:caps w:val="0"/>
          <w:smallCaps w:val="0"/>
        </w:rPr>
        <w:t>40</w:t>
      </w:r>
      <w:r>
        <w:rPr>
          <w:rFonts w:hint="eastAsia" w:ascii="Times New Roman" w:hAnsi="Times New Roman"/>
          <w:b w:val="0"/>
          <w:bCs w:val="0"/>
          <w:caps w:val="0"/>
          <w:smallCaps w:val="0"/>
        </w:rPr>
        <w:t>个，马武镇建设消火栓</w:t>
      </w:r>
      <w:r>
        <w:rPr>
          <w:rFonts w:ascii="Times New Roman" w:hAnsi="Times New Roman"/>
          <w:b w:val="0"/>
          <w:bCs w:val="0"/>
          <w:caps w:val="0"/>
          <w:smallCaps w:val="0"/>
        </w:rPr>
        <w:t>10</w:t>
      </w:r>
      <w:r>
        <w:rPr>
          <w:rFonts w:hint="eastAsia" w:ascii="Times New Roman" w:hAnsi="Times New Roman"/>
          <w:b w:val="0"/>
          <w:bCs w:val="0"/>
          <w:caps w:val="0"/>
          <w:smallCaps w:val="0"/>
        </w:rPr>
        <w:t>个</w:t>
      </w:r>
      <w:r>
        <w:rPr>
          <w:rFonts w:hint="eastAsia" w:ascii="Times New Roman" w:hAnsi="Times New Roman"/>
          <w:b w:val="0"/>
          <w:bCs w:val="0"/>
          <w:caps w:val="0"/>
          <w:smallCaps w:val="0"/>
          <w:szCs w:val="20"/>
        </w:rPr>
        <w:t>。</w:t>
      </w:r>
      <w:r>
        <w:rPr>
          <w:rFonts w:hint="eastAsia" w:ascii="Times New Roman" w:hAnsi="Times New Roman"/>
          <w:b w:val="0"/>
          <w:bCs w:val="0"/>
          <w:caps w:val="0"/>
          <w:smallCaps w:val="0"/>
        </w:rPr>
        <w:t>规划</w:t>
      </w:r>
      <w:r>
        <w:rPr>
          <w:rFonts w:hint="eastAsia" w:ascii="Times New Roman" w:hAnsi="Times New Roman"/>
          <w:b w:val="0"/>
          <w:bCs w:val="0"/>
          <w:caps w:val="0"/>
          <w:smallCaps w:val="0"/>
          <w:szCs w:val="20"/>
        </w:rPr>
        <w:t>在古村古寨新增消防水池1</w:t>
      </w:r>
      <w:r>
        <w:rPr>
          <w:rFonts w:ascii="Times New Roman" w:hAnsi="Times New Roman"/>
          <w:b w:val="0"/>
          <w:bCs w:val="0"/>
          <w:caps w:val="0"/>
          <w:smallCaps w:val="0"/>
          <w:szCs w:val="20"/>
        </w:rPr>
        <w:t>3</w:t>
      </w:r>
      <w:r>
        <w:rPr>
          <w:rFonts w:hint="eastAsia" w:ascii="Times New Roman" w:hAnsi="Times New Roman"/>
          <w:b w:val="0"/>
          <w:bCs w:val="0"/>
          <w:caps w:val="0"/>
          <w:smallCaps w:val="0"/>
          <w:szCs w:val="20"/>
        </w:rPr>
        <w:t>座。到2025年，全县范围内城镇市政消火栓建有率达到100%，完好率不低于98%。</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稳步推进消防站和训练基地建设。根据石柱城市建成区面积、常住人口和灭火救援任务量等情况，依照标准、综合评估，统筹规划建设消防站点，缩短灭火和应急救援响应时间，缩小单个消防站点保护半径。结合石柱灾害事故特点和消防救援训练需求，推进重庆龙河水域救援训练基地项目开展前期研究。“十四五”时期，石柱新建一级普通消防站</w:t>
      </w:r>
      <w:r>
        <w:rPr>
          <w:rFonts w:ascii="Times New Roman" w:hAnsi="Times New Roman"/>
          <w:b w:val="0"/>
          <w:bCs w:val="0"/>
          <w:caps w:val="0"/>
          <w:smallCaps w:val="0"/>
          <w:szCs w:val="20"/>
        </w:rPr>
        <w:t>2</w:t>
      </w:r>
      <w:r>
        <w:rPr>
          <w:rFonts w:hint="eastAsia" w:ascii="Times New Roman" w:hAnsi="Times New Roman"/>
          <w:b w:val="0"/>
          <w:bCs w:val="0"/>
          <w:caps w:val="0"/>
          <w:smallCaps w:val="0"/>
          <w:szCs w:val="20"/>
        </w:rPr>
        <w:t>座（中益消防救援站、西沱水陆消防救援站）、小型普通消防1座（财信城消防站）、政府专职消防队3支。</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健全完善消防救援装备体系。建设“全灾种”应急救援装备集群，升级防护装备，配齐配强地震、洪涝、水域、山岳、危化品等各类灾害事故救援装备，增配突发公共卫生事件等特种处置装备，确保各类遂行任务处置科学、高效。建设“高精尖”“撒手锏”攻坚装备集群，加快列装轻量化、高性能、智能化等先进适用装备，加强大流量、远射程、多功能主战消防车和举高类消防车、多剂联用消防车、灭火无人机等高新技术装备配备，进一步提升高层建筑、地下空间、大型商业综合体、石油化工等高风险场所灭火救援能力。健全“全过程、全要素”装备质量管理机制，大力推进信息技术在装备管理领域的深度应用，加强人与装备的最佳结合，提高科学管装用装水平。“十四五”期间，拟购置各类消防执勤车辆</w:t>
      </w:r>
      <w:r>
        <w:rPr>
          <w:rFonts w:ascii="Times New Roman" w:hAnsi="Times New Roman"/>
          <w:b w:val="0"/>
          <w:bCs w:val="0"/>
          <w:caps w:val="0"/>
          <w:smallCaps w:val="0"/>
          <w:szCs w:val="20"/>
        </w:rPr>
        <w:t>5</w:t>
      </w:r>
      <w:r>
        <w:rPr>
          <w:rFonts w:hint="eastAsia" w:ascii="Times New Roman" w:hAnsi="Times New Roman"/>
          <w:b w:val="0"/>
          <w:bCs w:val="0"/>
          <w:caps w:val="0"/>
          <w:smallCaps w:val="0"/>
          <w:szCs w:val="20"/>
        </w:rPr>
        <w:t>台，拟购置灭火应急救援装备</w:t>
      </w:r>
      <w:r>
        <w:rPr>
          <w:rFonts w:ascii="Times New Roman" w:hAnsi="Times New Roman"/>
          <w:b w:val="0"/>
          <w:bCs w:val="0"/>
          <w:caps w:val="0"/>
          <w:smallCaps w:val="0"/>
          <w:szCs w:val="20"/>
        </w:rPr>
        <w:t>4687</w:t>
      </w:r>
      <w:r>
        <w:rPr>
          <w:rFonts w:hint="eastAsia" w:ascii="Times New Roman" w:hAnsi="Times New Roman"/>
          <w:b w:val="0"/>
          <w:bCs w:val="0"/>
          <w:caps w:val="0"/>
          <w:smallCaps w:val="0"/>
          <w:szCs w:val="20"/>
        </w:rPr>
        <w:t>件（套）。推进西沱镇、三河镇、下路街道专职消防队及双庆、黄水消防站消防装备的升级更新。</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大力发展多种形式消防队伍。按照“全面覆盖、注重实效、标准适当、就近可及”的原则，加快壮大政府专职消防队伍、企业专职消防队伍、志愿消防队伍和微型消防站力量，并加强与国家综合性消防救援队伍的联勤联训，构建多元互补的消防救援力量体系。推动建制镇按标准建设专职消防队，落实站房、人员、装备、薪酬、保险、抚恤等保障措施；推动企业专职消防队应建尽建，乡镇、农村按标准建立志愿消防队，街道、社区全面普及微型消防站，社会单位按要求建立志愿消防队或微型消防站，提高初期火灾扑救能力。</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bookmarkStart w:id="31" w:name="_Toc100577321"/>
      <w:bookmarkStart w:id="32" w:name="_Toc109989620"/>
      <w:r>
        <w:rPr>
          <w:rFonts w:hint="eastAsia" w:ascii="方正楷体_GBK" w:hAnsi="方正楷体_GBK" w:eastAsia="方正楷体_GBK" w:cs="方正楷体_GBK"/>
          <w:b w:val="0"/>
          <w:bCs w:val="0"/>
          <w:caps w:val="0"/>
          <w:smallCaps w:val="0"/>
          <w:szCs w:val="20"/>
        </w:rPr>
        <w:t>第四节</w:t>
      </w:r>
      <w:r>
        <w:rPr>
          <w:rFonts w:hint="eastAsia" w:ascii="方正楷体_GBK" w:hAnsi="方正楷体_GBK" w:eastAsia="方正楷体_GBK" w:cs="方正楷体_GBK"/>
          <w:b w:val="0"/>
          <w:bCs w:val="0"/>
          <w:caps w:val="0"/>
          <w:smallCaps w:val="0"/>
          <w:szCs w:val="20"/>
          <w:lang w:val="en-US" w:eastAsia="zh-CN"/>
        </w:rPr>
        <w:t xml:space="preserve"> </w:t>
      </w:r>
      <w:r>
        <w:rPr>
          <w:rFonts w:hint="eastAsia" w:ascii="方正楷体_GBK" w:hAnsi="方正楷体_GBK" w:eastAsia="方正楷体_GBK" w:cs="方正楷体_GBK"/>
          <w:b w:val="0"/>
          <w:bCs w:val="0"/>
          <w:caps w:val="0"/>
          <w:smallCaps w:val="0"/>
          <w:szCs w:val="20"/>
        </w:rPr>
        <w:t xml:space="preserve"> 深化指挥控制、作战力量和</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r>
        <w:rPr>
          <w:rFonts w:hint="eastAsia" w:ascii="方正楷体_GBK" w:hAnsi="方正楷体_GBK" w:eastAsia="方正楷体_GBK" w:cs="方正楷体_GBK"/>
          <w:b w:val="0"/>
          <w:bCs w:val="0"/>
          <w:caps w:val="0"/>
          <w:smallCaps w:val="0"/>
          <w:szCs w:val="20"/>
        </w:rPr>
        <w:t>作战保障“三大体系”建设</w:t>
      </w:r>
      <w:bookmarkEnd w:id="31"/>
      <w:bookmarkEnd w:id="32"/>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健全反应灵敏的消防指挥控制体系。深入运用集调度指挥、辅助决策和信息传输等功能于一体的消防作战指挥平台。强化消防指挥中心标准化建设，优化消防指挥中心工作运行机制，将专职消防、志愿消防、联动部门和社会应急等力量纳入消防救援联席调度指挥体系。配齐配强智能化、轻型化、集成化、模块化关键通信装备，建设融合通信平台，整合各类音视频通信装备资源，形成资源共享、数据畅通、稳定可靠的现场指挥应急通信系统。</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建强专业精干的消防作战力量体系。依托石柱消防救援作战力量，优化地震、水域救援和化工、森林火灾扑救等8类消防救援专业力量布局和作战编成，分批次、分专业开展救援技术资质认证，力争到2025年各类消防救援专业队队员持证上岗。建立健全联勤联训机制，加强国家综合性消防救援队伍与多种形式消防队伍、社会救援力量的共训共练和勤务联动，提高火灾防控、应急救援和区域联动处置效能。</w:t>
      </w:r>
      <w:r>
        <w:rPr>
          <w:rFonts w:ascii="Times New Roman" w:hAnsi="Times New Roman"/>
          <w:b w:val="0"/>
          <w:bCs w:val="0"/>
          <w:caps w:val="0"/>
          <w:smallCaps w:val="0"/>
          <w:szCs w:val="20"/>
        </w:rPr>
        <w:t xml:space="preserve"> </w:t>
      </w:r>
      <w:r>
        <w:rPr>
          <w:rFonts w:hint="eastAsia" w:ascii="Times New Roman" w:hAnsi="Times New Roman" w:cs="方正仿宋_GBK"/>
          <w:b w:val="0"/>
          <w:bCs w:val="0"/>
          <w:caps w:val="0"/>
          <w:smallCaps w:val="0"/>
          <w:szCs w:val="36"/>
        </w:rPr>
        <w:t>在各消防救援站建设一批专业救援分队，具体负责辖区典型灾害事故处置。</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建</w:t>
      </w:r>
      <w:r>
        <w:rPr>
          <w:rFonts w:hint="eastAsia" w:ascii="Times New Roman" w:hAnsi="Times New Roman"/>
          <w:b w:val="0"/>
          <w:bCs w:val="0"/>
          <w:caps w:val="0"/>
          <w:smallCaps w:val="0"/>
          <w:szCs w:val="20"/>
          <w:lang w:eastAsia="zh-CN"/>
        </w:rPr>
        <w:t>立</w:t>
      </w:r>
      <w:r>
        <w:rPr>
          <w:rFonts w:hint="eastAsia" w:ascii="Times New Roman" w:hAnsi="Times New Roman"/>
          <w:b w:val="0"/>
          <w:bCs w:val="0"/>
          <w:caps w:val="0"/>
          <w:smallCaps w:val="0"/>
          <w:szCs w:val="20"/>
        </w:rPr>
        <w:t>高效的消防作战保障体系。立足“全灾种、大应急”，建实战勤保障力量，构建“统一指挥、平战结合、协同高效、保障有力”的战勤保障体系，提升“全灾种、全天候、全地域”作战保障能力。结合石柱灾害事故特点，按照基本物资装备齐装满配、特殊装备物资按需选配的原则，遵循“高低搭配、区域互补、优势共享”的思路，全面加强战勤保障车辆和器材物资建设。积极推进社会资源深度融合，建立跨部门合作、跨区域协同和社会联动机制，强化应急保障演练，提升协同保障和应急联动能力。</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bookmarkStart w:id="33" w:name="_Toc100577322"/>
      <w:bookmarkStart w:id="34" w:name="_Toc109989621"/>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r>
        <w:rPr>
          <w:rFonts w:hint="eastAsia" w:ascii="方正楷体_GBK" w:hAnsi="方正楷体_GBK" w:eastAsia="方正楷体_GBK" w:cs="方正楷体_GBK"/>
          <w:b w:val="0"/>
          <w:bCs w:val="0"/>
          <w:caps w:val="0"/>
          <w:smallCaps w:val="0"/>
          <w:szCs w:val="20"/>
        </w:rPr>
        <w:t xml:space="preserve">第五节 </w:t>
      </w:r>
      <w:r>
        <w:rPr>
          <w:rFonts w:hint="eastAsia" w:ascii="方正楷体_GBK" w:hAnsi="方正楷体_GBK" w:eastAsia="方正楷体_GBK" w:cs="方正楷体_GBK"/>
          <w:b w:val="0"/>
          <w:bCs w:val="0"/>
          <w:caps w:val="0"/>
          <w:smallCaps w:val="0"/>
          <w:szCs w:val="20"/>
          <w:lang w:val="en-US" w:eastAsia="zh-CN"/>
        </w:rPr>
        <w:t xml:space="preserve"> </w:t>
      </w:r>
      <w:r>
        <w:rPr>
          <w:rFonts w:hint="eastAsia" w:ascii="方正楷体_GBK" w:hAnsi="方正楷体_GBK" w:eastAsia="方正楷体_GBK" w:cs="方正楷体_GBK"/>
          <w:b w:val="0"/>
          <w:bCs w:val="0"/>
          <w:caps w:val="0"/>
          <w:smallCaps w:val="0"/>
          <w:szCs w:val="20"/>
        </w:rPr>
        <w:t>推进“智慧消防”建设</w:t>
      </w:r>
      <w:bookmarkEnd w:id="33"/>
      <w:bookmarkEnd w:id="34"/>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物联感知范围更加全面。实施“互联网+监管”，推进消防安全远程监督、线上管理，提高监管能力和效率。持续拓展高层建筑、火灾高危单位、消防安全重点单位以及“三合一”、九小场所（除一、二、三级消防安全重点单位之外的小商店、小餐馆、小旅馆、小茶楼、小游戏厅、小网吧、小美容洗浴场所、小生产加工作坊等）等重点区域物联感知能力，实时监测汇聚建筑消防设施运行和社会单位消防安全管理等数据，为消防监督管理、火灾风险智能分析和火灾隐患动态监测预警等提供基础数据源。针对高风险对象布点建设消防高空瞭望设施，实现火灾远程可视化智能识别，动态监测区域内火灾风险。采集汇聚人员生命体征、消防车辆和装备状态等物联感知数据，扩大全县消防各类物联感知数据覆盖范围，有效提升消防安全监管、预警报警、应急救援综合能力，为指挥决策和精准调度提供第一手灾情和数据支撑。</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灾情防控决策分析更加精准。围绕智能感知、精准治理，深度融入石柱县智慧城市建设，加强消防安全风险动态监测、预警、识别、评估和处置。加强政企合作，探索互联网生活服务平台数据共享应用，凝聚消防安全治理合力。搭建火灾风险监测预警平台，综合分析历史警情、人流、物流、天气、湿度、风力、重大活动、消防设施运行状态、消防安全管理情况等数据，构建火灾风险预警模型，建立城市火灾风险的监测预警体系，形成城市火灾风险监测预警能力。</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公众服务更加便捷。借助重庆消防公众云服务平台，实现所有行政事项在线申办、在线审批、在线公示。探索引入第三方专业服务机构，建立服务标准体系和服务质量管控机制，为社会单位提供包括勘察评估、制度设计、预案编制、监测预警、巡查引导、维保检测、疏散演练、教育培训及保险保障等消防安全一站式服务。积极落实消防领域“放管服”改革要求，全面实现公众聚集场所投入使用前消防安全检查告知承诺管理，通过政务系统共享有关部门证照、许可等信息，全面推行容缺后补、绿色通道、邮寄送达等措施。依托市政府“渝快办”等政务服务平台，推行预约办理、同城通办、跨层联办等服务，简化办事流程，提升办事效率。</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新型基础设施更加完备。全面规划升级网络结构和基础设施，延伸消防大数据资源库建设，同步实施数据治理和安全工程，优化消防应用支撑架构，健全消防信息化保障体系，推进信息系统密码应用与安全性评估实施，强化信息系统安全防护能力，全面提高信息系统整体安全性、可靠性和稳定性。</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大数据运营更加开放。深度融入国家新型基础设施建设发展战略，以大数据智能化引领驱动，创新发展消防大数据运营载体平台，围绕消防行业数据和县智慧城市信息资源，接入市消防救援总队与县级平台共享数据信息，形成主动开放、多元平衡、安全高效的消防大数据高质量运营综合服务能力。</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bookmarkStart w:id="35" w:name="_Toc109989622"/>
      <w:bookmarkStart w:id="36" w:name="_Toc100577323"/>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r>
        <w:rPr>
          <w:rFonts w:hint="eastAsia" w:ascii="方正楷体_GBK" w:hAnsi="方正楷体_GBK" w:eastAsia="方正楷体_GBK" w:cs="方正楷体_GBK"/>
          <w:b w:val="0"/>
          <w:bCs w:val="0"/>
          <w:caps w:val="0"/>
          <w:smallCaps w:val="0"/>
          <w:szCs w:val="20"/>
        </w:rPr>
        <w:t xml:space="preserve">第六节 </w:t>
      </w:r>
      <w:r>
        <w:rPr>
          <w:rFonts w:hint="eastAsia" w:ascii="方正楷体_GBK" w:hAnsi="方正楷体_GBK" w:eastAsia="方正楷体_GBK" w:cs="方正楷体_GBK"/>
          <w:b w:val="0"/>
          <w:bCs w:val="0"/>
          <w:caps w:val="0"/>
          <w:smallCaps w:val="0"/>
          <w:szCs w:val="20"/>
          <w:lang w:val="en-US" w:eastAsia="zh-CN"/>
        </w:rPr>
        <w:t xml:space="preserve"> </w:t>
      </w:r>
      <w:r>
        <w:rPr>
          <w:rFonts w:hint="eastAsia" w:ascii="方正楷体_GBK" w:hAnsi="方正楷体_GBK" w:eastAsia="方正楷体_GBK" w:cs="方正楷体_GBK"/>
          <w:b w:val="0"/>
          <w:bCs w:val="0"/>
          <w:caps w:val="0"/>
          <w:smallCaps w:val="0"/>
          <w:szCs w:val="20"/>
        </w:rPr>
        <w:t>建立消防救援职业荣誉和保障体系</w:t>
      </w:r>
      <w:bookmarkEnd w:id="35"/>
      <w:bookmarkEnd w:id="36"/>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完善职业荣誉和职业保障。立足消防救援高风险、高负荷、高压力职业特点，建立相应的保障机制和职业荣誉体系，按有关规定对表现突出的消防救援人员进行表彰奖励。参照《军人抚恤优待条例》，落实机构改革期间消防指战员烈士、因公牺牲、病故遗属抚恤金。加强消防职业病防治与康复工作，建立完善职业健康保护机制，提高职业病检测防护、诊断鉴定、综合治疗和康复保障能力。根据国家有关政策，落实消防指战员伤亡抚恤、住房保障、家属随调、子女教育、交通出行、参观游览以及看病就医等优待政策，发放消防救援人员家属保障卡，提升消防救援职业荣誉感和吸引力。</w:t>
      </w:r>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bookmarkStart w:id="37" w:name="_Toc100577324"/>
      <w:bookmarkStart w:id="38" w:name="_Toc109989623"/>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r>
        <w:rPr>
          <w:rFonts w:hint="eastAsia" w:ascii="方正楷体_GBK" w:hAnsi="方正楷体_GBK" w:eastAsia="方正楷体_GBK" w:cs="方正楷体_GBK"/>
          <w:b w:val="0"/>
          <w:bCs w:val="0"/>
          <w:caps w:val="0"/>
          <w:smallCaps w:val="0"/>
          <w:szCs w:val="20"/>
        </w:rPr>
        <w:t xml:space="preserve">第七节 </w:t>
      </w:r>
      <w:r>
        <w:rPr>
          <w:rFonts w:hint="eastAsia" w:ascii="方正楷体_GBK" w:hAnsi="方正楷体_GBK" w:eastAsia="方正楷体_GBK" w:cs="方正楷体_GBK"/>
          <w:b w:val="0"/>
          <w:bCs w:val="0"/>
          <w:caps w:val="0"/>
          <w:smallCaps w:val="0"/>
          <w:szCs w:val="20"/>
          <w:lang w:val="en-US" w:eastAsia="zh-CN"/>
        </w:rPr>
        <w:t xml:space="preserve"> </w:t>
      </w:r>
      <w:r>
        <w:rPr>
          <w:rFonts w:hint="eastAsia" w:ascii="方正楷体_GBK" w:hAnsi="方正楷体_GBK" w:eastAsia="方正楷体_GBK" w:cs="方正楷体_GBK"/>
          <w:b w:val="0"/>
          <w:bCs w:val="0"/>
          <w:caps w:val="0"/>
          <w:smallCaps w:val="0"/>
          <w:szCs w:val="20"/>
        </w:rPr>
        <w:t>实施一批重点工程</w:t>
      </w:r>
      <w:bookmarkEnd w:id="37"/>
      <w:bookmarkEnd w:id="38"/>
    </w:p>
    <w:p>
      <w:pPr>
        <w:keepNext w:val="0"/>
        <w:keepLines w:val="0"/>
        <w:pageBreakBefore w:val="0"/>
        <w:widowControl w:val="0"/>
        <w:kinsoku/>
        <w:wordWrap/>
        <w:overflowPunct/>
        <w:topLinePunct w:val="0"/>
        <w:autoSpaceDE/>
        <w:autoSpaceDN/>
        <w:bidi w:val="0"/>
        <w:adjustRightInd/>
        <w:snapToGrid w:val="0"/>
        <w:spacing w:line="54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社会消防安全提升工程。实施消防民生实事建设，推进城镇老旧小区、“三无”高层建筑消防设施改造提升。加强消防水源建设，与城镇市政道路建设同步新建市政消火栓。</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ascii="Times New Roman" w:hAnsi="Times New Roman"/>
          <w:b w:val="0"/>
          <w:bCs w:val="0"/>
          <w:caps w:val="0"/>
          <w:smallCaps w:val="0"/>
          <w:sz w:val="28"/>
          <w:szCs w:val="28"/>
        </w:rPr>
      </w:pPr>
      <w:r>
        <w:rPr>
          <w:rFonts w:hint="eastAsia" w:ascii="Times New Roman" w:hAnsi="Times New Roman"/>
          <w:b w:val="0"/>
          <w:bCs w:val="0"/>
          <w:caps w:val="0"/>
          <w:smallCaps w:val="0"/>
          <w:sz w:val="28"/>
          <w:szCs w:val="28"/>
        </w:rPr>
        <w:t>专栏4  社会消防安全提升工程任务</w:t>
      </w:r>
    </w:p>
    <w:tbl>
      <w:tblPr>
        <w:tblStyle w:val="31"/>
        <w:tblW w:w="8864" w:type="dxa"/>
        <w:jc w:val="center"/>
        <w:tblLayout w:type="fixed"/>
        <w:tblCellMar>
          <w:top w:w="15" w:type="dxa"/>
          <w:left w:w="15" w:type="dxa"/>
          <w:bottom w:w="15" w:type="dxa"/>
          <w:right w:w="15" w:type="dxa"/>
        </w:tblCellMar>
      </w:tblPr>
      <w:tblGrid>
        <w:gridCol w:w="1410"/>
        <w:gridCol w:w="7454"/>
      </w:tblGrid>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项目名称</w:t>
            </w:r>
          </w:p>
        </w:tc>
        <w:tc>
          <w:tcPr>
            <w:tcW w:w="74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主要建设内容</w:t>
            </w:r>
          </w:p>
        </w:tc>
      </w:tr>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消防民生</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实事项目</w:t>
            </w:r>
          </w:p>
        </w:tc>
        <w:tc>
          <w:tcPr>
            <w:tcW w:w="74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从202</w:t>
            </w:r>
            <w:r>
              <w:rPr>
                <w:rFonts w:ascii="Times New Roman" w:hAnsi="Times New Roman"/>
                <w:b w:val="0"/>
                <w:bCs w:val="0"/>
                <w:caps w:val="0"/>
                <w:smallCaps w:val="0"/>
                <w:sz w:val="24"/>
                <w:szCs w:val="21"/>
              </w:rPr>
              <w:t>2</w:t>
            </w:r>
            <w:r>
              <w:rPr>
                <w:rFonts w:hint="eastAsia" w:ascii="Times New Roman" w:hAnsi="Times New Roman"/>
                <w:b w:val="0"/>
                <w:bCs w:val="0"/>
                <w:caps w:val="0"/>
                <w:smallCaps w:val="0"/>
                <w:sz w:val="24"/>
                <w:szCs w:val="21"/>
              </w:rPr>
              <w:t>年起，根据年度城镇老旧小区改造提升项目计划，同步开展消防设施改造。推进全县“三无”高层建筑消防设施整治。每年开展独立式消防探测器、灭火器、防烟面罩等消防器材进农户“送温暖”等活动。</w:t>
            </w:r>
          </w:p>
        </w:tc>
      </w:tr>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消防水源建设项目</w:t>
            </w:r>
          </w:p>
        </w:tc>
        <w:tc>
          <w:tcPr>
            <w:tcW w:w="745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完善市政消火栓建设，严格按照“四同步”的原则，市政消火栓与新建道路同步设计、同步建设、同步验收、同步投用。全面梳理消火栓建设现状，存在欠账的要限期增补到位。“十四五”期间，石柱城区建设消火栓</w:t>
            </w:r>
            <w:r>
              <w:rPr>
                <w:rFonts w:ascii="Times New Roman" w:hAnsi="Times New Roman"/>
                <w:b w:val="0"/>
                <w:bCs w:val="0"/>
                <w:caps w:val="0"/>
                <w:smallCaps w:val="0"/>
                <w:sz w:val="24"/>
                <w:szCs w:val="21"/>
              </w:rPr>
              <w:t>19</w:t>
            </w:r>
            <w:r>
              <w:rPr>
                <w:rFonts w:hint="eastAsia" w:ascii="Times New Roman" w:hAnsi="Times New Roman"/>
                <w:b w:val="0"/>
                <w:bCs w:val="0"/>
                <w:caps w:val="0"/>
                <w:smallCaps w:val="0"/>
                <w:sz w:val="24"/>
                <w:szCs w:val="21"/>
              </w:rPr>
              <w:t>个，下路街道建设消火栓3个，三河镇悦川路、滨江路等道路上建设消火栓20个，西沱镇月台北路、月台南路、云南路等道路上建设消火栓</w:t>
            </w:r>
            <w:r>
              <w:rPr>
                <w:rFonts w:ascii="Times New Roman" w:hAnsi="Times New Roman"/>
                <w:b w:val="0"/>
                <w:bCs w:val="0"/>
                <w:caps w:val="0"/>
                <w:smallCaps w:val="0"/>
                <w:sz w:val="24"/>
                <w:szCs w:val="21"/>
              </w:rPr>
              <w:t>13</w:t>
            </w:r>
            <w:r>
              <w:rPr>
                <w:rFonts w:hint="eastAsia" w:ascii="Times New Roman" w:hAnsi="Times New Roman"/>
                <w:b w:val="0"/>
                <w:bCs w:val="0"/>
                <w:caps w:val="0"/>
                <w:smallCaps w:val="0"/>
                <w:sz w:val="24"/>
                <w:szCs w:val="21"/>
              </w:rPr>
              <w:t>个，黄水镇黄连大道、迎宾北路、莼乡路、川鄂路等道路上建设消火栓40个，马武镇来福街、滨河路等道路上建设消火栓</w:t>
            </w:r>
            <w:r>
              <w:rPr>
                <w:rFonts w:ascii="Times New Roman" w:hAnsi="Times New Roman"/>
                <w:b w:val="0"/>
                <w:bCs w:val="0"/>
                <w:caps w:val="0"/>
                <w:smallCaps w:val="0"/>
                <w:sz w:val="24"/>
                <w:szCs w:val="21"/>
              </w:rPr>
              <w:t>10</w:t>
            </w:r>
            <w:r>
              <w:rPr>
                <w:rFonts w:hint="eastAsia" w:ascii="Times New Roman" w:hAnsi="Times New Roman"/>
                <w:b w:val="0"/>
                <w:bCs w:val="0"/>
                <w:caps w:val="0"/>
                <w:smallCaps w:val="0"/>
                <w:sz w:val="24"/>
                <w:szCs w:val="21"/>
              </w:rPr>
              <w:t>个。古村古寨建设消防水池</w:t>
            </w:r>
            <w:r>
              <w:rPr>
                <w:rFonts w:ascii="Times New Roman" w:hAnsi="Times New Roman"/>
                <w:b w:val="0"/>
                <w:bCs w:val="0"/>
                <w:caps w:val="0"/>
                <w:smallCaps w:val="0"/>
                <w:sz w:val="24"/>
                <w:szCs w:val="21"/>
              </w:rPr>
              <w:t>13</w:t>
            </w:r>
            <w:r>
              <w:rPr>
                <w:rFonts w:hint="eastAsia" w:ascii="Times New Roman" w:hAnsi="Times New Roman"/>
                <w:b w:val="0"/>
                <w:bCs w:val="0"/>
                <w:caps w:val="0"/>
                <w:smallCaps w:val="0"/>
                <w:sz w:val="24"/>
                <w:szCs w:val="21"/>
              </w:rPr>
              <w:t>座。</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2025年，全县范围的城镇市政消火栓建有率100%，完好率98%。</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消防救援队站达标工程。开展消防救援队站建设达标活动，城市消防站、乡镇专职消防队分别达到《城市消防站》《乡镇消防队》标准。支持配备一批适应新型城镇、现代化农村建设的灭火和应急救援车辆装备。</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ascii="Times New Roman" w:hAnsi="Times New Roman"/>
          <w:b w:val="0"/>
          <w:bCs w:val="0"/>
          <w:caps w:val="0"/>
          <w:smallCaps w:val="0"/>
          <w:sz w:val="28"/>
          <w:szCs w:val="28"/>
        </w:rPr>
      </w:pPr>
      <w:r>
        <w:rPr>
          <w:rFonts w:hint="eastAsia" w:ascii="Times New Roman" w:hAnsi="Times New Roman"/>
          <w:b w:val="0"/>
          <w:bCs w:val="0"/>
          <w:caps w:val="0"/>
          <w:smallCaps w:val="0"/>
          <w:sz w:val="28"/>
          <w:szCs w:val="28"/>
        </w:rPr>
        <w:t>专栏5  消防救援队站达标工程任务</w:t>
      </w:r>
    </w:p>
    <w:tbl>
      <w:tblPr>
        <w:tblStyle w:val="31"/>
        <w:tblW w:w="8839" w:type="dxa"/>
        <w:jc w:val="center"/>
        <w:tblLayout w:type="fixed"/>
        <w:tblCellMar>
          <w:top w:w="15" w:type="dxa"/>
          <w:left w:w="15" w:type="dxa"/>
          <w:bottom w:w="15" w:type="dxa"/>
          <w:right w:w="15" w:type="dxa"/>
        </w:tblCellMar>
      </w:tblPr>
      <w:tblGrid>
        <w:gridCol w:w="1410"/>
        <w:gridCol w:w="7429"/>
      </w:tblGrid>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项目名称</w:t>
            </w:r>
          </w:p>
        </w:tc>
        <w:tc>
          <w:tcPr>
            <w:tcW w:w="742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主要建设内容</w:t>
            </w:r>
          </w:p>
        </w:tc>
      </w:tr>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城市消防站</w:t>
            </w:r>
          </w:p>
        </w:tc>
        <w:tc>
          <w:tcPr>
            <w:tcW w:w="742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按照消防规划等要求，建设1座一级普通消防站、1座水陆合用消防站、1座小型普通消防站，按标准建设站房、训练及生活设施，加强车辆、器材装备建设。</w:t>
            </w:r>
          </w:p>
        </w:tc>
      </w:tr>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乡镇专职消防队</w:t>
            </w:r>
          </w:p>
        </w:tc>
        <w:tc>
          <w:tcPr>
            <w:tcW w:w="742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按照消防规划等有关要求，改造现状乡镇政府专职消防队，建设3个乡镇政府专职消防队，按标准建设站房、训练设施，配齐专职、志愿消防人员，配备车辆、器材装备。</w:t>
            </w:r>
          </w:p>
        </w:tc>
      </w:tr>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招录政府专职消防员</w:t>
            </w:r>
          </w:p>
        </w:tc>
        <w:tc>
          <w:tcPr>
            <w:tcW w:w="742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全县新招录80名政府专职消防员。</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消防装备现代化建设工程。完善新增消防站的装备配置，逐步更新现状消防器材装备，增加特种防护和个人防护装备。健全补强特种灾害装备配备，持续加强现代化装备体系建设，提高消防队战斗水平。</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ascii="Times New Roman" w:hAnsi="Times New Roman"/>
          <w:b w:val="0"/>
          <w:bCs w:val="0"/>
          <w:caps w:val="0"/>
          <w:smallCaps w:val="0"/>
          <w:sz w:val="28"/>
          <w:szCs w:val="28"/>
        </w:rPr>
      </w:pPr>
      <w:r>
        <w:rPr>
          <w:rFonts w:hint="eastAsia" w:ascii="Times New Roman" w:hAnsi="Times New Roman"/>
          <w:b w:val="0"/>
          <w:bCs w:val="0"/>
          <w:caps w:val="0"/>
          <w:smallCaps w:val="0"/>
          <w:sz w:val="28"/>
          <w:szCs w:val="28"/>
        </w:rPr>
        <w:t>专栏6  消防装备现代化建设工程任务</w:t>
      </w:r>
    </w:p>
    <w:tbl>
      <w:tblPr>
        <w:tblStyle w:val="31"/>
        <w:tblW w:w="8839" w:type="dxa"/>
        <w:jc w:val="center"/>
        <w:tblLayout w:type="fixed"/>
        <w:tblCellMar>
          <w:top w:w="15" w:type="dxa"/>
          <w:left w:w="15" w:type="dxa"/>
          <w:bottom w:w="15" w:type="dxa"/>
          <w:right w:w="15" w:type="dxa"/>
        </w:tblCellMar>
      </w:tblPr>
      <w:tblGrid>
        <w:gridCol w:w="1410"/>
        <w:gridCol w:w="7429"/>
      </w:tblGrid>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项目名称</w:t>
            </w:r>
          </w:p>
        </w:tc>
        <w:tc>
          <w:tcPr>
            <w:tcW w:w="742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主要建设内容</w:t>
            </w:r>
          </w:p>
        </w:tc>
      </w:tr>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专业化装备配备</w:t>
            </w:r>
          </w:p>
        </w:tc>
        <w:tc>
          <w:tcPr>
            <w:tcW w:w="742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配齐配强地震、洪涝、水域、山岳等各类灾害事故救援装备，增配突发公共卫生事件等特种处置装备，进一步提升战勤保障机动投送能力，确保各类遂行任务处置科学、高效。</w:t>
            </w:r>
          </w:p>
        </w:tc>
      </w:tr>
      <w:tr>
        <w:tblPrEx>
          <w:tblCellMar>
            <w:top w:w="15" w:type="dxa"/>
            <w:left w:w="15" w:type="dxa"/>
            <w:bottom w:w="15" w:type="dxa"/>
            <w:right w:w="15" w:type="dxa"/>
          </w:tblCellMar>
        </w:tblPrEx>
        <w:trPr>
          <w:trHeight w:val="20" w:hRule="atLeast"/>
          <w:jc w:val="center"/>
        </w:trPr>
        <w:tc>
          <w:tcPr>
            <w:tcW w:w="141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消防救援站装备配备</w:t>
            </w:r>
          </w:p>
        </w:tc>
        <w:tc>
          <w:tcPr>
            <w:tcW w:w="742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根据辖区灾害事故特点和实战需要，有针对性优化装备结构。新增各类消防执勤车辆5台，其中举高喷射消防车1辆，运输消防车1辆，其他保障类消防车1辆，水罐消防车2辆；新增灭火应急救援装备4687件（套）。2023年推进西沱镇、三河镇、下路街道3个乡镇专职消防队消防装备升级更新，2024年推进双庆消防站、黄水消防站2个消防站消防装备升级更新。</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应急救援训战效能提升工程。推进重庆龙河水域救援（抗洪抢险）培训基地研究论证，承担洪涝、泥石流、激流等灾害事故应急救援训练任务。</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r>
        <w:rPr>
          <w:rFonts w:hint="eastAsia" w:ascii="Times New Roman" w:hAnsi="Times New Roman"/>
          <w:b w:val="0"/>
          <w:bCs w:val="0"/>
          <w:caps w:val="0"/>
          <w:smallCaps w:val="0"/>
          <w:sz w:val="28"/>
          <w:szCs w:val="28"/>
        </w:rPr>
        <w:t>专栏7  消防训练基地建设工程任务</w:t>
      </w:r>
    </w:p>
    <w:tbl>
      <w:tblPr>
        <w:tblStyle w:val="31"/>
        <w:tblW w:w="8833" w:type="dxa"/>
        <w:jc w:val="center"/>
        <w:tblLayout w:type="fixed"/>
        <w:tblCellMar>
          <w:top w:w="15" w:type="dxa"/>
          <w:left w:w="15" w:type="dxa"/>
          <w:bottom w:w="15" w:type="dxa"/>
          <w:right w:w="15" w:type="dxa"/>
        </w:tblCellMar>
      </w:tblPr>
      <w:tblGrid>
        <w:gridCol w:w="1739"/>
        <w:gridCol w:w="7094"/>
      </w:tblGrid>
      <w:tr>
        <w:tblPrEx>
          <w:tblCellMar>
            <w:top w:w="15" w:type="dxa"/>
            <w:left w:w="15" w:type="dxa"/>
            <w:bottom w:w="15" w:type="dxa"/>
            <w:right w:w="15" w:type="dxa"/>
          </w:tblCellMar>
        </w:tblPrEx>
        <w:trPr>
          <w:trHeight w:val="20" w:hRule="atLeast"/>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项目名称</w:t>
            </w:r>
          </w:p>
        </w:tc>
        <w:tc>
          <w:tcPr>
            <w:tcW w:w="709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主要建设内容</w:t>
            </w:r>
          </w:p>
        </w:tc>
      </w:tr>
      <w:tr>
        <w:tblPrEx>
          <w:tblCellMar>
            <w:top w:w="15" w:type="dxa"/>
            <w:left w:w="15" w:type="dxa"/>
            <w:bottom w:w="15" w:type="dxa"/>
            <w:right w:w="15" w:type="dxa"/>
          </w:tblCellMar>
        </w:tblPrEx>
        <w:trPr>
          <w:trHeight w:val="20" w:hRule="atLeast"/>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消防训练</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基地建设</w:t>
            </w:r>
          </w:p>
        </w:tc>
        <w:tc>
          <w:tcPr>
            <w:tcW w:w="709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推进重庆龙河水域救援（抗洪抢险）培训基地前期研究。配备车辆、舟艇等装备器材及师资力量。</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消防科技信息化创新工程。升级信息化网络和基础设施建设，推进物联网感知能力建设。推广高层建筑、火灾高危单位、消防安全重点单位以及“三合一”、九小场所等物联感知能力建设。推广高空瞭望、消防人员生命体征、消防车辆和装备状态等物联感知能力建设。</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r>
        <w:rPr>
          <w:rFonts w:hint="eastAsia" w:ascii="Times New Roman" w:hAnsi="Times New Roman"/>
          <w:b w:val="0"/>
          <w:bCs w:val="0"/>
          <w:caps w:val="0"/>
          <w:smallCaps w:val="0"/>
          <w:sz w:val="28"/>
          <w:szCs w:val="28"/>
        </w:rPr>
        <w:t>专栏8  消防科技信息化创新工程任务</w:t>
      </w:r>
    </w:p>
    <w:tbl>
      <w:tblPr>
        <w:tblStyle w:val="31"/>
        <w:tblW w:w="8901" w:type="dxa"/>
        <w:jc w:val="center"/>
        <w:tblLayout w:type="fixed"/>
        <w:tblCellMar>
          <w:top w:w="15" w:type="dxa"/>
          <w:left w:w="15" w:type="dxa"/>
          <w:bottom w:w="15" w:type="dxa"/>
          <w:right w:w="15" w:type="dxa"/>
        </w:tblCellMar>
      </w:tblPr>
      <w:tblGrid>
        <w:gridCol w:w="1552"/>
        <w:gridCol w:w="7349"/>
      </w:tblGrid>
      <w:tr>
        <w:tblPrEx>
          <w:tblCellMar>
            <w:top w:w="15" w:type="dxa"/>
            <w:left w:w="15" w:type="dxa"/>
            <w:bottom w:w="15" w:type="dxa"/>
            <w:right w:w="15" w:type="dxa"/>
          </w:tblCellMar>
        </w:tblPrEx>
        <w:trPr>
          <w:trHeight w:val="20" w:hRule="atLeast"/>
          <w:jc w:val="center"/>
        </w:trPr>
        <w:tc>
          <w:tcPr>
            <w:tcW w:w="15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项目名称</w:t>
            </w:r>
          </w:p>
        </w:tc>
        <w:tc>
          <w:tcPr>
            <w:tcW w:w="734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主要建设内容</w:t>
            </w:r>
          </w:p>
        </w:tc>
      </w:tr>
      <w:tr>
        <w:tblPrEx>
          <w:tblCellMar>
            <w:top w:w="15" w:type="dxa"/>
            <w:left w:w="15" w:type="dxa"/>
            <w:bottom w:w="15" w:type="dxa"/>
            <w:right w:w="15" w:type="dxa"/>
          </w:tblCellMar>
        </w:tblPrEx>
        <w:trPr>
          <w:trHeight w:val="20" w:hRule="atLeast"/>
          <w:jc w:val="center"/>
        </w:trPr>
        <w:tc>
          <w:tcPr>
            <w:tcW w:w="155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物联网感知能力建设</w:t>
            </w:r>
          </w:p>
        </w:tc>
        <w:tc>
          <w:tcPr>
            <w:tcW w:w="7349"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2022—2024年，推广高层建筑、火灾高危单位、消防安全重点单位等物联感知能力建设。</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2025年，推广“三合一”、九小场所等物联感知能力建设。</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2022—2023年，开展高空瞭望、消防车辆物联感知能力建设。</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2023—2025年，开展消防人员生命体征、装备状态物联感知能力建设。</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公众消防安全素质提升工程。依托博物馆、防灾教育基地、城市公园等建设消防科普教育及宣传基地，建设数字化消防宣教平台。</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 w:val="28"/>
          <w:szCs w:val="28"/>
        </w:rPr>
      </w:pPr>
      <w:r>
        <w:rPr>
          <w:rFonts w:hint="eastAsia" w:ascii="Times New Roman" w:hAnsi="Times New Roman"/>
          <w:b w:val="0"/>
          <w:bCs w:val="0"/>
          <w:caps w:val="0"/>
          <w:smallCaps w:val="0"/>
          <w:sz w:val="28"/>
          <w:szCs w:val="28"/>
        </w:rPr>
        <w:t>专栏9  公众消防安全素质提升工程任务</w:t>
      </w:r>
    </w:p>
    <w:tbl>
      <w:tblPr>
        <w:tblStyle w:val="31"/>
        <w:tblW w:w="8800" w:type="dxa"/>
        <w:jc w:val="center"/>
        <w:tblLayout w:type="fixed"/>
        <w:tblCellMar>
          <w:top w:w="15" w:type="dxa"/>
          <w:left w:w="15" w:type="dxa"/>
          <w:bottom w:w="15" w:type="dxa"/>
          <w:right w:w="15" w:type="dxa"/>
        </w:tblCellMar>
      </w:tblPr>
      <w:tblGrid>
        <w:gridCol w:w="2014"/>
        <w:gridCol w:w="6786"/>
      </w:tblGrid>
      <w:tr>
        <w:tblPrEx>
          <w:tblCellMar>
            <w:top w:w="15" w:type="dxa"/>
            <w:left w:w="15" w:type="dxa"/>
            <w:bottom w:w="15" w:type="dxa"/>
            <w:right w:w="15" w:type="dxa"/>
          </w:tblCellMar>
        </w:tblPrEx>
        <w:trPr>
          <w:trHeight w:val="20" w:hRule="atLeast"/>
          <w:jc w:val="center"/>
        </w:trPr>
        <w:tc>
          <w:tcPr>
            <w:tcW w:w="201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项目名称</w:t>
            </w:r>
          </w:p>
        </w:tc>
        <w:tc>
          <w:tcPr>
            <w:tcW w:w="67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主要建设内容</w:t>
            </w:r>
          </w:p>
        </w:tc>
      </w:tr>
      <w:tr>
        <w:tblPrEx>
          <w:tblCellMar>
            <w:top w:w="15" w:type="dxa"/>
            <w:left w:w="15" w:type="dxa"/>
            <w:bottom w:w="15" w:type="dxa"/>
            <w:right w:w="15" w:type="dxa"/>
          </w:tblCellMar>
        </w:tblPrEx>
        <w:trPr>
          <w:trHeight w:val="20" w:hRule="atLeast"/>
          <w:jc w:val="center"/>
        </w:trPr>
        <w:tc>
          <w:tcPr>
            <w:tcW w:w="201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消防科普教育馆</w:t>
            </w:r>
          </w:p>
        </w:tc>
        <w:tc>
          <w:tcPr>
            <w:tcW w:w="67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2023年，新建1处科普教育馆。打造集宣教、培训、体验、测试一站式的消防安全教育培训体验基地。</w:t>
            </w:r>
          </w:p>
        </w:tc>
      </w:tr>
      <w:tr>
        <w:tblPrEx>
          <w:tblCellMar>
            <w:top w:w="15" w:type="dxa"/>
            <w:left w:w="15" w:type="dxa"/>
            <w:bottom w:w="15" w:type="dxa"/>
            <w:right w:w="15" w:type="dxa"/>
          </w:tblCellMar>
        </w:tblPrEx>
        <w:trPr>
          <w:trHeight w:val="20" w:hRule="atLeast"/>
          <w:jc w:val="center"/>
        </w:trPr>
        <w:tc>
          <w:tcPr>
            <w:tcW w:w="201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消防主题公园</w:t>
            </w:r>
          </w:p>
        </w:tc>
        <w:tc>
          <w:tcPr>
            <w:tcW w:w="67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2024年，新建1处消防主题公园。结合城市公园，增加具有消防元素的塑像、消防知识宣传栏、消防卡通人物、警示安全标志、119座椅等与消防设施。突出消防主题，加强消防特色，为群众提供了集休闲娱乐、消防知识学习于一体的寓教于乐平台。</w:t>
            </w:r>
          </w:p>
        </w:tc>
      </w:tr>
      <w:tr>
        <w:tblPrEx>
          <w:tblCellMar>
            <w:top w:w="15" w:type="dxa"/>
            <w:left w:w="15" w:type="dxa"/>
            <w:bottom w:w="15" w:type="dxa"/>
            <w:right w:w="15" w:type="dxa"/>
          </w:tblCellMar>
        </w:tblPrEx>
        <w:trPr>
          <w:trHeight w:val="20" w:hRule="atLeast"/>
          <w:jc w:val="center"/>
        </w:trPr>
        <w:tc>
          <w:tcPr>
            <w:tcW w:w="201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消防文化广场</w:t>
            </w:r>
          </w:p>
        </w:tc>
        <w:tc>
          <w:tcPr>
            <w:tcW w:w="67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2024年，结合石柱城市文化广场，加强消防安全知识宣传。</w:t>
            </w:r>
          </w:p>
        </w:tc>
      </w:tr>
      <w:tr>
        <w:tblPrEx>
          <w:tblCellMar>
            <w:top w:w="15" w:type="dxa"/>
            <w:left w:w="15" w:type="dxa"/>
            <w:bottom w:w="15" w:type="dxa"/>
            <w:right w:w="15" w:type="dxa"/>
          </w:tblCellMar>
        </w:tblPrEx>
        <w:trPr>
          <w:trHeight w:val="20" w:hRule="atLeast"/>
          <w:jc w:val="center"/>
        </w:trPr>
        <w:tc>
          <w:tcPr>
            <w:tcW w:w="2014"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消防安全流动宣传服务站</w:t>
            </w:r>
          </w:p>
        </w:tc>
        <w:tc>
          <w:tcPr>
            <w:tcW w:w="6786"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Times New Roman" w:hAnsi="Times New Roman"/>
                <w:b w:val="0"/>
                <w:bCs w:val="0"/>
                <w:caps w:val="0"/>
                <w:smallCaps w:val="0"/>
                <w:sz w:val="24"/>
                <w:szCs w:val="21"/>
              </w:rPr>
            </w:pPr>
            <w:r>
              <w:rPr>
                <w:rFonts w:hint="eastAsia" w:ascii="Times New Roman" w:hAnsi="Times New Roman"/>
                <w:b w:val="0"/>
                <w:bCs w:val="0"/>
                <w:caps w:val="0"/>
                <w:smallCaps w:val="0"/>
                <w:sz w:val="24"/>
                <w:szCs w:val="21"/>
              </w:rPr>
              <w:t>2023年，增加1辆消防宣传车，打造“流动性”消防宣传阵地，利用流动宣传车设置消防安全流动宣传服务站，开展流动消防宣传，全面扩大消防宣传覆盖面。</w:t>
            </w:r>
          </w:p>
        </w:tc>
      </w:tr>
    </w:tbl>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Times New Roman" w:hAnsi="Times New Roman"/>
          <w:b w:val="0"/>
          <w:bCs w:val="0"/>
          <w:caps w:val="0"/>
          <w:smallCaps w:val="0"/>
          <w:szCs w:val="20"/>
        </w:rPr>
      </w:pPr>
      <w:bookmarkStart w:id="39" w:name="_Toc109989624"/>
      <w:bookmarkStart w:id="40" w:name="_Toc100577325"/>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zCs w:val="20"/>
        </w:rPr>
      </w:pPr>
      <w:r>
        <w:rPr>
          <w:rFonts w:hint="eastAsia" w:ascii="方正黑体_GBK" w:hAnsi="方正黑体_GBK" w:eastAsia="方正黑体_GBK" w:cs="方正黑体_GBK"/>
          <w:b w:val="0"/>
          <w:bCs w:val="0"/>
          <w:caps w:val="0"/>
          <w:smallCaps w:val="0"/>
          <w:szCs w:val="20"/>
        </w:rPr>
        <w:t xml:space="preserve">第四章 </w:t>
      </w:r>
      <w:r>
        <w:rPr>
          <w:rFonts w:hint="eastAsia" w:ascii="方正黑体_GBK" w:hAnsi="方正黑体_GBK" w:eastAsia="方正黑体_GBK" w:cs="方正黑体_GBK"/>
          <w:b w:val="0"/>
          <w:bCs w:val="0"/>
          <w:caps w:val="0"/>
          <w:smallCaps w:val="0"/>
          <w:szCs w:val="20"/>
          <w:lang w:val="en-US" w:eastAsia="zh-CN"/>
        </w:rPr>
        <w:t xml:space="preserve"> </w:t>
      </w:r>
      <w:r>
        <w:rPr>
          <w:rFonts w:hint="eastAsia" w:ascii="方正黑体_GBK" w:hAnsi="方正黑体_GBK" w:eastAsia="方正黑体_GBK" w:cs="方正黑体_GBK"/>
          <w:b w:val="0"/>
          <w:bCs w:val="0"/>
          <w:caps w:val="0"/>
          <w:smallCaps w:val="0"/>
          <w:szCs w:val="20"/>
        </w:rPr>
        <w:t>保障措施</w:t>
      </w:r>
      <w:bookmarkEnd w:id="39"/>
      <w:bookmarkEnd w:id="40"/>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bookmarkStart w:id="41" w:name="_Toc109989625"/>
      <w:bookmarkStart w:id="42" w:name="_Toc100577326"/>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r>
        <w:rPr>
          <w:rFonts w:hint="eastAsia" w:ascii="方正楷体_GBK" w:hAnsi="方正楷体_GBK" w:eastAsia="方正楷体_GBK" w:cs="方正楷体_GBK"/>
          <w:b w:val="0"/>
          <w:bCs w:val="0"/>
          <w:caps w:val="0"/>
          <w:smallCaps w:val="0"/>
          <w:szCs w:val="20"/>
        </w:rPr>
        <w:t>第一节</w:t>
      </w:r>
      <w:r>
        <w:rPr>
          <w:rFonts w:hint="eastAsia" w:ascii="方正楷体_GBK" w:hAnsi="方正楷体_GBK" w:eastAsia="方正楷体_GBK" w:cs="方正楷体_GBK"/>
          <w:b w:val="0"/>
          <w:bCs w:val="0"/>
          <w:caps w:val="0"/>
          <w:smallCaps w:val="0"/>
          <w:szCs w:val="20"/>
          <w:lang w:val="en-US" w:eastAsia="zh-CN"/>
        </w:rPr>
        <w:t xml:space="preserve"> </w:t>
      </w:r>
      <w:r>
        <w:rPr>
          <w:rFonts w:hint="eastAsia" w:ascii="方正楷体_GBK" w:hAnsi="方正楷体_GBK" w:eastAsia="方正楷体_GBK" w:cs="方正楷体_GBK"/>
          <w:b w:val="0"/>
          <w:bCs w:val="0"/>
          <w:caps w:val="0"/>
          <w:smallCaps w:val="0"/>
          <w:szCs w:val="20"/>
        </w:rPr>
        <w:t xml:space="preserve"> 加强组织领导</w:t>
      </w:r>
      <w:bookmarkEnd w:id="41"/>
      <w:bookmarkEnd w:id="42"/>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在县委、县政府</w:t>
      </w:r>
      <w:r>
        <w:rPr>
          <w:rFonts w:hint="eastAsia" w:ascii="Times New Roman" w:hAnsi="Times New Roman"/>
          <w:b w:val="0"/>
          <w:bCs w:val="0"/>
          <w:caps w:val="0"/>
          <w:smallCaps w:val="0"/>
          <w:szCs w:val="20"/>
          <w:lang w:eastAsia="zh-CN"/>
        </w:rPr>
        <w:t>的坚强</w:t>
      </w:r>
      <w:r>
        <w:rPr>
          <w:rFonts w:hint="eastAsia" w:ascii="Times New Roman" w:hAnsi="Times New Roman"/>
          <w:b w:val="0"/>
          <w:bCs w:val="0"/>
          <w:caps w:val="0"/>
          <w:smallCaps w:val="0"/>
          <w:szCs w:val="20"/>
        </w:rPr>
        <w:t>领导下，县</w:t>
      </w:r>
      <w:r>
        <w:rPr>
          <w:rFonts w:hint="eastAsia" w:ascii="Times New Roman" w:hAnsi="Times New Roman" w:cs="方正仿宋_GBK"/>
          <w:b w:val="0"/>
          <w:bCs w:val="0"/>
          <w:caps w:val="0"/>
          <w:smallCaps w:val="0"/>
          <w:szCs w:val="21"/>
        </w:rPr>
        <w:t>消防安全委员会</w:t>
      </w:r>
      <w:r>
        <w:rPr>
          <w:rFonts w:hint="eastAsia" w:ascii="Times New Roman" w:hAnsi="Times New Roman"/>
          <w:b w:val="0"/>
          <w:bCs w:val="0"/>
          <w:caps w:val="0"/>
          <w:smallCaps w:val="0"/>
          <w:szCs w:val="20"/>
        </w:rPr>
        <w:t>加强组织领导、统筹协调和检查督导</w:t>
      </w:r>
      <w:r>
        <w:rPr>
          <w:rFonts w:hint="eastAsia" w:ascii="Times New Roman" w:hAnsi="Times New Roman"/>
          <w:b w:val="0"/>
          <w:bCs w:val="0"/>
          <w:caps w:val="0"/>
          <w:smallCaps w:val="0"/>
          <w:szCs w:val="20"/>
          <w:lang w:eastAsia="zh-CN"/>
        </w:rPr>
        <w:t>，</w:t>
      </w:r>
      <w:r>
        <w:rPr>
          <w:rFonts w:hint="eastAsia" w:ascii="Times New Roman" w:hAnsi="Times New Roman"/>
          <w:b w:val="0"/>
          <w:bCs w:val="0"/>
          <w:caps w:val="0"/>
          <w:smallCaps w:val="0"/>
          <w:szCs w:val="20"/>
        </w:rPr>
        <w:t>对消防规划确定的目标和任务，实施项目化管理，建立责任清单，制定工作标准和完成时限，分级分阶段组织实施。定期分析会商，掌握规划实施进展情况，解决实施中存在的问题，并将规划实施进展纳入县政府督查内容，组织年度督查督办和阶段性考核评估。县级各部门、各镇街要结合实际，强化组织保障，推进消防救援事业发展“十四五”规划落地生效。</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bookmarkStart w:id="43" w:name="_Toc100577327"/>
      <w:bookmarkStart w:id="44" w:name="_Toc109989626"/>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r>
        <w:rPr>
          <w:rFonts w:hint="eastAsia" w:ascii="方正楷体_GBK" w:hAnsi="方正楷体_GBK" w:eastAsia="方正楷体_GBK" w:cs="方正楷体_GBK"/>
          <w:b w:val="0"/>
          <w:bCs w:val="0"/>
          <w:caps w:val="0"/>
          <w:smallCaps w:val="0"/>
          <w:szCs w:val="20"/>
        </w:rPr>
        <w:t xml:space="preserve">第二节 </w:t>
      </w:r>
      <w:r>
        <w:rPr>
          <w:rFonts w:hint="eastAsia" w:ascii="方正楷体_GBK" w:hAnsi="方正楷体_GBK" w:eastAsia="方正楷体_GBK" w:cs="方正楷体_GBK"/>
          <w:b w:val="0"/>
          <w:bCs w:val="0"/>
          <w:caps w:val="0"/>
          <w:smallCaps w:val="0"/>
          <w:szCs w:val="20"/>
          <w:lang w:val="en-US" w:eastAsia="zh-CN"/>
        </w:rPr>
        <w:t xml:space="preserve"> </w:t>
      </w:r>
      <w:r>
        <w:rPr>
          <w:rFonts w:hint="eastAsia" w:ascii="方正楷体_GBK" w:hAnsi="方正楷体_GBK" w:eastAsia="方正楷体_GBK" w:cs="方正楷体_GBK"/>
          <w:b w:val="0"/>
          <w:bCs w:val="0"/>
          <w:caps w:val="0"/>
          <w:smallCaps w:val="0"/>
          <w:szCs w:val="20"/>
        </w:rPr>
        <w:t>强化经费保障</w:t>
      </w:r>
      <w:bookmarkEnd w:id="43"/>
      <w:bookmarkEnd w:id="44"/>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r>
        <w:rPr>
          <w:rFonts w:hint="eastAsia" w:ascii="Times New Roman" w:hAnsi="Times New Roman"/>
          <w:b w:val="0"/>
          <w:bCs w:val="0"/>
          <w:caps w:val="0"/>
          <w:smallCaps w:val="0"/>
          <w:szCs w:val="20"/>
        </w:rPr>
        <w:t>遵循事权与支出责任相匹配原则，建立健全权责明确、规范高效、分类负担、分级保障的经费管理体系。建立与“十四五”消防救援事业发展相适应的经费保障机制，将规划的消防救援站点、训练基地、消防装备、消防水源、政府专职消防队、消防信息化等建设项目经费，以及消防指战员补充医疗保险、跨区域灭火应急救援等经费纳入同级财政预算予以保障；财政每年安排专项资金补助农村地区公共消防基础建设，保障城乡消防救援事业统筹发展。消防业务经费投入水平</w:t>
      </w:r>
      <w:r>
        <w:rPr>
          <w:rFonts w:hint="eastAsia" w:ascii="Times New Roman" w:hAnsi="Times New Roman"/>
          <w:b w:val="0"/>
          <w:bCs w:val="0"/>
          <w:caps w:val="0"/>
          <w:smallCaps w:val="0"/>
          <w:szCs w:val="20"/>
          <w:lang w:eastAsia="zh-CN"/>
        </w:rPr>
        <w:t>较</w:t>
      </w:r>
      <w:r>
        <w:rPr>
          <w:rFonts w:hint="eastAsia" w:ascii="Times New Roman" w:hAnsi="Times New Roman"/>
          <w:b w:val="0"/>
          <w:bCs w:val="0"/>
          <w:caps w:val="0"/>
          <w:smallCaps w:val="0"/>
          <w:szCs w:val="20"/>
        </w:rPr>
        <w:t>“十三五”时期保持不降，并逐年递增。</w:t>
      </w: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szCs w:val="20"/>
        </w:rPr>
      </w:pP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bookmarkStart w:id="45" w:name="_Toc100577328"/>
      <w:bookmarkStart w:id="46" w:name="_Toc109989627"/>
      <w:r>
        <w:rPr>
          <w:rFonts w:hint="eastAsia" w:ascii="方正楷体_GBK" w:hAnsi="方正楷体_GBK" w:eastAsia="方正楷体_GBK" w:cs="方正楷体_GBK"/>
          <w:b w:val="0"/>
          <w:bCs w:val="0"/>
          <w:caps w:val="0"/>
          <w:smallCaps w:val="0"/>
          <w:szCs w:val="20"/>
        </w:rPr>
        <w:t>第三节</w:t>
      </w:r>
      <w:r>
        <w:rPr>
          <w:rFonts w:hint="eastAsia" w:ascii="方正楷体_GBK" w:hAnsi="方正楷体_GBK" w:eastAsia="方正楷体_GBK" w:cs="方正楷体_GBK"/>
          <w:b w:val="0"/>
          <w:bCs w:val="0"/>
          <w:caps w:val="0"/>
          <w:smallCaps w:val="0"/>
          <w:szCs w:val="20"/>
          <w:lang w:val="en-US" w:eastAsia="zh-CN"/>
        </w:rPr>
        <w:t xml:space="preserve"> </w:t>
      </w:r>
      <w:r>
        <w:rPr>
          <w:rFonts w:hint="eastAsia" w:ascii="方正楷体_GBK" w:hAnsi="方正楷体_GBK" w:eastAsia="方正楷体_GBK" w:cs="方正楷体_GBK"/>
          <w:b w:val="0"/>
          <w:bCs w:val="0"/>
          <w:caps w:val="0"/>
          <w:smallCaps w:val="0"/>
          <w:szCs w:val="20"/>
        </w:rPr>
        <w:t xml:space="preserve"> 落实环保要求</w:t>
      </w:r>
      <w:bookmarkEnd w:id="45"/>
      <w:bookmarkEnd w:id="46"/>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r>
        <w:rPr>
          <w:rFonts w:hint="eastAsia" w:ascii="Times New Roman" w:hAnsi="Times New Roman"/>
          <w:b w:val="0"/>
          <w:bCs w:val="0"/>
          <w:caps w:val="0"/>
          <w:smallCaps w:val="0"/>
          <w:szCs w:val="20"/>
        </w:rPr>
        <w:t>密切跟踪规划实施对生态系统和环境、群众健康产生的影响，对纳入规划的消防设施建设项目依法履行环评程序，严格土地、环保准入，合理开展项目选址设计。落实环境影响评价制度，实行严格的环境保护制度。把环境影响问题作为规划评估的重要内容，并将评价结果作为优化规划实施的重要依据。</w:t>
      </w:r>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bookmarkStart w:id="47" w:name="_Toc100577329"/>
      <w:bookmarkStart w:id="48" w:name="_Toc109989628"/>
    </w:p>
    <w:p>
      <w:p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方正楷体_GBK" w:hAnsi="方正楷体_GBK" w:eastAsia="方正楷体_GBK" w:cs="方正楷体_GBK"/>
          <w:b w:val="0"/>
          <w:bCs w:val="0"/>
          <w:caps w:val="0"/>
          <w:smallCaps w:val="0"/>
          <w:szCs w:val="20"/>
        </w:rPr>
      </w:pPr>
      <w:r>
        <w:rPr>
          <w:rFonts w:hint="eastAsia" w:ascii="方正楷体_GBK" w:hAnsi="方正楷体_GBK" w:eastAsia="方正楷体_GBK" w:cs="方正楷体_GBK"/>
          <w:b w:val="0"/>
          <w:bCs w:val="0"/>
          <w:caps w:val="0"/>
          <w:smallCaps w:val="0"/>
          <w:szCs w:val="20"/>
        </w:rPr>
        <w:t xml:space="preserve">第四节 </w:t>
      </w:r>
      <w:r>
        <w:rPr>
          <w:rFonts w:hint="eastAsia" w:ascii="方正楷体_GBK" w:hAnsi="方正楷体_GBK" w:eastAsia="方正楷体_GBK" w:cs="方正楷体_GBK"/>
          <w:b w:val="0"/>
          <w:bCs w:val="0"/>
          <w:caps w:val="0"/>
          <w:smallCaps w:val="0"/>
          <w:szCs w:val="20"/>
          <w:lang w:val="en-US" w:eastAsia="zh-CN"/>
        </w:rPr>
        <w:t xml:space="preserve"> </w:t>
      </w:r>
      <w:r>
        <w:rPr>
          <w:rFonts w:hint="eastAsia" w:ascii="方正楷体_GBK" w:hAnsi="方正楷体_GBK" w:eastAsia="方正楷体_GBK" w:cs="方正楷体_GBK"/>
          <w:b w:val="0"/>
          <w:bCs w:val="0"/>
          <w:caps w:val="0"/>
          <w:smallCaps w:val="0"/>
          <w:szCs w:val="20"/>
        </w:rPr>
        <w:t>实行考评问效</w:t>
      </w:r>
      <w:bookmarkEnd w:id="47"/>
      <w:bookmarkEnd w:id="48"/>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szCs w:val="20"/>
        </w:rPr>
      </w:pPr>
      <w:r>
        <w:rPr>
          <w:rFonts w:hint="eastAsia" w:ascii="Times New Roman" w:hAnsi="Times New Roman"/>
          <w:b w:val="0"/>
          <w:bCs w:val="0"/>
          <w:caps w:val="0"/>
          <w:smallCaps w:val="0"/>
          <w:szCs w:val="20"/>
        </w:rPr>
        <w:t>“十四五”消防救援事业发展建设任务重、标准高，</w:t>
      </w:r>
      <w:r>
        <w:rPr>
          <w:rFonts w:hint="eastAsia" w:ascii="Times New Roman" w:hAnsi="Times New Roman"/>
          <w:b w:val="0"/>
          <w:bCs w:val="0"/>
          <w:caps w:val="0"/>
          <w:smallCaps w:val="0"/>
          <w:szCs w:val="20"/>
          <w:lang w:eastAsia="zh-CN"/>
        </w:rPr>
        <w:t>县级有关部门</w:t>
      </w:r>
      <w:r>
        <w:rPr>
          <w:rFonts w:hint="eastAsia" w:ascii="Times New Roman" w:hAnsi="Times New Roman"/>
          <w:b w:val="0"/>
          <w:bCs w:val="0"/>
          <w:caps w:val="0"/>
          <w:smallCaps w:val="0"/>
          <w:szCs w:val="20"/>
        </w:rPr>
        <w:t>要加强统筹、强力推进。县政府将把消防规划落实情况作为对镇（街道）政府目标责任考核和领导干部绩效考核的重要内容，纳入经济社会发展考核范畴，并结合年度消防工作检查考核，全面分析评估规划实施效果及各项保障措施落实情况。“十四五”时期末，县政府将对消防规划目标任务落实情况进行综合验收。对失职、渎职或工作不力造成消防规划不落实、火灾隐患突出、发生较大以上火灾事故的，依法依纪追究有关单位和人员的责任。</w:t>
      </w:r>
      <w:bookmarkStart w:id="49" w:name="_Toc100577330"/>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r>
        <w:rPr>
          <w:rFonts w:hint="eastAsia" w:ascii="Times New Roman" w:hAnsi="Times New Roman" w:eastAsia="方正仿宋_GBK" w:cs="Times New Roman"/>
          <w:b w:val="0"/>
          <w:bCs w:val="0"/>
          <w:caps w:val="0"/>
          <w:smallCaps w:val="0"/>
          <w:sz w:val="32"/>
          <w:szCs w:val="20"/>
        </w:rPr>
        <w:t>附件：1</w:t>
      </w:r>
      <w:r>
        <w:rPr>
          <w:rFonts w:hint="eastAsia" w:ascii="Times New Roman" w:hAnsi="Times New Roman" w:cs="Times New Roman"/>
          <w:b w:val="0"/>
          <w:bCs w:val="0"/>
          <w:caps w:val="0"/>
          <w:smallCaps w:val="0"/>
          <w:sz w:val="32"/>
          <w:szCs w:val="20"/>
          <w:lang w:eastAsia="zh-CN"/>
        </w:rPr>
        <w:t>．</w:t>
      </w:r>
      <w:r>
        <w:rPr>
          <w:rFonts w:hint="eastAsia" w:ascii="Times New Roman" w:hAnsi="Times New Roman" w:eastAsia="方正仿宋_GBK" w:cs="Times New Roman"/>
          <w:b w:val="0"/>
          <w:bCs w:val="0"/>
          <w:caps w:val="0"/>
          <w:smallCaps w:val="0"/>
          <w:sz w:val="32"/>
          <w:szCs w:val="20"/>
        </w:rPr>
        <w:t>石柱县“十四五”时期城市消防站建设规划表</w:t>
      </w:r>
    </w:p>
    <w:p>
      <w:pPr>
        <w:kinsoku/>
        <w:wordWrap/>
        <w:overflowPunct/>
        <w:topLinePunct w:val="0"/>
        <w:autoSpaceDE/>
        <w:autoSpaceDN/>
        <w:bidi w:val="0"/>
        <w:adjustRightInd/>
        <w:snapToGrid w:val="0"/>
        <w:spacing w:line="560" w:lineRule="exact"/>
        <w:ind w:left="0" w:leftChars="0" w:firstLine="1580" w:firstLineChars="500"/>
        <w:jc w:val="both"/>
        <w:textAlignment w:val="auto"/>
        <w:rPr>
          <w:rFonts w:hint="eastAsia" w:ascii="Times New Roman" w:hAnsi="Times New Roman" w:eastAsia="方正仿宋_GBK" w:cs="Times New Roman"/>
          <w:b w:val="0"/>
          <w:bCs w:val="0"/>
          <w:caps w:val="0"/>
          <w:smallCaps w:val="0"/>
          <w:sz w:val="32"/>
          <w:szCs w:val="20"/>
        </w:rPr>
      </w:pPr>
      <w:r>
        <w:rPr>
          <w:rFonts w:hint="eastAsia" w:ascii="Times New Roman" w:hAnsi="Times New Roman" w:cs="Times New Roman"/>
          <w:b w:val="0"/>
          <w:bCs w:val="0"/>
          <w:caps w:val="0"/>
          <w:smallCaps w:val="0"/>
          <w:sz w:val="32"/>
          <w:szCs w:val="20"/>
          <w:lang w:val="en-US" w:eastAsia="zh-CN"/>
        </w:rPr>
        <w:t>2．</w:t>
      </w:r>
      <w:r>
        <w:rPr>
          <w:rFonts w:hint="eastAsia" w:ascii="Times New Roman" w:hAnsi="Times New Roman" w:eastAsia="方正仿宋_GBK" w:cs="Times New Roman"/>
          <w:b w:val="0"/>
          <w:bCs w:val="0"/>
          <w:caps w:val="0"/>
          <w:smallCaps w:val="0"/>
          <w:sz w:val="32"/>
          <w:szCs w:val="20"/>
        </w:rPr>
        <w:t>石柱县“十四五”时期乡镇专职消防队建设规划表</w:t>
      </w:r>
    </w:p>
    <w:p>
      <w:pPr>
        <w:kinsoku/>
        <w:wordWrap/>
        <w:overflowPunct/>
        <w:topLinePunct w:val="0"/>
        <w:autoSpaceDE/>
        <w:autoSpaceDN/>
        <w:bidi w:val="0"/>
        <w:adjustRightInd/>
        <w:snapToGrid w:val="0"/>
        <w:spacing w:line="560" w:lineRule="exact"/>
        <w:ind w:left="0" w:leftChars="0" w:firstLine="1580" w:firstLineChars="500"/>
        <w:jc w:val="both"/>
        <w:textAlignment w:val="auto"/>
        <w:rPr>
          <w:rFonts w:hint="eastAsia" w:ascii="Times New Roman" w:hAnsi="Times New Roman" w:eastAsia="方正仿宋_GBK" w:cs="Times New Roman"/>
          <w:b w:val="0"/>
          <w:bCs w:val="0"/>
          <w:caps w:val="0"/>
          <w:smallCaps w:val="0"/>
          <w:snapToGrid w:val="0"/>
          <w:spacing w:val="-11"/>
          <w:sz w:val="32"/>
          <w:szCs w:val="20"/>
        </w:rPr>
      </w:pPr>
      <w:r>
        <w:rPr>
          <w:rFonts w:hint="eastAsia" w:ascii="Times New Roman" w:hAnsi="Times New Roman" w:eastAsia="方正仿宋_GBK" w:cs="Times New Roman"/>
          <w:b w:val="0"/>
          <w:bCs w:val="0"/>
          <w:caps w:val="0"/>
          <w:smallCaps w:val="0"/>
          <w:sz w:val="32"/>
          <w:szCs w:val="20"/>
        </w:rPr>
        <w:t>3</w:t>
      </w:r>
      <w:r>
        <w:rPr>
          <w:rFonts w:hint="eastAsia" w:ascii="Times New Roman" w:hAnsi="Times New Roman" w:cs="Times New Roman"/>
          <w:b w:val="0"/>
          <w:bCs w:val="0"/>
          <w:caps w:val="0"/>
          <w:smallCaps w:val="0"/>
          <w:sz w:val="32"/>
          <w:szCs w:val="20"/>
          <w:lang w:eastAsia="zh-CN"/>
        </w:rPr>
        <w:t>．</w:t>
      </w:r>
      <w:r>
        <w:rPr>
          <w:rFonts w:hint="eastAsia" w:ascii="Times New Roman" w:hAnsi="Times New Roman" w:eastAsia="方正仿宋_GBK" w:cs="Times New Roman"/>
          <w:b w:val="0"/>
          <w:bCs w:val="0"/>
          <w:caps w:val="0"/>
          <w:smallCaps w:val="0"/>
          <w:snapToGrid w:val="0"/>
          <w:spacing w:val="-11"/>
          <w:sz w:val="32"/>
          <w:szCs w:val="20"/>
        </w:rPr>
        <w:t>石柱县“十四五”时期消防执勤车辆装备建设规划表</w:t>
      </w:r>
    </w:p>
    <w:p>
      <w:pPr>
        <w:kinsoku/>
        <w:wordWrap/>
        <w:overflowPunct/>
        <w:topLinePunct w:val="0"/>
        <w:autoSpaceDE/>
        <w:autoSpaceDN/>
        <w:bidi w:val="0"/>
        <w:adjustRightInd/>
        <w:snapToGrid w:val="0"/>
        <w:spacing w:line="560" w:lineRule="exact"/>
        <w:ind w:left="0" w:leftChars="0" w:firstLine="1580" w:firstLineChars="500"/>
        <w:jc w:val="both"/>
        <w:textAlignment w:val="auto"/>
        <w:rPr>
          <w:rFonts w:hint="eastAsia" w:ascii="Times New Roman" w:hAnsi="Times New Roman" w:eastAsia="方正仿宋_GBK" w:cs="Times New Roman"/>
          <w:b w:val="0"/>
          <w:bCs w:val="0"/>
          <w:caps w:val="0"/>
          <w:smallCaps w:val="0"/>
          <w:sz w:val="32"/>
          <w:szCs w:val="20"/>
        </w:rPr>
      </w:pPr>
      <w:r>
        <w:rPr>
          <w:rFonts w:hint="eastAsia" w:ascii="Times New Roman" w:hAnsi="Times New Roman" w:eastAsia="方正仿宋_GBK" w:cs="Times New Roman"/>
          <w:b w:val="0"/>
          <w:bCs w:val="0"/>
          <w:caps w:val="0"/>
          <w:smallCaps w:val="0"/>
          <w:sz w:val="32"/>
          <w:szCs w:val="20"/>
        </w:rPr>
        <w:t>4．石柱县“十四五”时期政府专职消防员招录规划表</w:t>
      </w:r>
    </w:p>
    <w:p>
      <w:pPr>
        <w:kinsoku/>
        <w:wordWrap/>
        <w:overflowPunct/>
        <w:topLinePunct w:val="0"/>
        <w:autoSpaceDE/>
        <w:autoSpaceDN/>
        <w:bidi w:val="0"/>
        <w:adjustRightInd/>
        <w:snapToGrid w:val="0"/>
        <w:spacing w:line="560" w:lineRule="exact"/>
        <w:ind w:left="0" w:leftChars="0" w:firstLine="1580" w:firstLineChars="500"/>
        <w:jc w:val="both"/>
        <w:textAlignment w:val="auto"/>
        <w:rPr>
          <w:rFonts w:hint="eastAsia" w:ascii="Times New Roman" w:hAnsi="Times New Roman"/>
          <w:b w:val="0"/>
          <w:bCs w:val="0"/>
          <w:caps w:val="0"/>
          <w:smallCaps w:val="0"/>
          <w:szCs w:val="20"/>
        </w:rPr>
      </w:pPr>
      <w:r>
        <w:rPr>
          <w:rFonts w:hint="eastAsia" w:ascii="Times New Roman" w:hAnsi="Times New Roman"/>
          <w:b w:val="0"/>
          <w:bCs w:val="0"/>
          <w:caps w:val="0"/>
          <w:smallCaps w:val="0"/>
          <w:szCs w:val="20"/>
        </w:rPr>
        <w:t>5</w:t>
      </w:r>
      <w:r>
        <w:rPr>
          <w:rFonts w:hint="eastAsia" w:ascii="Times New Roman" w:hAnsi="Times New Roman" w:cs="Times New Roman"/>
          <w:b w:val="0"/>
          <w:bCs w:val="0"/>
          <w:caps w:val="0"/>
          <w:smallCaps w:val="0"/>
          <w:sz w:val="32"/>
          <w:szCs w:val="20"/>
          <w:lang w:eastAsia="zh-CN"/>
        </w:rPr>
        <w:t>．</w:t>
      </w:r>
      <w:r>
        <w:rPr>
          <w:rFonts w:hint="eastAsia" w:ascii="Times New Roman" w:hAnsi="Times New Roman"/>
          <w:b w:val="0"/>
          <w:bCs w:val="0"/>
          <w:caps w:val="0"/>
          <w:smallCaps w:val="0"/>
          <w:szCs w:val="20"/>
        </w:rPr>
        <w:t>石柱县“十四五”时期消火栓建设规划表</w:t>
      </w:r>
      <w:bookmarkStart w:id="50" w:name="_Toc109989630"/>
    </w:p>
    <w:p>
      <w:pPr>
        <w:kinsoku/>
        <w:wordWrap/>
        <w:overflowPunct/>
        <w:topLinePunct w:val="0"/>
        <w:autoSpaceDE/>
        <w:autoSpaceDN/>
        <w:bidi w:val="0"/>
        <w:adjustRightInd/>
        <w:snapToGrid w:val="0"/>
        <w:spacing w:line="560" w:lineRule="exact"/>
        <w:ind w:left="0" w:leftChars="0" w:firstLine="1580" w:firstLineChars="500"/>
        <w:jc w:val="both"/>
        <w:textAlignment w:val="auto"/>
        <w:rPr>
          <w:rFonts w:hint="default" w:ascii="Times New Roman" w:hAnsi="Times New Roman" w:eastAsia="方正黑体_GBK" w:cs="Times New Roman"/>
          <w:b w:val="0"/>
          <w:bCs w:val="0"/>
          <w:caps w:val="0"/>
          <w:smallCaps w:val="0"/>
          <w:sz w:val="32"/>
          <w:szCs w:val="32"/>
        </w:rPr>
      </w:pPr>
      <w:r>
        <w:rPr>
          <w:rFonts w:hint="eastAsia" w:ascii="Times New Roman" w:hAnsi="Times New Roman" w:eastAsia="方正仿宋_GBK" w:cs="Times New Roman"/>
          <w:b w:val="0"/>
          <w:bCs w:val="0"/>
          <w:caps w:val="0"/>
          <w:smallCaps w:val="0"/>
          <w:sz w:val="32"/>
          <w:szCs w:val="20"/>
        </w:rPr>
        <w:t>6．</w:t>
      </w:r>
      <w:r>
        <w:rPr>
          <w:rFonts w:hint="eastAsia" w:ascii="Times New Roman" w:hAnsi="Times New Roman" w:eastAsia="方正仿宋_GBK" w:cs="Times New Roman"/>
          <w:b w:val="0"/>
          <w:bCs w:val="0"/>
          <w:caps w:val="0"/>
          <w:smallCaps w:val="0"/>
          <w:snapToGrid w:val="0"/>
          <w:spacing w:val="-11"/>
          <w:sz w:val="32"/>
          <w:szCs w:val="20"/>
        </w:rPr>
        <w:t>石柱县“十四五”时期古村古寨消防水池建设规划表</w:t>
      </w:r>
    </w:p>
    <w:p>
      <w:pPr>
        <w:rPr>
          <w:rFonts w:hint="default" w:ascii="Times New Roman" w:hAnsi="Times New Roman" w:eastAsia="方正黑体_GBK" w:cs="Times New Roman"/>
          <w:b w:val="0"/>
          <w:bCs w:val="0"/>
          <w:caps w:val="0"/>
          <w:smallCaps w:val="0"/>
          <w:sz w:val="32"/>
          <w:szCs w:val="32"/>
        </w:rPr>
      </w:pPr>
    </w:p>
    <w:p>
      <w:pPr>
        <w:pStyle w:val="4"/>
        <w:kinsoku/>
        <w:wordWrap/>
        <w:overflowPunct/>
        <w:topLinePunct w:val="0"/>
        <w:autoSpaceDE/>
        <w:autoSpaceDN/>
        <w:bidi w:val="0"/>
        <w:adjustRightInd/>
        <w:snapToGrid w:val="0"/>
        <w:spacing w:beforeLines="0" w:afterLines="0" w:line="560" w:lineRule="exact"/>
        <w:jc w:val="both"/>
        <w:textAlignment w:val="auto"/>
        <w:rPr>
          <w:rFonts w:hint="default" w:ascii="Times New Roman" w:hAnsi="Times New Roman" w:eastAsia="方正黑体_GBK" w:cs="Times New Roman"/>
          <w:b w:val="0"/>
          <w:bCs w:val="0"/>
          <w:caps w:val="0"/>
          <w:smallCaps w:val="0"/>
          <w:sz w:val="32"/>
          <w:szCs w:val="32"/>
        </w:rPr>
      </w:pPr>
      <w:r>
        <w:rPr>
          <w:rFonts w:hint="default" w:ascii="Times New Roman" w:hAnsi="Times New Roman" w:eastAsia="方正黑体_GBK" w:cs="Times New Roman"/>
          <w:b w:val="0"/>
          <w:bCs w:val="0"/>
          <w:caps w:val="0"/>
          <w:smallCaps w:val="0"/>
          <w:sz w:val="32"/>
          <w:szCs w:val="32"/>
        </w:rPr>
        <w:t>附件1</w:t>
      </w:r>
      <w:bookmarkEnd w:id="50"/>
    </w:p>
    <w:p>
      <w:pPr>
        <w:rPr>
          <w:rFonts w:hint="default"/>
        </w:rPr>
      </w:pPr>
    </w:p>
    <w:p>
      <w:pPr>
        <w:pStyle w:val="4"/>
        <w:kinsoku/>
        <w:wordWrap/>
        <w:overflowPunct/>
        <w:topLinePunct w:val="0"/>
        <w:autoSpaceDE/>
        <w:autoSpaceDN/>
        <w:bidi w:val="0"/>
        <w:adjustRightInd/>
        <w:snapToGrid w:val="0"/>
        <w:spacing w:beforeLines="0" w:afterLines="0" w:line="560" w:lineRule="exact"/>
        <w:jc w:val="center"/>
        <w:textAlignment w:val="auto"/>
        <w:rPr>
          <w:rFonts w:hint="eastAsia" w:ascii="Times New Roman" w:hAnsi="Times New Roman"/>
          <w:b w:val="0"/>
          <w:bCs w:val="0"/>
          <w:caps w:val="0"/>
          <w:smallCaps w:val="0"/>
        </w:rPr>
      </w:pPr>
      <w:bookmarkStart w:id="51" w:name="_Toc109989631"/>
      <w:r>
        <w:rPr>
          <w:rFonts w:hint="eastAsia" w:ascii="Times New Roman" w:hAnsi="Times New Roman"/>
          <w:b w:val="0"/>
          <w:bCs w:val="0"/>
          <w:caps w:val="0"/>
          <w:smallCaps w:val="0"/>
        </w:rPr>
        <w:t>石柱县“十四五”时期城市消防站建设规划表</w:t>
      </w:r>
      <w:bookmarkEnd w:id="49"/>
      <w:bookmarkEnd w:id="51"/>
    </w:p>
    <w:p/>
    <w:tbl>
      <w:tblPr>
        <w:tblStyle w:val="31"/>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783"/>
        <w:gridCol w:w="717"/>
        <w:gridCol w:w="631"/>
        <w:gridCol w:w="709"/>
        <w:gridCol w:w="850"/>
        <w:gridCol w:w="3124"/>
        <w:gridCol w:w="103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6"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序号</w:t>
            </w:r>
          </w:p>
        </w:tc>
        <w:tc>
          <w:tcPr>
            <w:tcW w:w="783"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项目名称</w:t>
            </w:r>
          </w:p>
        </w:tc>
        <w:tc>
          <w:tcPr>
            <w:tcW w:w="717"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建设性质</w:t>
            </w:r>
          </w:p>
        </w:tc>
        <w:tc>
          <w:tcPr>
            <w:tcW w:w="63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目标任务</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建设地址</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队站</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类别</w:t>
            </w:r>
          </w:p>
        </w:tc>
        <w:tc>
          <w:tcPr>
            <w:tcW w:w="312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主要建设内容及规模</w:t>
            </w: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计划</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投资</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（万元）</w:t>
            </w:r>
          </w:p>
        </w:tc>
        <w:tc>
          <w:tcPr>
            <w:tcW w:w="896"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416"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783"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财信城消防站</w:t>
            </w:r>
          </w:p>
        </w:tc>
        <w:tc>
          <w:tcPr>
            <w:tcW w:w="717"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新建</w:t>
            </w:r>
          </w:p>
        </w:tc>
        <w:tc>
          <w:tcPr>
            <w:tcW w:w="63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竣工投用</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石柱财信城</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小型消防站</w:t>
            </w:r>
          </w:p>
        </w:tc>
        <w:tc>
          <w:tcPr>
            <w:tcW w:w="312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r>
              <w:rPr>
                <w:rFonts w:ascii="Times New Roman" w:hAnsi="Times New Roman" w:cstheme="minorHAnsi"/>
                <w:b w:val="0"/>
                <w:bCs w:val="0"/>
                <w:caps w:val="0"/>
                <w:smallCaps w:val="0"/>
                <w:kern w:val="0"/>
                <w:sz w:val="21"/>
                <w:szCs w:val="21"/>
              </w:rPr>
              <w:t>023</w:t>
            </w:r>
            <w:r>
              <w:rPr>
                <w:rFonts w:hint="eastAsia" w:ascii="Times New Roman" w:hAnsi="Times New Roman" w:cstheme="minorHAnsi"/>
                <w:b w:val="0"/>
                <w:bCs w:val="0"/>
                <w:caps w:val="0"/>
                <w:smallCaps w:val="0"/>
                <w:kern w:val="0"/>
                <w:sz w:val="21"/>
                <w:szCs w:val="21"/>
              </w:rPr>
              <w:t>年推进石柱财信城小型消防站建设，可与其他建筑合建，建筑面积约1000平方米。应包括消防车库、通讯室、体能训练室、执勤器材库等业务用房。</w:t>
            </w: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1000</w:t>
            </w:r>
          </w:p>
        </w:tc>
        <w:tc>
          <w:tcPr>
            <w:tcW w:w="8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416"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p>
        </w:tc>
        <w:tc>
          <w:tcPr>
            <w:tcW w:w="783"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中益消防救援站</w:t>
            </w:r>
          </w:p>
        </w:tc>
        <w:tc>
          <w:tcPr>
            <w:tcW w:w="717"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新建</w:t>
            </w:r>
          </w:p>
        </w:tc>
        <w:tc>
          <w:tcPr>
            <w:tcW w:w="63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竣工投用</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中益乡</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一级普通消防站</w:t>
            </w:r>
          </w:p>
        </w:tc>
        <w:tc>
          <w:tcPr>
            <w:tcW w:w="312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r>
              <w:rPr>
                <w:rFonts w:ascii="Times New Roman" w:hAnsi="Times New Roman" w:cstheme="minorHAnsi"/>
                <w:b w:val="0"/>
                <w:bCs w:val="0"/>
                <w:caps w:val="0"/>
                <w:smallCaps w:val="0"/>
                <w:kern w:val="0"/>
                <w:sz w:val="21"/>
                <w:szCs w:val="21"/>
              </w:rPr>
              <w:t>024</w:t>
            </w:r>
            <w:r>
              <w:rPr>
                <w:rFonts w:hint="eastAsia" w:ascii="Times New Roman" w:hAnsi="Times New Roman" w:cstheme="minorHAnsi"/>
                <w:b w:val="0"/>
                <w:bCs w:val="0"/>
                <w:caps w:val="0"/>
                <w:smallCaps w:val="0"/>
                <w:kern w:val="0"/>
                <w:sz w:val="21"/>
                <w:szCs w:val="21"/>
              </w:rPr>
              <w:t>年推进中益消防救援站建设。占地面积约6000平方米，总建筑面积约</w:t>
            </w:r>
            <w:r>
              <w:rPr>
                <w:rFonts w:ascii="Times New Roman" w:hAnsi="Times New Roman" w:cstheme="minorHAnsi"/>
                <w:b w:val="0"/>
                <w:bCs w:val="0"/>
                <w:caps w:val="0"/>
                <w:smallCaps w:val="0"/>
                <w:kern w:val="0"/>
                <w:sz w:val="21"/>
                <w:szCs w:val="21"/>
              </w:rPr>
              <w:t>30</w:t>
            </w:r>
            <w:r>
              <w:rPr>
                <w:rFonts w:hint="eastAsia" w:ascii="Times New Roman" w:hAnsi="Times New Roman" w:cstheme="minorHAnsi"/>
                <w:b w:val="0"/>
                <w:bCs w:val="0"/>
                <w:caps w:val="0"/>
                <w:smallCaps w:val="0"/>
                <w:kern w:val="0"/>
                <w:sz w:val="21"/>
                <w:szCs w:val="21"/>
              </w:rPr>
              <w:t>00平方米，建设综合楼、训练塔、门卫室等。</w:t>
            </w: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1800</w:t>
            </w:r>
          </w:p>
        </w:tc>
        <w:tc>
          <w:tcPr>
            <w:tcW w:w="8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416"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ascii="Times New Roman" w:hAnsi="Times New Roman" w:cstheme="minorHAnsi"/>
                <w:b w:val="0"/>
                <w:bCs w:val="0"/>
                <w:caps w:val="0"/>
                <w:smallCaps w:val="0"/>
                <w:kern w:val="0"/>
                <w:sz w:val="21"/>
                <w:szCs w:val="21"/>
              </w:rPr>
              <w:t>3</w:t>
            </w:r>
          </w:p>
        </w:tc>
        <w:tc>
          <w:tcPr>
            <w:tcW w:w="783"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西沱水陆消防站</w:t>
            </w:r>
          </w:p>
        </w:tc>
        <w:tc>
          <w:tcPr>
            <w:tcW w:w="717"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新建</w:t>
            </w:r>
          </w:p>
        </w:tc>
        <w:tc>
          <w:tcPr>
            <w:tcW w:w="63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开工建设</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西沱镇</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水陆合用消防站，陆地等级为一级普通消防站</w:t>
            </w:r>
          </w:p>
        </w:tc>
        <w:tc>
          <w:tcPr>
            <w:tcW w:w="312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r>
              <w:rPr>
                <w:rFonts w:ascii="Times New Roman" w:hAnsi="Times New Roman" w:cstheme="minorHAnsi"/>
                <w:b w:val="0"/>
                <w:bCs w:val="0"/>
                <w:caps w:val="0"/>
                <w:smallCaps w:val="0"/>
                <w:kern w:val="0"/>
                <w:sz w:val="21"/>
                <w:szCs w:val="21"/>
              </w:rPr>
              <w:t>025</w:t>
            </w:r>
            <w:r>
              <w:rPr>
                <w:rFonts w:hint="eastAsia" w:ascii="Times New Roman" w:hAnsi="Times New Roman" w:cstheme="minorHAnsi"/>
                <w:b w:val="0"/>
                <w:bCs w:val="0"/>
                <w:caps w:val="0"/>
                <w:smallCaps w:val="0"/>
                <w:kern w:val="0"/>
                <w:sz w:val="21"/>
                <w:szCs w:val="21"/>
              </w:rPr>
              <w:t>年推进西沱镇在镇区沿江道路选址建设水陆合用消防站，占地面积约6000平方米，总建筑面积约</w:t>
            </w:r>
            <w:r>
              <w:rPr>
                <w:rFonts w:ascii="Times New Roman" w:hAnsi="Times New Roman" w:cstheme="minorHAnsi"/>
                <w:b w:val="0"/>
                <w:bCs w:val="0"/>
                <w:caps w:val="0"/>
                <w:smallCaps w:val="0"/>
                <w:kern w:val="0"/>
                <w:sz w:val="21"/>
                <w:szCs w:val="21"/>
              </w:rPr>
              <w:t>40</w:t>
            </w:r>
            <w:r>
              <w:rPr>
                <w:rFonts w:hint="eastAsia" w:ascii="Times New Roman" w:hAnsi="Times New Roman" w:cstheme="minorHAnsi"/>
                <w:b w:val="0"/>
                <w:bCs w:val="0"/>
                <w:caps w:val="0"/>
                <w:smallCaps w:val="0"/>
                <w:kern w:val="0"/>
                <w:sz w:val="21"/>
                <w:szCs w:val="21"/>
              </w:rPr>
              <w:t>00平方米，建设停靠码头、综合楼、训练塔、门卫室等。配备消防救援艇、消防车等装备。</w:t>
            </w: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ascii="Times New Roman" w:hAnsi="Times New Roman" w:cstheme="minorHAnsi"/>
                <w:b w:val="0"/>
                <w:bCs w:val="0"/>
                <w:caps w:val="0"/>
                <w:smallCaps w:val="0"/>
                <w:kern w:val="0"/>
                <w:sz w:val="21"/>
                <w:szCs w:val="21"/>
              </w:rPr>
              <w:t>25</w:t>
            </w:r>
            <w:r>
              <w:rPr>
                <w:rFonts w:hint="eastAsia" w:ascii="Times New Roman" w:hAnsi="Times New Roman" w:cstheme="minorHAnsi"/>
                <w:b w:val="0"/>
                <w:bCs w:val="0"/>
                <w:caps w:val="0"/>
                <w:smallCaps w:val="0"/>
                <w:kern w:val="0"/>
                <w:sz w:val="21"/>
                <w:szCs w:val="21"/>
              </w:rPr>
              <w:t>00</w:t>
            </w:r>
          </w:p>
        </w:tc>
        <w:tc>
          <w:tcPr>
            <w:tcW w:w="8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416"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4</w:t>
            </w:r>
          </w:p>
        </w:tc>
        <w:tc>
          <w:tcPr>
            <w:tcW w:w="783"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重庆龙河水域救援培训基地</w:t>
            </w:r>
          </w:p>
        </w:tc>
        <w:tc>
          <w:tcPr>
            <w:tcW w:w="717"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新建</w:t>
            </w:r>
          </w:p>
        </w:tc>
        <w:tc>
          <w:tcPr>
            <w:tcW w:w="63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研究论证</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三河镇</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重庆龙河水域救援培训基地和一级普通消防站</w:t>
            </w:r>
          </w:p>
        </w:tc>
        <w:tc>
          <w:tcPr>
            <w:tcW w:w="312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开展重庆龙河水域救援培训基地研究论证。总占地面积约30亩，总建筑面积约15000平方米。建设游泳池、综合楼、培训楼、停车场、连接道路及其他室外训练附属设施。依托龙河流域先天条件，对部分河道进行改造，具备激流、平湖、漩涡流、翻滚流、回流湾、桥降等模拟训练环境。</w:t>
            </w:r>
          </w:p>
        </w:tc>
        <w:tc>
          <w:tcPr>
            <w:tcW w:w="103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9000</w:t>
            </w:r>
          </w:p>
        </w:tc>
        <w:tc>
          <w:tcPr>
            <w:tcW w:w="8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水域救援培训基地与消防站合建</w:t>
            </w:r>
          </w:p>
        </w:tc>
      </w:tr>
    </w:tbl>
    <w:p>
      <w:pPr>
        <w:pStyle w:val="4"/>
        <w:kinsoku/>
        <w:wordWrap/>
        <w:overflowPunct/>
        <w:topLinePunct w:val="0"/>
        <w:autoSpaceDE/>
        <w:autoSpaceDN/>
        <w:bidi w:val="0"/>
        <w:adjustRightInd/>
        <w:snapToGrid w:val="0"/>
        <w:spacing w:beforeLines="0" w:afterLines="0" w:line="560" w:lineRule="exact"/>
        <w:jc w:val="both"/>
        <w:textAlignment w:val="auto"/>
        <w:rPr>
          <w:rFonts w:hint="default" w:ascii="Times New Roman" w:hAnsi="Times New Roman" w:eastAsia="方正黑体_GBK" w:cs="Times New Roman"/>
          <w:b w:val="0"/>
          <w:bCs w:val="0"/>
          <w:caps w:val="0"/>
          <w:smallCaps w:val="0"/>
          <w:sz w:val="32"/>
          <w:szCs w:val="32"/>
        </w:rPr>
      </w:pPr>
      <w:bookmarkStart w:id="52" w:name="_Toc109989632"/>
      <w:bookmarkStart w:id="53" w:name="_Toc100577331"/>
      <w:r>
        <w:rPr>
          <w:rFonts w:hint="eastAsia" w:ascii="Times New Roman" w:hAnsi="Times New Roman" w:eastAsia="方正黑体_GBK" w:cs="Times New Roman"/>
          <w:b w:val="0"/>
          <w:bCs w:val="0"/>
          <w:caps w:val="0"/>
          <w:smallCaps w:val="0"/>
          <w:sz w:val="32"/>
          <w:szCs w:val="32"/>
        </w:rPr>
        <w:t>附件</w:t>
      </w:r>
      <w:r>
        <w:rPr>
          <w:rFonts w:hint="default" w:ascii="Times New Roman" w:hAnsi="Times New Roman" w:eastAsia="方正黑体_GBK" w:cs="Times New Roman"/>
          <w:b w:val="0"/>
          <w:bCs w:val="0"/>
          <w:caps w:val="0"/>
          <w:smallCaps w:val="0"/>
          <w:sz w:val="32"/>
          <w:szCs w:val="32"/>
        </w:rPr>
        <w:t>2</w:t>
      </w:r>
      <w:bookmarkEnd w:id="52"/>
    </w:p>
    <w:p>
      <w:pPr>
        <w:rPr>
          <w:rFonts w:hint="default"/>
        </w:rPr>
      </w:pPr>
    </w:p>
    <w:p>
      <w:pPr>
        <w:pStyle w:val="4"/>
        <w:kinsoku/>
        <w:wordWrap/>
        <w:overflowPunct/>
        <w:topLinePunct w:val="0"/>
        <w:autoSpaceDE/>
        <w:autoSpaceDN/>
        <w:bidi w:val="0"/>
        <w:adjustRightInd/>
        <w:snapToGrid w:val="0"/>
        <w:spacing w:beforeLines="0" w:afterLines="0" w:line="560" w:lineRule="exact"/>
        <w:jc w:val="center"/>
        <w:textAlignment w:val="auto"/>
        <w:rPr>
          <w:rFonts w:hint="eastAsia" w:ascii="Times New Roman" w:hAnsi="Times New Roman"/>
          <w:b w:val="0"/>
          <w:bCs w:val="0"/>
          <w:caps w:val="0"/>
          <w:smallCaps w:val="0"/>
        </w:rPr>
      </w:pPr>
      <w:bookmarkStart w:id="54" w:name="_Toc109989633"/>
      <w:r>
        <w:rPr>
          <w:rFonts w:hint="eastAsia" w:ascii="Times New Roman" w:hAnsi="Times New Roman"/>
          <w:b w:val="0"/>
          <w:bCs w:val="0"/>
          <w:caps w:val="0"/>
          <w:smallCaps w:val="0"/>
        </w:rPr>
        <w:t>石柱县“十四五”时期乡镇专职消防队建设规划表</w:t>
      </w:r>
      <w:bookmarkEnd w:id="53"/>
      <w:bookmarkEnd w:id="54"/>
    </w:p>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933"/>
        <w:gridCol w:w="705"/>
        <w:gridCol w:w="844"/>
        <w:gridCol w:w="774"/>
        <w:gridCol w:w="930"/>
        <w:gridCol w:w="2477"/>
        <w:gridCol w:w="1084"/>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序号</w:t>
            </w:r>
          </w:p>
        </w:tc>
        <w:tc>
          <w:tcPr>
            <w:tcW w:w="51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项目</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名称</w:t>
            </w:r>
          </w:p>
        </w:tc>
        <w:tc>
          <w:tcPr>
            <w:tcW w:w="389"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建设性质</w:t>
            </w:r>
          </w:p>
        </w:tc>
        <w:tc>
          <w:tcPr>
            <w:tcW w:w="46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目标</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任务</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建设地址</w:t>
            </w:r>
          </w:p>
        </w:tc>
        <w:tc>
          <w:tcPr>
            <w:tcW w:w="513" w:type="pct"/>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队站</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类别</w:t>
            </w:r>
          </w:p>
        </w:tc>
        <w:tc>
          <w:tcPr>
            <w:tcW w:w="136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主要建设内容及规模</w:t>
            </w:r>
          </w:p>
        </w:tc>
        <w:tc>
          <w:tcPr>
            <w:tcW w:w="598"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0"/>
                <w:szCs w:val="20"/>
              </w:rPr>
            </w:pPr>
            <w:r>
              <w:rPr>
                <w:rFonts w:hint="eastAsia" w:ascii="方正黑体_GBK" w:hAnsi="方正黑体_GBK" w:eastAsia="方正黑体_GBK" w:cs="方正黑体_GBK"/>
                <w:b w:val="0"/>
                <w:bCs w:val="0"/>
                <w:caps w:val="0"/>
                <w:smallCaps w:val="0"/>
                <w:kern w:val="0"/>
                <w:sz w:val="20"/>
                <w:szCs w:val="20"/>
              </w:rPr>
              <w:t>计划投资（万元）</w:t>
            </w:r>
          </w:p>
        </w:tc>
        <w:tc>
          <w:tcPr>
            <w:tcW w:w="47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0"/>
                <w:szCs w:val="20"/>
              </w:rPr>
            </w:pPr>
            <w:r>
              <w:rPr>
                <w:rFonts w:hint="eastAsia" w:ascii="方正黑体_GBK" w:hAnsi="方正黑体_GBK" w:eastAsia="方正黑体_GBK" w:cs="方正黑体_GBK"/>
                <w:b w:val="0"/>
                <w:bCs w:val="0"/>
                <w:caps w:val="0"/>
                <w:smallCaps w:val="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251"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51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金铃政府专职消防队</w:t>
            </w:r>
          </w:p>
        </w:tc>
        <w:tc>
          <w:tcPr>
            <w:tcW w:w="389"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新建</w:t>
            </w:r>
          </w:p>
        </w:tc>
        <w:tc>
          <w:tcPr>
            <w:tcW w:w="46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竣工</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投用</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金铃乡</w:t>
            </w:r>
          </w:p>
        </w:tc>
        <w:tc>
          <w:tcPr>
            <w:tcW w:w="513" w:type="pct"/>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二级乡镇专职消防队</w:t>
            </w:r>
          </w:p>
        </w:tc>
        <w:tc>
          <w:tcPr>
            <w:tcW w:w="136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r>
              <w:rPr>
                <w:rFonts w:ascii="Times New Roman" w:hAnsi="Times New Roman" w:cstheme="minorHAnsi"/>
                <w:b w:val="0"/>
                <w:bCs w:val="0"/>
                <w:caps w:val="0"/>
                <w:smallCaps w:val="0"/>
                <w:kern w:val="0"/>
                <w:sz w:val="21"/>
                <w:szCs w:val="21"/>
              </w:rPr>
              <w:t>023</w:t>
            </w:r>
            <w:r>
              <w:rPr>
                <w:rFonts w:hint="eastAsia" w:ascii="Times New Roman" w:hAnsi="Times New Roman" w:cstheme="minorHAnsi"/>
                <w:b w:val="0"/>
                <w:bCs w:val="0"/>
                <w:caps w:val="0"/>
                <w:smallCaps w:val="0"/>
                <w:kern w:val="0"/>
                <w:sz w:val="21"/>
                <w:szCs w:val="21"/>
              </w:rPr>
              <w:t>年建设金铃</w:t>
            </w:r>
            <w:r>
              <w:rPr>
                <w:rFonts w:hint="eastAsia" w:ascii="Times New Roman" w:hAnsi="Times New Roman" w:cstheme="minorHAnsi"/>
                <w:b w:val="0"/>
                <w:bCs w:val="0"/>
                <w:caps w:val="0"/>
                <w:smallCaps w:val="0"/>
                <w:kern w:val="0"/>
                <w:sz w:val="21"/>
                <w:szCs w:val="21"/>
                <w:lang w:eastAsia="zh-CN"/>
              </w:rPr>
              <w:t>乡</w:t>
            </w:r>
            <w:r>
              <w:rPr>
                <w:rFonts w:hint="eastAsia" w:ascii="Times New Roman" w:hAnsi="Times New Roman" w:cstheme="minorHAnsi"/>
                <w:b w:val="0"/>
                <w:bCs w:val="0"/>
                <w:caps w:val="0"/>
                <w:smallCaps w:val="0"/>
                <w:kern w:val="0"/>
                <w:sz w:val="21"/>
                <w:szCs w:val="21"/>
              </w:rPr>
              <w:t>政府专职消防队。占地面积约840平方米，建筑面积约500平方米，建设综合楼、室外训练场等。按标准配备消防装备</w:t>
            </w:r>
          </w:p>
        </w:tc>
        <w:tc>
          <w:tcPr>
            <w:tcW w:w="598"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宋体"/>
                <w:b w:val="0"/>
                <w:bCs w:val="0"/>
                <w:caps w:val="0"/>
                <w:smallCaps w:val="0"/>
                <w:kern w:val="0"/>
                <w:sz w:val="20"/>
                <w:szCs w:val="20"/>
              </w:rPr>
            </w:pPr>
            <w:r>
              <w:rPr>
                <w:rFonts w:hint="eastAsia" w:ascii="Times New Roman" w:hAnsi="Times New Roman" w:cs="宋体"/>
                <w:b w:val="0"/>
                <w:bCs w:val="0"/>
                <w:caps w:val="0"/>
                <w:smallCaps w:val="0"/>
                <w:kern w:val="0"/>
                <w:sz w:val="20"/>
                <w:szCs w:val="20"/>
              </w:rPr>
              <w:t>1000</w:t>
            </w:r>
          </w:p>
        </w:tc>
        <w:tc>
          <w:tcPr>
            <w:tcW w:w="475" w:type="pct"/>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宋体"/>
                <w:b w:val="0"/>
                <w:bCs w:val="0"/>
                <w:caps w:val="0"/>
                <w:smallCaps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251"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p>
        </w:tc>
        <w:tc>
          <w:tcPr>
            <w:tcW w:w="51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洗新政府专职消防队</w:t>
            </w:r>
          </w:p>
        </w:tc>
        <w:tc>
          <w:tcPr>
            <w:tcW w:w="389"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新建</w:t>
            </w:r>
          </w:p>
        </w:tc>
        <w:tc>
          <w:tcPr>
            <w:tcW w:w="46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竣工</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投用</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洗新乡</w:t>
            </w:r>
          </w:p>
        </w:tc>
        <w:tc>
          <w:tcPr>
            <w:tcW w:w="513" w:type="pct"/>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二级乡镇专职消防队</w:t>
            </w:r>
          </w:p>
        </w:tc>
        <w:tc>
          <w:tcPr>
            <w:tcW w:w="136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r>
              <w:rPr>
                <w:rFonts w:ascii="Times New Roman" w:hAnsi="Times New Roman" w:cstheme="minorHAnsi"/>
                <w:b w:val="0"/>
                <w:bCs w:val="0"/>
                <w:caps w:val="0"/>
                <w:smallCaps w:val="0"/>
                <w:kern w:val="0"/>
                <w:sz w:val="21"/>
                <w:szCs w:val="21"/>
              </w:rPr>
              <w:t>024</w:t>
            </w:r>
            <w:r>
              <w:rPr>
                <w:rFonts w:hint="eastAsia" w:ascii="Times New Roman" w:hAnsi="Times New Roman" w:cstheme="minorHAnsi"/>
                <w:b w:val="0"/>
                <w:bCs w:val="0"/>
                <w:caps w:val="0"/>
                <w:smallCaps w:val="0"/>
                <w:kern w:val="0"/>
                <w:sz w:val="21"/>
                <w:szCs w:val="21"/>
              </w:rPr>
              <w:t>年建设洗新</w:t>
            </w:r>
            <w:r>
              <w:rPr>
                <w:rFonts w:hint="eastAsia" w:ascii="Times New Roman" w:hAnsi="Times New Roman" w:cstheme="minorHAnsi"/>
                <w:b w:val="0"/>
                <w:bCs w:val="0"/>
                <w:caps w:val="0"/>
                <w:smallCaps w:val="0"/>
                <w:kern w:val="0"/>
                <w:sz w:val="21"/>
                <w:szCs w:val="21"/>
                <w:lang w:eastAsia="zh-CN"/>
              </w:rPr>
              <w:t>乡</w:t>
            </w:r>
            <w:r>
              <w:rPr>
                <w:rFonts w:hint="eastAsia" w:ascii="Times New Roman" w:hAnsi="Times New Roman" w:cstheme="minorHAnsi"/>
                <w:b w:val="0"/>
                <w:bCs w:val="0"/>
                <w:caps w:val="0"/>
                <w:smallCaps w:val="0"/>
                <w:kern w:val="0"/>
                <w:sz w:val="21"/>
                <w:szCs w:val="21"/>
              </w:rPr>
              <w:t>政府专职消防队。占地面积约840平方米，建筑面积约500平方米，建设综合楼、室外训练场等。按标准配备消防装备</w:t>
            </w:r>
          </w:p>
        </w:tc>
        <w:tc>
          <w:tcPr>
            <w:tcW w:w="598"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宋体"/>
                <w:b w:val="0"/>
                <w:bCs w:val="0"/>
                <w:caps w:val="0"/>
                <w:smallCaps w:val="0"/>
                <w:kern w:val="0"/>
                <w:sz w:val="20"/>
                <w:szCs w:val="20"/>
              </w:rPr>
            </w:pPr>
            <w:r>
              <w:rPr>
                <w:rFonts w:hint="eastAsia" w:ascii="Times New Roman" w:hAnsi="Times New Roman" w:cs="宋体"/>
                <w:b w:val="0"/>
                <w:bCs w:val="0"/>
                <w:caps w:val="0"/>
                <w:smallCaps w:val="0"/>
                <w:kern w:val="0"/>
                <w:sz w:val="20"/>
                <w:szCs w:val="20"/>
              </w:rPr>
              <w:t>1000</w:t>
            </w:r>
          </w:p>
        </w:tc>
        <w:tc>
          <w:tcPr>
            <w:tcW w:w="475" w:type="pct"/>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宋体"/>
                <w:b w:val="0"/>
                <w:bCs w:val="0"/>
                <w:caps w:val="0"/>
                <w:smallCaps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251"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w:t>
            </w:r>
          </w:p>
        </w:tc>
        <w:tc>
          <w:tcPr>
            <w:tcW w:w="515"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马武政府专职消防队</w:t>
            </w:r>
          </w:p>
        </w:tc>
        <w:tc>
          <w:tcPr>
            <w:tcW w:w="389"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新建</w:t>
            </w:r>
          </w:p>
        </w:tc>
        <w:tc>
          <w:tcPr>
            <w:tcW w:w="466"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竣工</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投用</w:t>
            </w:r>
          </w:p>
        </w:tc>
        <w:tc>
          <w:tcPr>
            <w:tcW w:w="42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马武镇</w:t>
            </w:r>
          </w:p>
        </w:tc>
        <w:tc>
          <w:tcPr>
            <w:tcW w:w="513" w:type="pct"/>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二级乡镇专职消防队</w:t>
            </w:r>
          </w:p>
        </w:tc>
        <w:tc>
          <w:tcPr>
            <w:tcW w:w="1367"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r>
              <w:rPr>
                <w:rFonts w:ascii="Times New Roman" w:hAnsi="Times New Roman" w:cstheme="minorHAnsi"/>
                <w:b w:val="0"/>
                <w:bCs w:val="0"/>
                <w:caps w:val="0"/>
                <w:smallCaps w:val="0"/>
                <w:kern w:val="0"/>
                <w:sz w:val="21"/>
                <w:szCs w:val="21"/>
              </w:rPr>
              <w:t>025</w:t>
            </w:r>
            <w:r>
              <w:rPr>
                <w:rFonts w:hint="eastAsia" w:ascii="Times New Roman" w:hAnsi="Times New Roman" w:cstheme="minorHAnsi"/>
                <w:b w:val="0"/>
                <w:bCs w:val="0"/>
                <w:caps w:val="0"/>
                <w:smallCaps w:val="0"/>
                <w:kern w:val="0"/>
                <w:sz w:val="21"/>
                <w:szCs w:val="21"/>
              </w:rPr>
              <w:t>年建设马武</w:t>
            </w:r>
            <w:r>
              <w:rPr>
                <w:rFonts w:hint="eastAsia" w:ascii="Times New Roman" w:hAnsi="Times New Roman" w:cstheme="minorHAnsi"/>
                <w:b w:val="0"/>
                <w:bCs w:val="0"/>
                <w:caps w:val="0"/>
                <w:smallCaps w:val="0"/>
                <w:kern w:val="0"/>
                <w:sz w:val="21"/>
                <w:szCs w:val="21"/>
                <w:lang w:eastAsia="zh-CN"/>
              </w:rPr>
              <w:t>镇</w:t>
            </w:r>
            <w:r>
              <w:rPr>
                <w:rFonts w:hint="eastAsia" w:ascii="Times New Roman" w:hAnsi="Times New Roman" w:cstheme="minorHAnsi"/>
                <w:b w:val="0"/>
                <w:bCs w:val="0"/>
                <w:caps w:val="0"/>
                <w:smallCaps w:val="0"/>
                <w:kern w:val="0"/>
                <w:sz w:val="21"/>
                <w:szCs w:val="21"/>
              </w:rPr>
              <w:t>政府专职消防队。占地面积约840平方米，建筑面积约500平方米，建设综合楼、室外训练场等。按标准配备消防装备</w:t>
            </w:r>
          </w:p>
        </w:tc>
        <w:tc>
          <w:tcPr>
            <w:tcW w:w="598" w:type="pct"/>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宋体"/>
                <w:b w:val="0"/>
                <w:bCs w:val="0"/>
                <w:caps w:val="0"/>
                <w:smallCaps w:val="0"/>
                <w:kern w:val="0"/>
                <w:sz w:val="20"/>
                <w:szCs w:val="20"/>
              </w:rPr>
            </w:pPr>
            <w:r>
              <w:rPr>
                <w:rFonts w:hint="eastAsia" w:ascii="Times New Roman" w:hAnsi="Times New Roman" w:cs="宋体"/>
                <w:b w:val="0"/>
                <w:bCs w:val="0"/>
                <w:caps w:val="0"/>
                <w:smallCaps w:val="0"/>
                <w:kern w:val="0"/>
                <w:sz w:val="20"/>
                <w:szCs w:val="20"/>
              </w:rPr>
              <w:t>1000</w:t>
            </w:r>
          </w:p>
        </w:tc>
        <w:tc>
          <w:tcPr>
            <w:tcW w:w="475" w:type="pct"/>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both"/>
              <w:textAlignment w:val="auto"/>
              <w:rPr>
                <w:rFonts w:ascii="Times New Roman" w:hAnsi="Times New Roman" w:cs="宋体"/>
                <w:b w:val="0"/>
                <w:bCs w:val="0"/>
                <w:caps w:val="0"/>
                <w:smallCaps w:val="0"/>
                <w:kern w:val="0"/>
                <w:sz w:val="22"/>
              </w:rPr>
            </w:pP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szCs w:val="20"/>
        </w:rPr>
      </w:pPr>
      <w:bookmarkStart w:id="55" w:name="_Toc109989634"/>
      <w:bookmarkStart w:id="56" w:name="_Toc100577332"/>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szCs w:val="20"/>
        </w:rPr>
      </w:pPr>
    </w:p>
    <w:p>
      <w:pPr>
        <w:pStyle w:val="4"/>
        <w:pageBreakBefore w:val="0"/>
        <w:widowControl w:val="0"/>
        <w:kinsoku/>
        <w:wordWrap/>
        <w:overflowPunct/>
        <w:topLinePunct w:val="0"/>
        <w:autoSpaceDE/>
        <w:autoSpaceDN/>
        <w:bidi w:val="0"/>
        <w:adjustRightInd/>
        <w:snapToGrid w:val="0"/>
        <w:spacing w:beforeLines="0" w:afterLines="0" w:line="560" w:lineRule="exact"/>
        <w:jc w:val="both"/>
        <w:textAlignment w:val="auto"/>
        <w:rPr>
          <w:rFonts w:hint="eastAsia" w:ascii="Times New Roman" w:hAnsi="Times New Roman" w:eastAsia="方正黑体_GBK" w:cs="Times New Roman"/>
          <w:b w:val="0"/>
          <w:bCs w:val="0"/>
          <w:caps w:val="0"/>
          <w:smallCaps w:val="0"/>
          <w:sz w:val="32"/>
          <w:szCs w:val="32"/>
        </w:rPr>
      </w:pPr>
      <w:r>
        <w:rPr>
          <w:rFonts w:hint="eastAsia" w:ascii="Times New Roman" w:hAnsi="Times New Roman" w:eastAsia="方正黑体_GBK" w:cs="Times New Roman"/>
          <w:b w:val="0"/>
          <w:bCs w:val="0"/>
          <w:caps w:val="0"/>
          <w:smallCaps w:val="0"/>
          <w:sz w:val="32"/>
          <w:szCs w:val="32"/>
        </w:rPr>
        <w:t>附件3</w:t>
      </w:r>
      <w:bookmarkEnd w:id="55"/>
    </w:p>
    <w:p>
      <w:pPr>
        <w:pageBreakBefore w:val="0"/>
        <w:widowControl w:val="0"/>
        <w:kinsoku/>
        <w:wordWrap/>
        <w:overflowPunct/>
        <w:topLinePunct w:val="0"/>
        <w:autoSpaceDE/>
        <w:autoSpaceDN/>
        <w:bidi w:val="0"/>
        <w:adjustRightInd/>
        <w:snapToGrid w:val="0"/>
        <w:spacing w:line="560" w:lineRule="exact"/>
        <w:textAlignment w:val="auto"/>
        <w:rPr>
          <w:rFonts w:hint="eastAsia"/>
        </w:rPr>
      </w:pPr>
    </w:p>
    <w:p>
      <w:pPr>
        <w:pStyle w:val="4"/>
        <w:kinsoku/>
        <w:wordWrap/>
        <w:overflowPunct/>
        <w:topLinePunct w:val="0"/>
        <w:autoSpaceDE/>
        <w:autoSpaceDN/>
        <w:bidi w:val="0"/>
        <w:adjustRightInd/>
        <w:snapToGrid w:val="0"/>
        <w:spacing w:beforeLines="0" w:afterLines="0" w:line="560" w:lineRule="exact"/>
        <w:jc w:val="center"/>
        <w:textAlignment w:val="auto"/>
        <w:rPr>
          <w:rFonts w:hint="eastAsia" w:ascii="Times New Roman" w:hAnsi="Times New Roman"/>
          <w:b w:val="0"/>
          <w:bCs w:val="0"/>
          <w:caps w:val="0"/>
          <w:smallCaps w:val="0"/>
        </w:rPr>
      </w:pPr>
      <w:bookmarkStart w:id="57" w:name="_Toc109989635"/>
      <w:r>
        <w:rPr>
          <w:rFonts w:hint="eastAsia" w:ascii="Times New Roman" w:hAnsi="Times New Roman"/>
          <w:b w:val="0"/>
          <w:bCs w:val="0"/>
          <w:caps w:val="0"/>
          <w:smallCaps w:val="0"/>
        </w:rPr>
        <w:t>石柱县“十四五”时期消防执勤车辆装备建设规划表</w:t>
      </w:r>
      <w:bookmarkEnd w:id="56"/>
      <w:bookmarkEnd w:id="57"/>
    </w:p>
    <w:p>
      <w:pPr>
        <w:rPr>
          <w:rFonts w:hint="eastAsia"/>
        </w:rPr>
      </w:pPr>
    </w:p>
    <w:tbl>
      <w:tblPr>
        <w:tblStyle w:val="31"/>
        <w:tblW w:w="5099"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0" w:type="dxa"/>
          <w:bottom w:w="0" w:type="dxa"/>
          <w:right w:w="0" w:type="dxa"/>
        </w:tblCellMar>
      </w:tblPr>
      <w:tblGrid>
        <w:gridCol w:w="288"/>
        <w:gridCol w:w="482"/>
        <w:gridCol w:w="580"/>
        <w:gridCol w:w="580"/>
        <w:gridCol w:w="620"/>
        <w:gridCol w:w="602"/>
        <w:gridCol w:w="664"/>
        <w:gridCol w:w="580"/>
        <w:gridCol w:w="580"/>
        <w:gridCol w:w="580"/>
        <w:gridCol w:w="580"/>
        <w:gridCol w:w="591"/>
        <w:gridCol w:w="580"/>
        <w:gridCol w:w="582"/>
        <w:gridCol w:w="587"/>
        <w:gridCol w:w="60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blHeader/>
          <w:jc w:val="center"/>
        </w:trPr>
        <w:tc>
          <w:tcPr>
            <w:tcW w:w="159" w:type="pct"/>
            <w:vMerge w:val="restar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单位</w:t>
            </w:r>
          </w:p>
        </w:tc>
        <w:tc>
          <w:tcPr>
            <w:tcW w:w="265" w:type="pct"/>
            <w:vMerge w:val="restar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年度</w:t>
            </w:r>
          </w:p>
        </w:tc>
        <w:tc>
          <w:tcPr>
            <w:tcW w:w="979" w:type="pct"/>
            <w:gridSpan w:val="3"/>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灭火类</w:t>
            </w:r>
          </w:p>
        </w:tc>
        <w:tc>
          <w:tcPr>
            <w:tcW w:w="696" w:type="pct"/>
            <w:gridSpan w:val="2"/>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举高类</w:t>
            </w:r>
          </w:p>
        </w:tc>
        <w:tc>
          <w:tcPr>
            <w:tcW w:w="1601" w:type="pct"/>
            <w:gridSpan w:val="5"/>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专勤类</w:t>
            </w:r>
          </w:p>
        </w:tc>
        <w:tc>
          <w:tcPr>
            <w:tcW w:w="962" w:type="pct"/>
            <w:gridSpan w:val="3"/>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保障类</w:t>
            </w:r>
          </w:p>
        </w:tc>
        <w:tc>
          <w:tcPr>
            <w:tcW w:w="335" w:type="pct"/>
            <w:vMerge w:val="restar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经费</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估算</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blHeader/>
          <w:jc w:val="center"/>
        </w:trPr>
        <w:tc>
          <w:tcPr>
            <w:tcW w:w="159" w:type="pct"/>
            <w:vMerge w:val="continue"/>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p>
        </w:tc>
        <w:tc>
          <w:tcPr>
            <w:tcW w:w="265" w:type="pct"/>
            <w:vMerge w:val="continue"/>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p>
        </w:tc>
        <w:tc>
          <w:tcPr>
            <w:tcW w:w="319"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水罐车（台）</w:t>
            </w:r>
          </w:p>
        </w:tc>
        <w:tc>
          <w:tcPr>
            <w:tcW w:w="319"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泡沫车（台）</w:t>
            </w:r>
          </w:p>
        </w:tc>
        <w:tc>
          <w:tcPr>
            <w:tcW w:w="340"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压缩空气泡沫车（台）</w:t>
            </w:r>
          </w:p>
        </w:tc>
        <w:tc>
          <w:tcPr>
            <w:tcW w:w="331"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登高平台或云梯车（台）</w:t>
            </w:r>
          </w:p>
        </w:tc>
        <w:tc>
          <w:tcPr>
            <w:tcW w:w="364"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高喷车（台）</w:t>
            </w:r>
          </w:p>
        </w:tc>
        <w:tc>
          <w:tcPr>
            <w:tcW w:w="319"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抢险救援车（台）</w:t>
            </w:r>
          </w:p>
        </w:tc>
        <w:tc>
          <w:tcPr>
            <w:tcW w:w="319"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排烟或照明车（台）</w:t>
            </w:r>
          </w:p>
        </w:tc>
        <w:tc>
          <w:tcPr>
            <w:tcW w:w="319"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化救或洗消车（台）</w:t>
            </w:r>
          </w:p>
        </w:tc>
        <w:tc>
          <w:tcPr>
            <w:tcW w:w="319"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通信指挥车（台）</w:t>
            </w:r>
          </w:p>
        </w:tc>
        <w:tc>
          <w:tcPr>
            <w:tcW w:w="322"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工程</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机械</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（台）</w:t>
            </w:r>
          </w:p>
        </w:tc>
        <w:tc>
          <w:tcPr>
            <w:tcW w:w="319"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远程供水或排涝车（台）</w:t>
            </w:r>
          </w:p>
        </w:tc>
        <w:tc>
          <w:tcPr>
            <w:tcW w:w="320"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自装卸（模块）车（台）</w:t>
            </w:r>
          </w:p>
        </w:tc>
        <w:tc>
          <w:tcPr>
            <w:tcW w:w="322" w:type="pct"/>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r>
              <w:rPr>
                <w:rFonts w:hint="eastAsia" w:ascii="方正黑体_GBK" w:hAnsi="方正黑体_GBK" w:eastAsia="方正黑体_GBK" w:cs="方正黑体_GBK"/>
                <w:b w:val="0"/>
                <w:bCs w:val="0"/>
                <w:caps w:val="0"/>
                <w:smallCaps w:val="0"/>
                <w:spacing w:val="-8"/>
                <w:sz w:val="16"/>
                <w:szCs w:val="16"/>
              </w:rPr>
              <w:t>保障车（台）</w:t>
            </w:r>
          </w:p>
        </w:tc>
        <w:tc>
          <w:tcPr>
            <w:tcW w:w="335" w:type="pct"/>
            <w:vMerge w:val="continue"/>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spacing w:val="-8"/>
                <w:sz w:val="16"/>
                <w:szCs w:val="16"/>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57" w:hRule="atLeast"/>
          <w:jc w:val="center"/>
        </w:trPr>
        <w:tc>
          <w:tcPr>
            <w:tcW w:w="159" w:type="pct"/>
            <w:vMerge w:val="restar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石柱县</w:t>
            </w:r>
          </w:p>
        </w:tc>
        <w:tc>
          <w:tcPr>
            <w:tcW w:w="265"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2021</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4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31"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64"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35" w:type="pc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57" w:hRule="atLeast"/>
          <w:jc w:val="center"/>
        </w:trPr>
        <w:tc>
          <w:tcPr>
            <w:tcW w:w="159" w:type="pct"/>
            <w:vMerge w:val="continue"/>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p>
        </w:tc>
        <w:tc>
          <w:tcPr>
            <w:tcW w:w="265"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2022</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4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31"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64"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1</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2</w:t>
            </w:r>
          </w:p>
        </w:tc>
        <w:tc>
          <w:tcPr>
            <w:tcW w:w="335" w:type="pc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700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57" w:hRule="atLeast"/>
          <w:jc w:val="center"/>
        </w:trPr>
        <w:tc>
          <w:tcPr>
            <w:tcW w:w="159" w:type="pct"/>
            <w:vMerge w:val="continue"/>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p>
        </w:tc>
        <w:tc>
          <w:tcPr>
            <w:tcW w:w="265"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2023</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4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31"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64"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35" w:type="pc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57" w:hRule="atLeast"/>
          <w:jc w:val="center"/>
        </w:trPr>
        <w:tc>
          <w:tcPr>
            <w:tcW w:w="159" w:type="pct"/>
            <w:vMerge w:val="continue"/>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p>
        </w:tc>
        <w:tc>
          <w:tcPr>
            <w:tcW w:w="265"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2024</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1</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4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31"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64"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35" w:type="pc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200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57" w:hRule="atLeast"/>
          <w:jc w:val="center"/>
        </w:trPr>
        <w:tc>
          <w:tcPr>
            <w:tcW w:w="159" w:type="pct"/>
            <w:vMerge w:val="continue"/>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p>
        </w:tc>
        <w:tc>
          <w:tcPr>
            <w:tcW w:w="265"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2025</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1</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4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31"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64"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19"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0"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22" w:type="pct"/>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w:t>
            </w:r>
          </w:p>
        </w:tc>
        <w:tc>
          <w:tcPr>
            <w:tcW w:w="335" w:type="pct"/>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center"/>
              <w:textAlignment w:val="auto"/>
              <w:rPr>
                <w:rFonts w:ascii="Times New Roman" w:hAnsi="Times New Roman" w:cstheme="minorHAnsi"/>
                <w:b w:val="0"/>
                <w:bCs w:val="0"/>
                <w:caps w:val="0"/>
                <w:smallCaps w:val="0"/>
                <w:sz w:val="16"/>
                <w:szCs w:val="16"/>
              </w:rPr>
            </w:pPr>
            <w:r>
              <w:rPr>
                <w:rFonts w:hint="eastAsia" w:ascii="Times New Roman" w:hAnsi="Times New Roman" w:cstheme="minorHAnsi"/>
                <w:b w:val="0"/>
                <w:bCs w:val="0"/>
                <w:caps w:val="0"/>
                <w:smallCaps w:val="0"/>
                <w:sz w:val="16"/>
                <w:szCs w:val="16"/>
              </w:rPr>
              <w:t>100</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bookmarkStart w:id="58" w:name="_Toc109989636"/>
      <w:bookmarkStart w:id="59" w:name="_Toc100577333"/>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仿宋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default" w:ascii="Times New Roman" w:hAnsi="Times New Roman" w:eastAsia="方正黑体_GBK" w:cs="Times New Roman"/>
          <w:b w:val="0"/>
          <w:bCs w:val="0"/>
          <w:caps w:val="0"/>
          <w:smallCaps w:val="0"/>
          <w:sz w:val="32"/>
          <w:szCs w:val="20"/>
        </w:rPr>
      </w:pPr>
      <w:r>
        <w:rPr>
          <w:rFonts w:hint="default" w:ascii="Times New Roman" w:hAnsi="Times New Roman" w:eastAsia="方正黑体_GBK" w:cs="Times New Roman"/>
          <w:b w:val="0"/>
          <w:bCs w:val="0"/>
          <w:caps w:val="0"/>
          <w:smallCaps w:val="0"/>
          <w:sz w:val="32"/>
          <w:szCs w:val="20"/>
        </w:rPr>
        <w:t>附件4</w:t>
      </w:r>
      <w:bookmarkEnd w:id="58"/>
    </w:p>
    <w:p>
      <w:pPr>
        <w:pStyle w:val="4"/>
        <w:kinsoku/>
        <w:wordWrap/>
        <w:overflowPunct/>
        <w:topLinePunct w:val="0"/>
        <w:autoSpaceDE/>
        <w:autoSpaceDN/>
        <w:bidi w:val="0"/>
        <w:adjustRightInd/>
        <w:snapToGrid w:val="0"/>
        <w:spacing w:beforeLines="0" w:afterLines="0" w:line="560" w:lineRule="exact"/>
        <w:jc w:val="both"/>
        <w:textAlignment w:val="auto"/>
        <w:rPr>
          <w:rFonts w:hint="eastAsia" w:ascii="Times New Roman" w:hAnsi="Times New Roman"/>
          <w:b w:val="0"/>
          <w:bCs w:val="0"/>
          <w:caps w:val="0"/>
          <w:smallCaps w:val="0"/>
        </w:rPr>
      </w:pPr>
      <w:bookmarkStart w:id="60" w:name="_Toc109989637"/>
    </w:p>
    <w:p>
      <w:pPr>
        <w:pStyle w:val="4"/>
        <w:kinsoku/>
        <w:wordWrap/>
        <w:overflowPunct/>
        <w:topLinePunct w:val="0"/>
        <w:autoSpaceDE/>
        <w:autoSpaceDN/>
        <w:bidi w:val="0"/>
        <w:adjustRightInd/>
        <w:snapToGrid w:val="0"/>
        <w:spacing w:beforeLines="0" w:afterLines="0" w:line="560" w:lineRule="exact"/>
        <w:jc w:val="center"/>
        <w:textAlignment w:val="auto"/>
        <w:rPr>
          <w:rFonts w:hint="eastAsia" w:ascii="Times New Roman" w:hAnsi="Times New Roman"/>
          <w:b w:val="0"/>
          <w:bCs w:val="0"/>
          <w:caps w:val="0"/>
          <w:smallCaps w:val="0"/>
        </w:rPr>
      </w:pPr>
      <w:r>
        <w:rPr>
          <w:rFonts w:hint="eastAsia" w:ascii="Times New Roman" w:hAnsi="Times New Roman"/>
          <w:b w:val="0"/>
          <w:bCs w:val="0"/>
          <w:caps w:val="0"/>
          <w:smallCaps w:val="0"/>
        </w:rPr>
        <w:t>石柱县“十四五”时期政府专职消防员招录规划表</w:t>
      </w:r>
      <w:bookmarkEnd w:id="59"/>
      <w:bookmarkEnd w:id="60"/>
    </w:p>
    <w:p/>
    <w:tbl>
      <w:tblPr>
        <w:tblStyle w:val="31"/>
        <w:tblW w:w="4925"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1638"/>
        <w:gridCol w:w="1320"/>
        <w:gridCol w:w="1184"/>
        <w:gridCol w:w="1184"/>
        <w:gridCol w:w="1312"/>
        <w:gridCol w:w="1121"/>
        <w:gridCol w:w="112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blHeader/>
          <w:jc w:val="center"/>
        </w:trPr>
        <w:tc>
          <w:tcPr>
            <w:tcW w:w="922"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单  位</w:t>
            </w:r>
          </w:p>
        </w:tc>
        <w:tc>
          <w:tcPr>
            <w:tcW w:w="743"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数量（人）</w:t>
            </w:r>
          </w:p>
        </w:tc>
        <w:tc>
          <w:tcPr>
            <w:tcW w:w="666"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2021年</w:t>
            </w:r>
          </w:p>
        </w:tc>
        <w:tc>
          <w:tcPr>
            <w:tcW w:w="666"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2022年</w:t>
            </w:r>
          </w:p>
        </w:tc>
        <w:tc>
          <w:tcPr>
            <w:tcW w:w="7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2023年</w:t>
            </w:r>
          </w:p>
        </w:tc>
        <w:tc>
          <w:tcPr>
            <w:tcW w:w="631"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2024年</w:t>
            </w:r>
          </w:p>
        </w:tc>
        <w:tc>
          <w:tcPr>
            <w:tcW w:w="630"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2025年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jc w:val="center"/>
        </w:trPr>
        <w:tc>
          <w:tcPr>
            <w:tcW w:w="922"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w:t>
            </w:r>
          </w:p>
        </w:tc>
        <w:tc>
          <w:tcPr>
            <w:tcW w:w="743"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80</w:t>
            </w:r>
          </w:p>
        </w:tc>
        <w:tc>
          <w:tcPr>
            <w:tcW w:w="666"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666"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10</w:t>
            </w:r>
          </w:p>
        </w:tc>
        <w:tc>
          <w:tcPr>
            <w:tcW w:w="7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631"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w:t>
            </w:r>
          </w:p>
        </w:tc>
        <w:tc>
          <w:tcPr>
            <w:tcW w:w="630"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pStyle w:val="4"/>
        <w:kinsoku/>
        <w:wordWrap/>
        <w:overflowPunct/>
        <w:topLinePunct w:val="0"/>
        <w:autoSpaceDE/>
        <w:autoSpaceDN/>
        <w:bidi w:val="0"/>
        <w:adjustRightInd/>
        <w:snapToGrid w:val="0"/>
        <w:spacing w:beforeLines="0" w:afterLines="0" w:line="560" w:lineRule="exact"/>
        <w:ind w:left="0" w:leftChars="0" w:firstLine="712" w:firstLineChars="200"/>
        <w:jc w:val="both"/>
        <w:textAlignment w:val="auto"/>
        <w:rPr>
          <w:rFonts w:hint="eastAsia" w:ascii="Times New Roman" w:hAnsi="Times New Roman"/>
          <w:b w:val="0"/>
          <w:bCs w:val="0"/>
          <w:caps w:val="0"/>
          <w:smallCaps w:val="0"/>
        </w:rPr>
      </w:pPr>
      <w:bookmarkStart w:id="61" w:name="_Toc109989638"/>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eastAsia="方正黑体_GBK" w:cs="Times New Roman"/>
          <w:b w:val="0"/>
          <w:bCs w:val="0"/>
          <w:caps w:val="0"/>
          <w:smallCaps w:val="0"/>
          <w:sz w:val="32"/>
          <w:szCs w:val="2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default" w:ascii="Times New Roman" w:hAnsi="Times New Roman" w:eastAsia="方正黑体_GBK" w:cs="Times New Roman"/>
          <w:b w:val="0"/>
          <w:bCs w:val="0"/>
          <w:caps w:val="0"/>
          <w:smallCaps w:val="0"/>
          <w:sz w:val="32"/>
          <w:szCs w:val="20"/>
        </w:rPr>
      </w:pPr>
      <w:r>
        <w:rPr>
          <w:rFonts w:hint="eastAsia" w:ascii="Times New Roman" w:hAnsi="Times New Roman" w:eastAsia="方正黑体_GBK" w:cs="Times New Roman"/>
          <w:b w:val="0"/>
          <w:bCs w:val="0"/>
          <w:caps w:val="0"/>
          <w:smallCaps w:val="0"/>
          <w:sz w:val="32"/>
          <w:szCs w:val="20"/>
        </w:rPr>
        <w:t>附件</w:t>
      </w:r>
      <w:r>
        <w:rPr>
          <w:rFonts w:hint="default" w:ascii="Times New Roman" w:hAnsi="Times New Roman" w:eastAsia="方正黑体_GBK" w:cs="Times New Roman"/>
          <w:b w:val="0"/>
          <w:bCs w:val="0"/>
          <w:caps w:val="0"/>
          <w:smallCaps w:val="0"/>
          <w:sz w:val="32"/>
          <w:szCs w:val="20"/>
        </w:rPr>
        <w:t>5</w:t>
      </w:r>
      <w:bookmarkEnd w:id="61"/>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pStyle w:val="4"/>
        <w:kinsoku/>
        <w:wordWrap/>
        <w:overflowPunct/>
        <w:topLinePunct w:val="0"/>
        <w:autoSpaceDE/>
        <w:autoSpaceDN/>
        <w:bidi w:val="0"/>
        <w:adjustRightInd/>
        <w:snapToGrid w:val="0"/>
        <w:spacing w:beforeLines="0" w:afterLines="0" w:line="560" w:lineRule="exact"/>
        <w:jc w:val="center"/>
        <w:textAlignment w:val="auto"/>
        <w:rPr>
          <w:rFonts w:hint="eastAsia" w:ascii="Times New Roman" w:hAnsi="Times New Roman"/>
          <w:b w:val="0"/>
          <w:bCs w:val="0"/>
          <w:caps w:val="0"/>
          <w:smallCaps w:val="0"/>
        </w:rPr>
      </w:pPr>
      <w:bookmarkStart w:id="62" w:name="_Toc109989639"/>
      <w:r>
        <w:rPr>
          <w:rFonts w:hint="eastAsia" w:ascii="Times New Roman" w:hAnsi="Times New Roman"/>
          <w:b w:val="0"/>
          <w:bCs w:val="0"/>
          <w:caps w:val="0"/>
          <w:smallCaps w:val="0"/>
        </w:rPr>
        <w:t>石柱县“十四五”时期消火栓建设规划表</w:t>
      </w:r>
      <w:bookmarkEnd w:id="62"/>
    </w:p>
    <w:p>
      <w:pPr>
        <w:rPr>
          <w:rFonts w:hint="eastAsia"/>
        </w:rPr>
      </w:pPr>
    </w:p>
    <w:tbl>
      <w:tblPr>
        <w:tblStyle w:val="31"/>
        <w:tblW w:w="4943"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3402"/>
        <w:gridCol w:w="672"/>
        <w:gridCol w:w="993"/>
        <w:gridCol w:w="959"/>
        <w:gridCol w:w="954"/>
        <w:gridCol w:w="977"/>
        <w:gridCol w:w="95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blHeader/>
          <w:jc w:val="center"/>
        </w:trPr>
        <w:tc>
          <w:tcPr>
            <w:tcW w:w="190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类别</w:t>
            </w:r>
          </w:p>
        </w:tc>
        <w:tc>
          <w:tcPr>
            <w:tcW w:w="37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合计</w:t>
            </w:r>
          </w:p>
        </w:tc>
        <w:tc>
          <w:tcPr>
            <w:tcW w:w="55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2021年</w:t>
            </w:r>
          </w:p>
        </w:tc>
        <w:tc>
          <w:tcPr>
            <w:tcW w:w="5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2022年</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2023年</w:t>
            </w:r>
          </w:p>
        </w:tc>
        <w:tc>
          <w:tcPr>
            <w:tcW w:w="54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2024年</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default" w:ascii="Times New Roman" w:hAnsi="Times New Roman" w:eastAsia="方正黑体_GBK" w:cs="Times New Roman"/>
                <w:b w:val="0"/>
                <w:bCs w:val="0"/>
                <w:caps w:val="0"/>
                <w:smallCaps w:val="0"/>
                <w:kern w:val="0"/>
                <w:sz w:val="21"/>
                <w:szCs w:val="21"/>
              </w:rPr>
            </w:pPr>
            <w:r>
              <w:rPr>
                <w:rFonts w:hint="default" w:ascii="Times New Roman" w:hAnsi="Times New Roman" w:eastAsia="方正黑体_GBK" w:cs="Times New Roman"/>
                <w:b w:val="0"/>
                <w:bCs w:val="0"/>
                <w:caps w:val="0"/>
                <w:smallCaps w:val="0"/>
                <w:kern w:val="0"/>
                <w:sz w:val="21"/>
                <w:szCs w:val="21"/>
              </w:rPr>
              <w:t>2025年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8" w:hRule="atLeast"/>
          <w:jc w:val="center"/>
        </w:trPr>
        <w:tc>
          <w:tcPr>
            <w:tcW w:w="190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石柱城区消火栓建设数量（个）</w:t>
            </w:r>
          </w:p>
        </w:tc>
        <w:tc>
          <w:tcPr>
            <w:tcW w:w="37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19</w:t>
            </w:r>
          </w:p>
        </w:tc>
        <w:tc>
          <w:tcPr>
            <w:tcW w:w="55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8</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w:t>
            </w:r>
          </w:p>
        </w:tc>
        <w:tc>
          <w:tcPr>
            <w:tcW w:w="54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8" w:hRule="atLeast"/>
          <w:jc w:val="center"/>
        </w:trPr>
        <w:tc>
          <w:tcPr>
            <w:tcW w:w="190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下路街道消火栓建设数量（个）</w:t>
            </w:r>
          </w:p>
        </w:tc>
        <w:tc>
          <w:tcPr>
            <w:tcW w:w="37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w:t>
            </w:r>
          </w:p>
        </w:tc>
        <w:tc>
          <w:tcPr>
            <w:tcW w:w="55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4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8" w:hRule="atLeast"/>
          <w:jc w:val="center"/>
        </w:trPr>
        <w:tc>
          <w:tcPr>
            <w:tcW w:w="190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三河镇消火栓建设数量（个）</w:t>
            </w:r>
          </w:p>
        </w:tc>
        <w:tc>
          <w:tcPr>
            <w:tcW w:w="37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w:t>
            </w:r>
          </w:p>
        </w:tc>
        <w:tc>
          <w:tcPr>
            <w:tcW w:w="55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w:t>
            </w:r>
          </w:p>
        </w:tc>
        <w:tc>
          <w:tcPr>
            <w:tcW w:w="54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8" w:hRule="atLeast"/>
          <w:jc w:val="center"/>
        </w:trPr>
        <w:tc>
          <w:tcPr>
            <w:tcW w:w="190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西沱镇消火栓建设数量（个）</w:t>
            </w:r>
          </w:p>
        </w:tc>
        <w:tc>
          <w:tcPr>
            <w:tcW w:w="37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13</w:t>
            </w:r>
          </w:p>
        </w:tc>
        <w:tc>
          <w:tcPr>
            <w:tcW w:w="55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w:t>
            </w:r>
          </w:p>
        </w:tc>
        <w:tc>
          <w:tcPr>
            <w:tcW w:w="54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8" w:hRule="atLeast"/>
          <w:jc w:val="center"/>
        </w:trPr>
        <w:tc>
          <w:tcPr>
            <w:tcW w:w="190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黄水镇消火栓建设数量（个）</w:t>
            </w:r>
          </w:p>
        </w:tc>
        <w:tc>
          <w:tcPr>
            <w:tcW w:w="37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40</w:t>
            </w:r>
          </w:p>
        </w:tc>
        <w:tc>
          <w:tcPr>
            <w:tcW w:w="55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15</w:t>
            </w:r>
          </w:p>
        </w:tc>
        <w:tc>
          <w:tcPr>
            <w:tcW w:w="54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10</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8" w:hRule="atLeast"/>
          <w:jc w:val="center"/>
        </w:trPr>
        <w:tc>
          <w:tcPr>
            <w:tcW w:w="190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马武镇消火栓建设数量（个）</w:t>
            </w:r>
          </w:p>
        </w:tc>
        <w:tc>
          <w:tcPr>
            <w:tcW w:w="37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10</w:t>
            </w:r>
          </w:p>
        </w:tc>
        <w:tc>
          <w:tcPr>
            <w:tcW w:w="55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w:t>
            </w:r>
          </w:p>
        </w:tc>
        <w:tc>
          <w:tcPr>
            <w:tcW w:w="54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39" w:hRule="atLeast"/>
          <w:jc w:val="center"/>
        </w:trPr>
        <w:tc>
          <w:tcPr>
            <w:tcW w:w="190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合计</w:t>
            </w:r>
          </w:p>
        </w:tc>
        <w:tc>
          <w:tcPr>
            <w:tcW w:w="37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105</w:t>
            </w:r>
          </w:p>
        </w:tc>
        <w:tc>
          <w:tcPr>
            <w:tcW w:w="55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13</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31</w:t>
            </w:r>
          </w:p>
        </w:tc>
        <w:tc>
          <w:tcPr>
            <w:tcW w:w="54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31</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39" w:hRule="atLeast"/>
          <w:jc w:val="center"/>
        </w:trPr>
        <w:tc>
          <w:tcPr>
            <w:tcW w:w="190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经费估算（万元）</w:t>
            </w:r>
          </w:p>
        </w:tc>
        <w:tc>
          <w:tcPr>
            <w:tcW w:w="37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244</w:t>
            </w:r>
          </w:p>
        </w:tc>
        <w:tc>
          <w:tcPr>
            <w:tcW w:w="557"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0</w:t>
            </w:r>
          </w:p>
        </w:tc>
        <w:tc>
          <w:tcPr>
            <w:tcW w:w="53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72</w:t>
            </w:r>
          </w:p>
        </w:tc>
        <w:tc>
          <w:tcPr>
            <w:tcW w:w="548"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72</w:t>
            </w:r>
          </w:p>
        </w:tc>
        <w:tc>
          <w:tcPr>
            <w:tcW w:w="535" w:type="pct"/>
            <w:tcMar>
              <w:top w:w="57" w:type="dxa"/>
              <w:left w:w="85" w:type="dxa"/>
              <w:bottom w:w="57" w:type="dxa"/>
              <w:right w:w="85" w:type="dxa"/>
            </w:tcMar>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70</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pStyle w:val="2"/>
        <w:kinsoku/>
        <w:wordWrap/>
        <w:overflowPunct/>
        <w:topLinePunct w:val="0"/>
        <w:autoSpaceDE/>
        <w:autoSpaceDN/>
        <w:bidi w:val="0"/>
        <w:adjustRightInd/>
        <w:snapToGrid w:val="0"/>
        <w:spacing w:before="0" w:after="0"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lang w:val="en-US" w:eastAsia="zh-CN"/>
        </w:rPr>
      </w:pPr>
      <w:bookmarkStart w:id="63" w:name="_Toc109989640"/>
    </w:p>
    <w:p>
      <w:pPr>
        <w:kinsoku/>
        <w:wordWrap/>
        <w:overflowPunct/>
        <w:topLinePunct w:val="0"/>
        <w:autoSpaceDE/>
        <w:autoSpaceDN/>
        <w:bidi w:val="0"/>
        <w:adjustRightInd/>
        <w:snapToGrid w:val="0"/>
        <w:spacing w:line="560" w:lineRule="exact"/>
        <w:ind w:left="0" w:leftChars="0" w:firstLine="632" w:firstLineChars="200"/>
        <w:jc w:val="both"/>
        <w:textAlignment w:val="auto"/>
        <w:rPr>
          <w:rFonts w:hint="eastAsia" w:ascii="Times New Roman" w:hAnsi="Times New Roman"/>
          <w:b w:val="0"/>
          <w:bCs w:val="0"/>
          <w:caps w:val="0"/>
          <w:smallCaps w:val="0"/>
          <w:lang w:val="en-US" w:eastAsia="zh-CN"/>
        </w:rPr>
      </w:pPr>
    </w:p>
    <w:p>
      <w:pPr>
        <w:pStyle w:val="4"/>
        <w:kinsoku/>
        <w:wordWrap/>
        <w:overflowPunct/>
        <w:topLinePunct w:val="0"/>
        <w:autoSpaceDE/>
        <w:autoSpaceDN/>
        <w:bidi w:val="0"/>
        <w:adjustRightInd/>
        <w:snapToGrid w:val="0"/>
        <w:spacing w:beforeLines="0" w:afterLines="0" w:line="560" w:lineRule="exact"/>
        <w:jc w:val="both"/>
        <w:textAlignment w:val="auto"/>
        <w:rPr>
          <w:rFonts w:hint="default" w:ascii="Times New Roman" w:hAnsi="Times New Roman" w:eastAsia="方正黑体_GBK" w:cs="Times New Roman"/>
          <w:b w:val="0"/>
          <w:bCs w:val="0"/>
          <w:caps w:val="0"/>
          <w:smallCaps w:val="0"/>
          <w:kern w:val="2"/>
          <w:sz w:val="32"/>
          <w:szCs w:val="20"/>
          <w:lang w:val="en-US" w:eastAsia="zh-CN" w:bidi="ar-SA"/>
        </w:rPr>
      </w:pPr>
      <w:r>
        <w:rPr>
          <w:rFonts w:hint="eastAsia" w:ascii="Times New Roman" w:hAnsi="Times New Roman" w:eastAsia="方正黑体_GBK" w:cs="Times New Roman"/>
          <w:b w:val="0"/>
          <w:bCs w:val="0"/>
          <w:caps w:val="0"/>
          <w:smallCaps w:val="0"/>
          <w:kern w:val="2"/>
          <w:sz w:val="32"/>
          <w:szCs w:val="20"/>
          <w:lang w:val="en-US" w:eastAsia="zh-CN" w:bidi="ar-SA"/>
        </w:rPr>
        <w:t>附件</w:t>
      </w:r>
      <w:r>
        <w:rPr>
          <w:rFonts w:hint="default" w:ascii="Times New Roman" w:hAnsi="Times New Roman" w:eastAsia="方正黑体_GBK" w:cs="Times New Roman"/>
          <w:b w:val="0"/>
          <w:bCs w:val="0"/>
          <w:caps w:val="0"/>
          <w:smallCaps w:val="0"/>
          <w:kern w:val="2"/>
          <w:sz w:val="32"/>
          <w:szCs w:val="20"/>
          <w:lang w:val="en-US" w:eastAsia="zh-CN" w:bidi="ar-SA"/>
        </w:rPr>
        <w:t>6</w:t>
      </w:r>
      <w:bookmarkEnd w:id="63"/>
    </w:p>
    <w:p>
      <w:pPr>
        <w:pStyle w:val="4"/>
        <w:kinsoku/>
        <w:wordWrap/>
        <w:overflowPunct/>
        <w:topLinePunct w:val="0"/>
        <w:autoSpaceDE/>
        <w:autoSpaceDN/>
        <w:bidi w:val="0"/>
        <w:adjustRightInd/>
        <w:snapToGrid w:val="0"/>
        <w:spacing w:beforeLines="0" w:afterLines="0" w:line="560" w:lineRule="exact"/>
        <w:jc w:val="both"/>
        <w:textAlignment w:val="auto"/>
        <w:rPr>
          <w:rFonts w:hint="default" w:ascii="Times New Roman" w:hAnsi="Times New Roman" w:eastAsia="方正黑体_GBK" w:cs="Times New Roman"/>
          <w:b w:val="0"/>
          <w:bCs w:val="0"/>
          <w:caps w:val="0"/>
          <w:smallCaps w:val="0"/>
          <w:kern w:val="2"/>
          <w:sz w:val="32"/>
          <w:szCs w:val="20"/>
          <w:lang w:val="en-US" w:eastAsia="zh-CN" w:bidi="ar-SA"/>
        </w:rPr>
      </w:pPr>
    </w:p>
    <w:p>
      <w:pPr>
        <w:pStyle w:val="4"/>
        <w:kinsoku/>
        <w:wordWrap/>
        <w:overflowPunct/>
        <w:topLinePunct w:val="0"/>
        <w:autoSpaceDE/>
        <w:autoSpaceDN/>
        <w:bidi w:val="0"/>
        <w:adjustRightInd/>
        <w:snapToGrid w:val="0"/>
        <w:spacing w:beforeLines="0" w:afterLines="0" w:line="560" w:lineRule="exact"/>
        <w:jc w:val="center"/>
        <w:textAlignment w:val="auto"/>
        <w:rPr>
          <w:rFonts w:hint="eastAsia" w:ascii="Times New Roman" w:hAnsi="Times New Roman"/>
          <w:b w:val="0"/>
          <w:bCs w:val="0"/>
          <w:caps w:val="0"/>
          <w:smallCaps w:val="0"/>
        </w:rPr>
      </w:pPr>
      <w:bookmarkStart w:id="64" w:name="_Toc109989641"/>
      <w:r>
        <w:rPr>
          <w:rFonts w:hint="eastAsia" w:ascii="Times New Roman" w:hAnsi="Times New Roman"/>
          <w:b w:val="0"/>
          <w:bCs w:val="0"/>
          <w:caps w:val="0"/>
          <w:smallCaps w:val="0"/>
        </w:rPr>
        <w:t>石柱县“十四五”时期古村古寨消防水池建设规划表</w:t>
      </w:r>
      <w:bookmarkEnd w:id="64"/>
    </w:p>
    <w:p>
      <w:pPr>
        <w:rPr>
          <w:rFonts w:hint="eastAsia"/>
        </w:rPr>
      </w:pPr>
    </w:p>
    <w:tbl>
      <w:tblPr>
        <w:tblStyle w:val="31"/>
        <w:tblW w:w="4949" w:type="pct"/>
        <w:jc w:val="center"/>
        <w:tblLayout w:type="autofit"/>
        <w:tblCellMar>
          <w:top w:w="0" w:type="dxa"/>
          <w:left w:w="108" w:type="dxa"/>
          <w:bottom w:w="0" w:type="dxa"/>
          <w:right w:w="108" w:type="dxa"/>
        </w:tblCellMar>
      </w:tblPr>
      <w:tblGrid>
        <w:gridCol w:w="667"/>
        <w:gridCol w:w="4968"/>
        <w:gridCol w:w="1240"/>
        <w:gridCol w:w="1235"/>
        <w:gridCol w:w="858"/>
      </w:tblGrid>
      <w:tr>
        <w:tblPrEx>
          <w:tblCellMar>
            <w:top w:w="0" w:type="dxa"/>
            <w:left w:w="108" w:type="dxa"/>
            <w:bottom w:w="0" w:type="dxa"/>
            <w:right w:w="108" w:type="dxa"/>
          </w:tblCellMar>
        </w:tblPrEx>
        <w:trPr>
          <w:trHeight w:val="630" w:hRule="atLeast"/>
          <w:jc w:val="center"/>
        </w:trPr>
        <w:tc>
          <w:tcPr>
            <w:tcW w:w="3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序号</w:t>
            </w:r>
          </w:p>
        </w:tc>
        <w:tc>
          <w:tcPr>
            <w:tcW w:w="27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古村古寨名称</w:t>
            </w:r>
          </w:p>
        </w:tc>
        <w:tc>
          <w:tcPr>
            <w:tcW w:w="69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建设数量（个）</w:t>
            </w:r>
          </w:p>
        </w:tc>
        <w:tc>
          <w:tcPr>
            <w:tcW w:w="68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经费估算（万元）</w:t>
            </w:r>
          </w:p>
        </w:tc>
        <w:tc>
          <w:tcPr>
            <w:tcW w:w="47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建设</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方正黑体_GBK" w:hAnsi="方正黑体_GBK" w:eastAsia="方正黑体_GBK" w:cs="方正黑体_GBK"/>
                <w:b w:val="0"/>
                <w:bCs w:val="0"/>
                <w:caps w:val="0"/>
                <w:smallCaps w:val="0"/>
                <w:kern w:val="0"/>
                <w:sz w:val="21"/>
                <w:szCs w:val="21"/>
              </w:rPr>
            </w:pPr>
            <w:r>
              <w:rPr>
                <w:rFonts w:hint="eastAsia" w:ascii="方正黑体_GBK" w:hAnsi="方正黑体_GBK" w:eastAsia="方正黑体_GBK" w:cs="方正黑体_GBK"/>
                <w:b w:val="0"/>
                <w:bCs w:val="0"/>
                <w:caps w:val="0"/>
                <w:smallCaps w:val="0"/>
                <w:kern w:val="0"/>
                <w:sz w:val="21"/>
                <w:szCs w:val="21"/>
              </w:rPr>
              <w:t>时期</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石柱县石家乡黄龙村</w:t>
            </w:r>
          </w:p>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（历史文化名村）（少数民族村寨）</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石柱县黄水镇金花村（国家级传统村落）</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石柱县金竹乡上升村（市级传统村落）</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4</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石柱县龙潭乡木坪村（市级传统村落）</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5</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石柱县黄鹤镇山河村（市级传统村落）</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6</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石柱县三益乡大堡村（市级传统村落）</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7</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石柱县王家乡光华村（市级传统村落）</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8</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石柱县沙子镇桃园村（市级传统村落）</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9</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石柱县新乐乡红河村（市级传统村落）</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10</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石柱县新乐乡阳光村（市级传统村落）</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30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11</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石柱县三益乡大堡村（少数民族村寨）</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69"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12</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石柱县王家乡光华村锣田大院（少数民族村寨）</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7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13</w:t>
            </w:r>
          </w:p>
        </w:tc>
        <w:tc>
          <w:tcPr>
            <w:tcW w:w="276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石柱县洗新乡丰田村（少数民族村寨）</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2022</w:t>
            </w:r>
          </w:p>
        </w:tc>
      </w:tr>
      <w:tr>
        <w:tblPrEx>
          <w:tblCellMar>
            <w:top w:w="0" w:type="dxa"/>
            <w:left w:w="108" w:type="dxa"/>
            <w:bottom w:w="0" w:type="dxa"/>
            <w:right w:w="108" w:type="dxa"/>
          </w:tblCellMar>
        </w:tblPrEx>
        <w:trPr>
          <w:trHeight w:val="270" w:hRule="atLeast"/>
          <w:jc w:val="center"/>
        </w:trPr>
        <w:tc>
          <w:tcPr>
            <w:tcW w:w="314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合计</w:t>
            </w:r>
          </w:p>
        </w:tc>
        <w:tc>
          <w:tcPr>
            <w:tcW w:w="691"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13</w:t>
            </w:r>
          </w:p>
        </w:tc>
        <w:tc>
          <w:tcPr>
            <w:tcW w:w="68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400</w:t>
            </w:r>
          </w:p>
        </w:tc>
        <w:tc>
          <w:tcPr>
            <w:tcW w:w="478"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spacing w:line="360" w:lineRule="exact"/>
              <w:ind w:left="0" w:leftChars="0" w:firstLine="0" w:firstLineChars="0"/>
              <w:jc w:val="center"/>
              <w:textAlignment w:val="auto"/>
              <w:rPr>
                <w:rFonts w:hint="eastAsia" w:ascii="Times New Roman" w:hAnsi="Times New Roman" w:cstheme="minorHAnsi"/>
                <w:b w:val="0"/>
                <w:bCs w:val="0"/>
                <w:caps w:val="0"/>
                <w:smallCaps w:val="0"/>
                <w:kern w:val="0"/>
                <w:sz w:val="21"/>
                <w:szCs w:val="21"/>
              </w:rPr>
            </w:pPr>
            <w:r>
              <w:rPr>
                <w:rFonts w:hint="eastAsia" w:ascii="Times New Roman" w:hAnsi="Times New Roman" w:cstheme="minorHAnsi"/>
                <w:b w:val="0"/>
                <w:bCs w:val="0"/>
                <w:caps w:val="0"/>
                <w:smallCaps w:val="0"/>
                <w:kern w:val="0"/>
                <w:sz w:val="21"/>
                <w:szCs w:val="21"/>
              </w:rPr>
              <w:t>——</w:t>
            </w:r>
          </w:p>
        </w:tc>
      </w:tr>
    </w:tbl>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ascii="Times New Roman" w:hAnsi="Times New Roman"/>
          <w:b w:val="0"/>
          <w:bCs w:val="0"/>
          <w:caps w:val="0"/>
          <w:smallCaps w:val="0"/>
        </w:rPr>
      </w:pPr>
    </w:p>
    <w:p>
      <w:pPr>
        <w:pStyle w:val="2"/>
        <w:rPr>
          <w:rFonts w:ascii="Times New Roman" w:hAnsi="Times New Roman"/>
          <w:b w:val="0"/>
          <w:bCs w:val="0"/>
          <w:caps w:val="0"/>
          <w:smallCaps w:val="0"/>
        </w:rPr>
      </w:pPr>
    </w:p>
    <w:p>
      <w:pPr>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632" w:firstLineChars="200"/>
        <w:jc w:val="both"/>
        <w:textAlignment w:val="auto"/>
        <w:rPr>
          <w:rFonts w:ascii="Times New Roman" w:hAnsi="Times New Roman"/>
          <w:b w:val="0"/>
          <w:bCs w:val="0"/>
          <w:caps w:val="0"/>
          <w:smallCaps w:val="0"/>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b w:val="0"/>
          <w:bCs w:val="0"/>
          <w:caps w:val="0"/>
          <w:smallCaps w:val="0"/>
          <w:sz w:val="28"/>
          <w:szCs w:val="28"/>
          <w:lang w:val="en-US" w:eastAsia="zh-CN"/>
        </w:rPr>
      </w:pPr>
    </w:p>
    <w:p>
      <w:pPr>
        <w:kinsoku/>
        <w:wordWrap/>
        <w:overflowPunct/>
        <w:topLinePunct w:val="0"/>
        <w:autoSpaceDE/>
        <w:autoSpaceDN/>
        <w:bidi w:val="0"/>
        <w:adjustRightInd/>
        <w:snapToGrid w:val="0"/>
        <w:spacing w:line="560" w:lineRule="exact"/>
        <w:ind w:left="0" w:leftChars="0" w:firstLine="0" w:firstLineChars="0"/>
        <w:jc w:val="both"/>
        <w:textAlignment w:val="auto"/>
        <w:rPr>
          <w:rFonts w:hint="eastAsia" w:ascii="Times New Roman" w:hAnsi="Times New Roman"/>
          <w:b w:val="0"/>
          <w:bCs w:val="0"/>
          <w:caps w:val="0"/>
          <w:smallCaps w:val="0"/>
          <w:sz w:val="28"/>
          <w:szCs w:val="28"/>
          <w:lang w:val="en-US" w:eastAsia="zh-CN"/>
        </w:rPr>
      </w:pPr>
    </w:p>
    <w:p>
      <w:pPr>
        <w:pBdr>
          <w:top w:val="single" w:color="auto" w:sz="4" w:space="0"/>
          <w:bottom w:val="single" w:color="auto" w:sz="4" w:space="0"/>
        </w:pBdr>
        <w:kinsoku/>
        <w:wordWrap/>
        <w:overflowPunct/>
        <w:topLinePunct w:val="0"/>
        <w:autoSpaceDE/>
        <w:autoSpaceDN/>
        <w:bidi w:val="0"/>
        <w:adjustRightInd/>
        <w:snapToGrid w:val="0"/>
        <w:spacing w:line="560" w:lineRule="exact"/>
        <w:ind w:left="0" w:leftChars="0" w:firstLine="0" w:firstLineChars="0"/>
        <w:jc w:val="both"/>
        <w:textAlignment w:val="auto"/>
        <w:rPr>
          <w:rFonts w:hint="default" w:ascii="Times New Roman" w:hAnsi="Times New Roman" w:eastAsia="方正仿宋_GBK"/>
          <w:b w:val="0"/>
          <w:bCs w:val="0"/>
          <w:caps w:val="0"/>
          <w:smallCaps w:val="0"/>
          <w:sz w:val="28"/>
          <w:szCs w:val="28"/>
          <w:lang w:val="en-US" w:eastAsia="zh-CN"/>
        </w:rPr>
      </w:pPr>
      <w:r>
        <w:rPr>
          <w:rFonts w:hint="eastAsia" w:ascii="Times New Roman" w:hAnsi="Times New Roman"/>
          <w:b w:val="0"/>
          <w:bCs w:val="0"/>
          <w:caps w:val="0"/>
          <w:smallCaps w:val="0"/>
          <w:sz w:val="28"/>
          <w:szCs w:val="28"/>
          <w:lang w:val="en-US" w:eastAsia="zh-CN"/>
        </w:rPr>
        <w:t xml:space="preserve">  石柱土家族自治县人民政府办公室           2022年8月12日印发  </w:t>
      </w:r>
    </w:p>
    <w:sectPr>
      <w:headerReference r:id="rId9" w:type="first"/>
      <w:footerReference r:id="rId12" w:type="first"/>
      <w:headerReference r:id="rId8" w:type="default"/>
      <w:footerReference r:id="rId10" w:type="default"/>
      <w:footerReference r:id="rId11" w:type="even"/>
      <w:type w:val="continuous"/>
      <w:pgSz w:w="11906" w:h="16838"/>
      <w:pgMar w:top="2098" w:right="1531" w:bottom="1984" w:left="1531" w:header="851" w:footer="1446" w:gutter="0"/>
      <w:pgNumType w:start="2"/>
      <w:cols w:space="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经典粗宋简">
    <w:altName w:val="方正书宋_GBK"/>
    <w:panose1 w:val="00000000000000000000"/>
    <w:charset w:val="00"/>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ordWrap w:val="0"/>
      <w:jc w:val="right"/>
      <w:rPr>
        <w:rFonts w:hint="eastAsia" w:ascii="方正仿宋_GBK" w:hAnsi="宋体" w:eastAsia="方正仿宋_GBK"/>
        <w:sz w:val="28"/>
        <w:szCs w:val="28"/>
        <w:lang w:eastAsia="zh-CN"/>
      </w:rPr>
    </w:pPr>
    <w:r>
      <w:rPr>
        <w:rFonts w:hint="eastAsia" w:ascii="方正仿宋_GBK" w:hAnsi="宋体" w:eastAsia="方正仿宋_GBK"/>
        <w:sz w:val="28"/>
        <w:szCs w:val="28"/>
      </w:rPr>
      <w:t xml:space="preserve">  —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zh-CN"/>
      </w:rPr>
      <w:t>1</w:t>
    </w:r>
    <w:r>
      <w:rPr>
        <w:rFonts w:hint="default" w:ascii="Times New Roman" w:hAnsi="Times New Roman" w:eastAsia="方正仿宋_GBK" w:cs="Times New Roman"/>
        <w:sz w:val="28"/>
        <w:szCs w:val="28"/>
      </w:rPr>
      <w:fldChar w:fldCharType="end"/>
    </w:r>
    <w:r>
      <w:rPr>
        <w:rFonts w:hint="eastAsia" w:ascii="方正仿宋_GBK" w:hAnsi="宋体" w:eastAsia="方正仿宋_GBK"/>
        <w:sz w:val="28"/>
        <w:szCs w:val="28"/>
      </w:rPr>
      <w:t xml:space="preserve"> —</w:t>
    </w:r>
    <w:r>
      <w:rPr>
        <w:rFonts w:hint="eastAsia" w:ascii="方正仿宋_GBK" w:hAnsi="宋体" w:eastAsia="方正仿宋_GBK"/>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right="360" w:firstLine="320" w:firstLineChars="0"/>
      <w:jc w:val="right"/>
      <w:rPr>
        <w:rFonts w:eastAsia="宋体"/>
        <w:szCs w:val="24"/>
      </w:rPr>
    </w:pPr>
    <w:sdt>
      <w:sdtPr>
        <w:id w:val="1395774252"/>
      </w:sdtPr>
      <w:sdtContent/>
    </w:sdt>
    <w:r>
      <w:rPr>
        <w:rFonts w:hint="eastAsia" w:ascii="方正仿宋_GBK" w:hAnsi="Cambria"/>
        <w:sz w:val="28"/>
        <w:szCs w:val="2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9</w:t>
    </w:r>
    <w:r>
      <w:rPr>
        <w:rFonts w:ascii="Times New Roman" w:hAnsi="Times New Roman"/>
        <w:sz w:val="28"/>
        <w:szCs w:val="28"/>
      </w:rPr>
      <w:fldChar w:fldCharType="end"/>
    </w:r>
    <w:r>
      <w:rPr>
        <w:rFonts w:hint="eastAsia" w:ascii="方正仿宋_GBK" w:hAnsi="Cambria"/>
        <w:sz w:val="28"/>
        <w:szCs w:val="28"/>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val="0"/>
      <w:ind w:right="0" w:firstLine="280" w:firstLineChars="100"/>
      <w:jc w:val="left"/>
      <w:textAlignment w:val="auto"/>
      <w:rPr>
        <w:rFonts w:eastAsia="宋体"/>
        <w:sz w:val="18"/>
        <w:szCs w:val="24"/>
      </w:rPr>
    </w:pPr>
    <w:r>
      <w:rPr>
        <w:rFonts w:hint="eastAsia" w:ascii="方正仿宋_GBK" w:hAnsi="Cambria"/>
        <w:sz w:val="28"/>
        <w:szCs w:val="2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hint="eastAsia" w:ascii="方正仿宋_GBK" w:hAnsi="Cambria"/>
        <w:sz w:val="28"/>
        <w:szCs w:val="28"/>
        <w:lang w:val="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560"/>
      <w:jc w:val="right"/>
      <w:rPr>
        <w:rFonts w:eastAsia="宋体"/>
        <w:sz w:val="18"/>
        <w:szCs w:val="24"/>
      </w:rPr>
    </w:pPr>
    <w:r>
      <w:rPr>
        <w:rFonts w:hint="eastAsia" w:ascii="方正仿宋_GBK" w:hAnsi="Cambria"/>
        <w:sz w:val="28"/>
        <w:szCs w:val="2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7</w:t>
    </w:r>
    <w:r>
      <w:rPr>
        <w:rFonts w:ascii="Times New Roman" w:hAnsi="Times New Roman"/>
        <w:sz w:val="28"/>
        <w:szCs w:val="28"/>
      </w:rPr>
      <w:fldChar w:fldCharType="end"/>
    </w:r>
    <w:r>
      <w:rPr>
        <w:rFonts w:hint="eastAsia" w:ascii="方正仿宋_GBK" w:hAnsi="Cambria"/>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F3"/>
    <w:rsid w:val="00000042"/>
    <w:rsid w:val="000031AB"/>
    <w:rsid w:val="000039BD"/>
    <w:rsid w:val="00032547"/>
    <w:rsid w:val="000356D1"/>
    <w:rsid w:val="000409D8"/>
    <w:rsid w:val="00043681"/>
    <w:rsid w:val="00044B1D"/>
    <w:rsid w:val="00045CCC"/>
    <w:rsid w:val="000529AD"/>
    <w:rsid w:val="000546B0"/>
    <w:rsid w:val="00054D4E"/>
    <w:rsid w:val="000563BD"/>
    <w:rsid w:val="00062708"/>
    <w:rsid w:val="00063E35"/>
    <w:rsid w:val="00067DB2"/>
    <w:rsid w:val="0007385D"/>
    <w:rsid w:val="00075826"/>
    <w:rsid w:val="00077922"/>
    <w:rsid w:val="00081FDD"/>
    <w:rsid w:val="00082D16"/>
    <w:rsid w:val="000858DB"/>
    <w:rsid w:val="00085B6F"/>
    <w:rsid w:val="00091DB2"/>
    <w:rsid w:val="0009478A"/>
    <w:rsid w:val="000951D5"/>
    <w:rsid w:val="000968D8"/>
    <w:rsid w:val="000A0139"/>
    <w:rsid w:val="000A4830"/>
    <w:rsid w:val="000B3DE2"/>
    <w:rsid w:val="000C10CD"/>
    <w:rsid w:val="000C5D97"/>
    <w:rsid w:val="000D440D"/>
    <w:rsid w:val="000D5539"/>
    <w:rsid w:val="000D6296"/>
    <w:rsid w:val="000D7767"/>
    <w:rsid w:val="000E22DE"/>
    <w:rsid w:val="000F31D8"/>
    <w:rsid w:val="000F3B4E"/>
    <w:rsid w:val="000F496A"/>
    <w:rsid w:val="000F6C5A"/>
    <w:rsid w:val="0010117B"/>
    <w:rsid w:val="0010532F"/>
    <w:rsid w:val="001054F5"/>
    <w:rsid w:val="001072CB"/>
    <w:rsid w:val="00114886"/>
    <w:rsid w:val="00121988"/>
    <w:rsid w:val="001233D3"/>
    <w:rsid w:val="001339B3"/>
    <w:rsid w:val="00133BFC"/>
    <w:rsid w:val="001363D2"/>
    <w:rsid w:val="00137E41"/>
    <w:rsid w:val="00143D26"/>
    <w:rsid w:val="0014432A"/>
    <w:rsid w:val="00144514"/>
    <w:rsid w:val="00145493"/>
    <w:rsid w:val="0015343D"/>
    <w:rsid w:val="00153852"/>
    <w:rsid w:val="001549C6"/>
    <w:rsid w:val="0016022D"/>
    <w:rsid w:val="001607EC"/>
    <w:rsid w:val="00163B6B"/>
    <w:rsid w:val="0016575D"/>
    <w:rsid w:val="00166AAE"/>
    <w:rsid w:val="00171D47"/>
    <w:rsid w:val="00172024"/>
    <w:rsid w:val="001724A5"/>
    <w:rsid w:val="00172BDD"/>
    <w:rsid w:val="00175258"/>
    <w:rsid w:val="00177FA8"/>
    <w:rsid w:val="00180E78"/>
    <w:rsid w:val="00190993"/>
    <w:rsid w:val="001940A5"/>
    <w:rsid w:val="00196D0F"/>
    <w:rsid w:val="0019731D"/>
    <w:rsid w:val="001A0B1A"/>
    <w:rsid w:val="001A2375"/>
    <w:rsid w:val="001A2822"/>
    <w:rsid w:val="001A48BF"/>
    <w:rsid w:val="001A4F1B"/>
    <w:rsid w:val="001B018D"/>
    <w:rsid w:val="001B4689"/>
    <w:rsid w:val="001C7EBE"/>
    <w:rsid w:val="001E5BF3"/>
    <w:rsid w:val="001E618D"/>
    <w:rsid w:val="001F05F6"/>
    <w:rsid w:val="001F178D"/>
    <w:rsid w:val="001F1859"/>
    <w:rsid w:val="001F1BFA"/>
    <w:rsid w:val="001F284C"/>
    <w:rsid w:val="001F361C"/>
    <w:rsid w:val="001F3D72"/>
    <w:rsid w:val="001F6304"/>
    <w:rsid w:val="00202380"/>
    <w:rsid w:val="00202E0A"/>
    <w:rsid w:val="002068FE"/>
    <w:rsid w:val="00210F3B"/>
    <w:rsid w:val="002127D0"/>
    <w:rsid w:val="0021517C"/>
    <w:rsid w:val="002166C9"/>
    <w:rsid w:val="002176E5"/>
    <w:rsid w:val="002212E0"/>
    <w:rsid w:val="00222C47"/>
    <w:rsid w:val="002311F8"/>
    <w:rsid w:val="00231CBB"/>
    <w:rsid w:val="00231F5E"/>
    <w:rsid w:val="00232320"/>
    <w:rsid w:val="002336AF"/>
    <w:rsid w:val="00234154"/>
    <w:rsid w:val="00234866"/>
    <w:rsid w:val="002441D6"/>
    <w:rsid w:val="0024723C"/>
    <w:rsid w:val="00252249"/>
    <w:rsid w:val="00255759"/>
    <w:rsid w:val="00255C70"/>
    <w:rsid w:val="00256E25"/>
    <w:rsid w:val="00261C33"/>
    <w:rsid w:val="00264FD9"/>
    <w:rsid w:val="002773B8"/>
    <w:rsid w:val="00280BDF"/>
    <w:rsid w:val="00282D24"/>
    <w:rsid w:val="00284FC3"/>
    <w:rsid w:val="00286418"/>
    <w:rsid w:val="002876BC"/>
    <w:rsid w:val="00290BA7"/>
    <w:rsid w:val="00290D60"/>
    <w:rsid w:val="0029197C"/>
    <w:rsid w:val="00292891"/>
    <w:rsid w:val="00293D88"/>
    <w:rsid w:val="00293F9B"/>
    <w:rsid w:val="002944A0"/>
    <w:rsid w:val="00294FAC"/>
    <w:rsid w:val="0029548C"/>
    <w:rsid w:val="0029575A"/>
    <w:rsid w:val="002A1B88"/>
    <w:rsid w:val="002A2311"/>
    <w:rsid w:val="002A5E09"/>
    <w:rsid w:val="002B0929"/>
    <w:rsid w:val="002C06B0"/>
    <w:rsid w:val="002C0CFB"/>
    <w:rsid w:val="002C0F1D"/>
    <w:rsid w:val="002C60D4"/>
    <w:rsid w:val="002D0FAC"/>
    <w:rsid w:val="002D3C02"/>
    <w:rsid w:val="002D5AA4"/>
    <w:rsid w:val="002D60B1"/>
    <w:rsid w:val="002E708F"/>
    <w:rsid w:val="002E7121"/>
    <w:rsid w:val="002E79DB"/>
    <w:rsid w:val="002F0D00"/>
    <w:rsid w:val="002F1A28"/>
    <w:rsid w:val="002F3B66"/>
    <w:rsid w:val="002F6ED9"/>
    <w:rsid w:val="00301BBF"/>
    <w:rsid w:val="0030338A"/>
    <w:rsid w:val="0030552F"/>
    <w:rsid w:val="00306749"/>
    <w:rsid w:val="00307006"/>
    <w:rsid w:val="003125BC"/>
    <w:rsid w:val="003138ED"/>
    <w:rsid w:val="003153E8"/>
    <w:rsid w:val="00320C8D"/>
    <w:rsid w:val="003211AC"/>
    <w:rsid w:val="003228B5"/>
    <w:rsid w:val="00327B6D"/>
    <w:rsid w:val="00330223"/>
    <w:rsid w:val="0033133E"/>
    <w:rsid w:val="00332954"/>
    <w:rsid w:val="00335DD3"/>
    <w:rsid w:val="0033699D"/>
    <w:rsid w:val="003378D0"/>
    <w:rsid w:val="00337E2A"/>
    <w:rsid w:val="003411B1"/>
    <w:rsid w:val="003419E5"/>
    <w:rsid w:val="003424AB"/>
    <w:rsid w:val="00344305"/>
    <w:rsid w:val="0034712B"/>
    <w:rsid w:val="003477A6"/>
    <w:rsid w:val="00350308"/>
    <w:rsid w:val="00350DDA"/>
    <w:rsid w:val="00351384"/>
    <w:rsid w:val="0035145D"/>
    <w:rsid w:val="00353FA5"/>
    <w:rsid w:val="003540BA"/>
    <w:rsid w:val="00355D69"/>
    <w:rsid w:val="00360361"/>
    <w:rsid w:val="003616CB"/>
    <w:rsid w:val="00370D62"/>
    <w:rsid w:val="00382BDE"/>
    <w:rsid w:val="00386A77"/>
    <w:rsid w:val="00387A0C"/>
    <w:rsid w:val="0039012E"/>
    <w:rsid w:val="003905BF"/>
    <w:rsid w:val="00395558"/>
    <w:rsid w:val="00395EA4"/>
    <w:rsid w:val="003A453B"/>
    <w:rsid w:val="003A49CE"/>
    <w:rsid w:val="003A5AF4"/>
    <w:rsid w:val="003B080A"/>
    <w:rsid w:val="003B2972"/>
    <w:rsid w:val="003B306D"/>
    <w:rsid w:val="003B3775"/>
    <w:rsid w:val="003C6ED7"/>
    <w:rsid w:val="003D08F9"/>
    <w:rsid w:val="003D437A"/>
    <w:rsid w:val="003D4785"/>
    <w:rsid w:val="003E0815"/>
    <w:rsid w:val="003E433E"/>
    <w:rsid w:val="003E5147"/>
    <w:rsid w:val="003E59BA"/>
    <w:rsid w:val="003E6503"/>
    <w:rsid w:val="003E69DE"/>
    <w:rsid w:val="003F3ADA"/>
    <w:rsid w:val="00400064"/>
    <w:rsid w:val="00405297"/>
    <w:rsid w:val="00406A2D"/>
    <w:rsid w:val="00407471"/>
    <w:rsid w:val="00410B7D"/>
    <w:rsid w:val="004135BA"/>
    <w:rsid w:val="00413BEB"/>
    <w:rsid w:val="00423B74"/>
    <w:rsid w:val="004242E4"/>
    <w:rsid w:val="004308A5"/>
    <w:rsid w:val="004324DC"/>
    <w:rsid w:val="00445D69"/>
    <w:rsid w:val="00447776"/>
    <w:rsid w:val="0044798D"/>
    <w:rsid w:val="00450F5A"/>
    <w:rsid w:val="0045243A"/>
    <w:rsid w:val="00452A19"/>
    <w:rsid w:val="00452F45"/>
    <w:rsid w:val="00454546"/>
    <w:rsid w:val="004606DD"/>
    <w:rsid w:val="004634BE"/>
    <w:rsid w:val="00463966"/>
    <w:rsid w:val="00471395"/>
    <w:rsid w:val="0047169A"/>
    <w:rsid w:val="00471B32"/>
    <w:rsid w:val="004757A5"/>
    <w:rsid w:val="0047597E"/>
    <w:rsid w:val="0047666B"/>
    <w:rsid w:val="0048399F"/>
    <w:rsid w:val="00483CF2"/>
    <w:rsid w:val="004848AE"/>
    <w:rsid w:val="00485C04"/>
    <w:rsid w:val="00486B31"/>
    <w:rsid w:val="004878BE"/>
    <w:rsid w:val="00497E8C"/>
    <w:rsid w:val="004A0526"/>
    <w:rsid w:val="004A49D6"/>
    <w:rsid w:val="004A5D4A"/>
    <w:rsid w:val="004B172C"/>
    <w:rsid w:val="004B2711"/>
    <w:rsid w:val="004B3827"/>
    <w:rsid w:val="004B5E97"/>
    <w:rsid w:val="004B6A77"/>
    <w:rsid w:val="004B733D"/>
    <w:rsid w:val="004C1D6D"/>
    <w:rsid w:val="004C2622"/>
    <w:rsid w:val="004C4526"/>
    <w:rsid w:val="004C4E94"/>
    <w:rsid w:val="004C7F93"/>
    <w:rsid w:val="004D0585"/>
    <w:rsid w:val="004D2125"/>
    <w:rsid w:val="004E2083"/>
    <w:rsid w:val="004E7EE4"/>
    <w:rsid w:val="004F2DAF"/>
    <w:rsid w:val="004F62FD"/>
    <w:rsid w:val="004F7E91"/>
    <w:rsid w:val="00501574"/>
    <w:rsid w:val="00503B07"/>
    <w:rsid w:val="00507822"/>
    <w:rsid w:val="00513EC2"/>
    <w:rsid w:val="00517B50"/>
    <w:rsid w:val="00517D22"/>
    <w:rsid w:val="00522B85"/>
    <w:rsid w:val="00523CED"/>
    <w:rsid w:val="00524C78"/>
    <w:rsid w:val="00525626"/>
    <w:rsid w:val="005274CC"/>
    <w:rsid w:val="0053232E"/>
    <w:rsid w:val="005343C3"/>
    <w:rsid w:val="00536731"/>
    <w:rsid w:val="00536AC5"/>
    <w:rsid w:val="0054119B"/>
    <w:rsid w:val="005458BD"/>
    <w:rsid w:val="005503F7"/>
    <w:rsid w:val="00550DEB"/>
    <w:rsid w:val="00553384"/>
    <w:rsid w:val="00561977"/>
    <w:rsid w:val="00563508"/>
    <w:rsid w:val="005657E8"/>
    <w:rsid w:val="005803BA"/>
    <w:rsid w:val="00580C73"/>
    <w:rsid w:val="00584B8A"/>
    <w:rsid w:val="00585BBF"/>
    <w:rsid w:val="005905F3"/>
    <w:rsid w:val="00590EDE"/>
    <w:rsid w:val="00591DE7"/>
    <w:rsid w:val="0059335F"/>
    <w:rsid w:val="0059399B"/>
    <w:rsid w:val="0059561C"/>
    <w:rsid w:val="00596286"/>
    <w:rsid w:val="005A01D2"/>
    <w:rsid w:val="005A1F7D"/>
    <w:rsid w:val="005A2F3E"/>
    <w:rsid w:val="005A5CF5"/>
    <w:rsid w:val="005B5695"/>
    <w:rsid w:val="005B7AF5"/>
    <w:rsid w:val="005C1385"/>
    <w:rsid w:val="005C2CE5"/>
    <w:rsid w:val="005C409A"/>
    <w:rsid w:val="005C64F9"/>
    <w:rsid w:val="005C7D43"/>
    <w:rsid w:val="005D0275"/>
    <w:rsid w:val="005D1B38"/>
    <w:rsid w:val="005D1B7F"/>
    <w:rsid w:val="005D351E"/>
    <w:rsid w:val="005D457C"/>
    <w:rsid w:val="005D5F58"/>
    <w:rsid w:val="005E15C2"/>
    <w:rsid w:val="005E202A"/>
    <w:rsid w:val="005E5E1F"/>
    <w:rsid w:val="005E768C"/>
    <w:rsid w:val="005F21FF"/>
    <w:rsid w:val="005F26BB"/>
    <w:rsid w:val="005F29B9"/>
    <w:rsid w:val="005F2B3A"/>
    <w:rsid w:val="005F2B97"/>
    <w:rsid w:val="005F37F0"/>
    <w:rsid w:val="005F59B2"/>
    <w:rsid w:val="005F6283"/>
    <w:rsid w:val="0060174E"/>
    <w:rsid w:val="006018BE"/>
    <w:rsid w:val="00605A8F"/>
    <w:rsid w:val="00610CF8"/>
    <w:rsid w:val="00617396"/>
    <w:rsid w:val="006206E9"/>
    <w:rsid w:val="006228AF"/>
    <w:rsid w:val="00624FE5"/>
    <w:rsid w:val="006261EC"/>
    <w:rsid w:val="00627563"/>
    <w:rsid w:val="006378B1"/>
    <w:rsid w:val="006408C8"/>
    <w:rsid w:val="00640DE6"/>
    <w:rsid w:val="00646A25"/>
    <w:rsid w:val="0064794D"/>
    <w:rsid w:val="006505DF"/>
    <w:rsid w:val="00653C1A"/>
    <w:rsid w:val="00654A70"/>
    <w:rsid w:val="00657501"/>
    <w:rsid w:val="00662179"/>
    <w:rsid w:val="006639EE"/>
    <w:rsid w:val="0066658E"/>
    <w:rsid w:val="006716C1"/>
    <w:rsid w:val="006772C5"/>
    <w:rsid w:val="006815DA"/>
    <w:rsid w:val="00685A92"/>
    <w:rsid w:val="006871F8"/>
    <w:rsid w:val="00690ACA"/>
    <w:rsid w:val="00691CCD"/>
    <w:rsid w:val="00692B47"/>
    <w:rsid w:val="00694D81"/>
    <w:rsid w:val="006A2C02"/>
    <w:rsid w:val="006A440B"/>
    <w:rsid w:val="006B0D45"/>
    <w:rsid w:val="006B0E7F"/>
    <w:rsid w:val="006B2192"/>
    <w:rsid w:val="006C34BA"/>
    <w:rsid w:val="006C4335"/>
    <w:rsid w:val="006C43D1"/>
    <w:rsid w:val="006C62BA"/>
    <w:rsid w:val="006C78D0"/>
    <w:rsid w:val="006C7B57"/>
    <w:rsid w:val="006D04A1"/>
    <w:rsid w:val="006D33DD"/>
    <w:rsid w:val="006E101C"/>
    <w:rsid w:val="006E1413"/>
    <w:rsid w:val="006E3648"/>
    <w:rsid w:val="006E4210"/>
    <w:rsid w:val="006E43DF"/>
    <w:rsid w:val="006E43E3"/>
    <w:rsid w:val="006E55AF"/>
    <w:rsid w:val="006E5E11"/>
    <w:rsid w:val="006E6784"/>
    <w:rsid w:val="006E6A64"/>
    <w:rsid w:val="006E6A6E"/>
    <w:rsid w:val="006F7A98"/>
    <w:rsid w:val="00704FAA"/>
    <w:rsid w:val="00706443"/>
    <w:rsid w:val="00706F24"/>
    <w:rsid w:val="007074B8"/>
    <w:rsid w:val="00710C5B"/>
    <w:rsid w:val="007164F9"/>
    <w:rsid w:val="00716861"/>
    <w:rsid w:val="00722972"/>
    <w:rsid w:val="00724B23"/>
    <w:rsid w:val="00730417"/>
    <w:rsid w:val="00730538"/>
    <w:rsid w:val="007309B6"/>
    <w:rsid w:val="00732475"/>
    <w:rsid w:val="00733ABA"/>
    <w:rsid w:val="0073681F"/>
    <w:rsid w:val="00736D17"/>
    <w:rsid w:val="007421F4"/>
    <w:rsid w:val="0074246F"/>
    <w:rsid w:val="00744AEA"/>
    <w:rsid w:val="00756494"/>
    <w:rsid w:val="00756550"/>
    <w:rsid w:val="007574AF"/>
    <w:rsid w:val="00763FFD"/>
    <w:rsid w:val="00764BE3"/>
    <w:rsid w:val="00766311"/>
    <w:rsid w:val="0077288C"/>
    <w:rsid w:val="00774580"/>
    <w:rsid w:val="00783C07"/>
    <w:rsid w:val="00786660"/>
    <w:rsid w:val="007904F5"/>
    <w:rsid w:val="00790B5A"/>
    <w:rsid w:val="00791315"/>
    <w:rsid w:val="007938DC"/>
    <w:rsid w:val="007949EA"/>
    <w:rsid w:val="00795122"/>
    <w:rsid w:val="00797C8C"/>
    <w:rsid w:val="007A193E"/>
    <w:rsid w:val="007A32A0"/>
    <w:rsid w:val="007A6D15"/>
    <w:rsid w:val="007A70CD"/>
    <w:rsid w:val="007A7E70"/>
    <w:rsid w:val="007B066B"/>
    <w:rsid w:val="007C203C"/>
    <w:rsid w:val="007C43B4"/>
    <w:rsid w:val="007C5071"/>
    <w:rsid w:val="007D19D3"/>
    <w:rsid w:val="007D2A92"/>
    <w:rsid w:val="007D2E8F"/>
    <w:rsid w:val="007D4028"/>
    <w:rsid w:val="007D45FE"/>
    <w:rsid w:val="007D4FD5"/>
    <w:rsid w:val="007D51B1"/>
    <w:rsid w:val="007E490D"/>
    <w:rsid w:val="007E60C2"/>
    <w:rsid w:val="007E699B"/>
    <w:rsid w:val="007E6F48"/>
    <w:rsid w:val="007E7C2D"/>
    <w:rsid w:val="007F00B2"/>
    <w:rsid w:val="007F0662"/>
    <w:rsid w:val="007F189F"/>
    <w:rsid w:val="007F1D6F"/>
    <w:rsid w:val="007F4AA1"/>
    <w:rsid w:val="007F72EC"/>
    <w:rsid w:val="007F747F"/>
    <w:rsid w:val="00802995"/>
    <w:rsid w:val="0080419D"/>
    <w:rsid w:val="008112AF"/>
    <w:rsid w:val="008141B9"/>
    <w:rsid w:val="008222C5"/>
    <w:rsid w:val="00824678"/>
    <w:rsid w:val="0082561E"/>
    <w:rsid w:val="00830DA4"/>
    <w:rsid w:val="008314D2"/>
    <w:rsid w:val="00832D87"/>
    <w:rsid w:val="0083516D"/>
    <w:rsid w:val="00835BE0"/>
    <w:rsid w:val="0084445B"/>
    <w:rsid w:val="0085044D"/>
    <w:rsid w:val="00851F7F"/>
    <w:rsid w:val="00854E8B"/>
    <w:rsid w:val="00860517"/>
    <w:rsid w:val="0086229F"/>
    <w:rsid w:val="0086546E"/>
    <w:rsid w:val="008655C7"/>
    <w:rsid w:val="00867AFD"/>
    <w:rsid w:val="00870EEA"/>
    <w:rsid w:val="008713ED"/>
    <w:rsid w:val="00873C90"/>
    <w:rsid w:val="00877A76"/>
    <w:rsid w:val="00877E29"/>
    <w:rsid w:val="00880F8C"/>
    <w:rsid w:val="00881114"/>
    <w:rsid w:val="008818D0"/>
    <w:rsid w:val="00884B83"/>
    <w:rsid w:val="00891097"/>
    <w:rsid w:val="00893AAA"/>
    <w:rsid w:val="00893D7C"/>
    <w:rsid w:val="008979D3"/>
    <w:rsid w:val="008A1B12"/>
    <w:rsid w:val="008A5D03"/>
    <w:rsid w:val="008A6AF3"/>
    <w:rsid w:val="008B1266"/>
    <w:rsid w:val="008C1939"/>
    <w:rsid w:val="008C54F4"/>
    <w:rsid w:val="008C64AF"/>
    <w:rsid w:val="008D18A8"/>
    <w:rsid w:val="008D33D4"/>
    <w:rsid w:val="008D3425"/>
    <w:rsid w:val="008D3F3C"/>
    <w:rsid w:val="008D45DE"/>
    <w:rsid w:val="008D4911"/>
    <w:rsid w:val="008D4C18"/>
    <w:rsid w:val="008D4F37"/>
    <w:rsid w:val="008D792D"/>
    <w:rsid w:val="008E6F76"/>
    <w:rsid w:val="008F2D34"/>
    <w:rsid w:val="00902402"/>
    <w:rsid w:val="009059A9"/>
    <w:rsid w:val="0091564D"/>
    <w:rsid w:val="00915823"/>
    <w:rsid w:val="00917810"/>
    <w:rsid w:val="0092092C"/>
    <w:rsid w:val="0092539C"/>
    <w:rsid w:val="00926A1A"/>
    <w:rsid w:val="00927509"/>
    <w:rsid w:val="00927C75"/>
    <w:rsid w:val="009302CF"/>
    <w:rsid w:val="00944EE9"/>
    <w:rsid w:val="009459C6"/>
    <w:rsid w:val="009461A2"/>
    <w:rsid w:val="00953F08"/>
    <w:rsid w:val="00957862"/>
    <w:rsid w:val="00957BA9"/>
    <w:rsid w:val="009600DA"/>
    <w:rsid w:val="009605EB"/>
    <w:rsid w:val="009620BF"/>
    <w:rsid w:val="00962BB9"/>
    <w:rsid w:val="00963295"/>
    <w:rsid w:val="009633AB"/>
    <w:rsid w:val="0096468E"/>
    <w:rsid w:val="00964FE4"/>
    <w:rsid w:val="0096647C"/>
    <w:rsid w:val="009668B7"/>
    <w:rsid w:val="009704B0"/>
    <w:rsid w:val="00971468"/>
    <w:rsid w:val="00992301"/>
    <w:rsid w:val="00995E1C"/>
    <w:rsid w:val="009B254D"/>
    <w:rsid w:val="009B700D"/>
    <w:rsid w:val="009C0F8D"/>
    <w:rsid w:val="009C1FA2"/>
    <w:rsid w:val="009C20A4"/>
    <w:rsid w:val="009C41ED"/>
    <w:rsid w:val="009C6212"/>
    <w:rsid w:val="009E0B69"/>
    <w:rsid w:val="009E18CB"/>
    <w:rsid w:val="009E37B1"/>
    <w:rsid w:val="009E4802"/>
    <w:rsid w:val="009E5BB2"/>
    <w:rsid w:val="009E6511"/>
    <w:rsid w:val="009E7084"/>
    <w:rsid w:val="009F03E2"/>
    <w:rsid w:val="009F07B9"/>
    <w:rsid w:val="00A02D0F"/>
    <w:rsid w:val="00A03216"/>
    <w:rsid w:val="00A044A1"/>
    <w:rsid w:val="00A06E7D"/>
    <w:rsid w:val="00A13911"/>
    <w:rsid w:val="00A201FB"/>
    <w:rsid w:val="00A20786"/>
    <w:rsid w:val="00A21AEB"/>
    <w:rsid w:val="00A24B84"/>
    <w:rsid w:val="00A26BDF"/>
    <w:rsid w:val="00A313AA"/>
    <w:rsid w:val="00A337E4"/>
    <w:rsid w:val="00A36902"/>
    <w:rsid w:val="00A37A66"/>
    <w:rsid w:val="00A40BF2"/>
    <w:rsid w:val="00A51974"/>
    <w:rsid w:val="00A51DE1"/>
    <w:rsid w:val="00A528E2"/>
    <w:rsid w:val="00A53EA7"/>
    <w:rsid w:val="00A53F4D"/>
    <w:rsid w:val="00A6282B"/>
    <w:rsid w:val="00A675E8"/>
    <w:rsid w:val="00A719BC"/>
    <w:rsid w:val="00A76CA2"/>
    <w:rsid w:val="00A776EF"/>
    <w:rsid w:val="00A84F65"/>
    <w:rsid w:val="00A87536"/>
    <w:rsid w:val="00A90CA8"/>
    <w:rsid w:val="00A97E08"/>
    <w:rsid w:val="00AA114F"/>
    <w:rsid w:val="00AA15AD"/>
    <w:rsid w:val="00AA265B"/>
    <w:rsid w:val="00AA6E55"/>
    <w:rsid w:val="00AA7756"/>
    <w:rsid w:val="00AB6F27"/>
    <w:rsid w:val="00AB6FD0"/>
    <w:rsid w:val="00AC3D7D"/>
    <w:rsid w:val="00AC5B63"/>
    <w:rsid w:val="00AC5C59"/>
    <w:rsid w:val="00AC6B2B"/>
    <w:rsid w:val="00AC776F"/>
    <w:rsid w:val="00AD1AD2"/>
    <w:rsid w:val="00AD6CF1"/>
    <w:rsid w:val="00AE185B"/>
    <w:rsid w:val="00AE1A36"/>
    <w:rsid w:val="00AE3EBE"/>
    <w:rsid w:val="00AE4912"/>
    <w:rsid w:val="00AE6114"/>
    <w:rsid w:val="00AF6D4E"/>
    <w:rsid w:val="00B02EDA"/>
    <w:rsid w:val="00B04D2C"/>
    <w:rsid w:val="00B0583F"/>
    <w:rsid w:val="00B104D2"/>
    <w:rsid w:val="00B10F47"/>
    <w:rsid w:val="00B13FAB"/>
    <w:rsid w:val="00B22061"/>
    <w:rsid w:val="00B2442C"/>
    <w:rsid w:val="00B24F3E"/>
    <w:rsid w:val="00B25716"/>
    <w:rsid w:val="00B25887"/>
    <w:rsid w:val="00B25D7F"/>
    <w:rsid w:val="00B351A5"/>
    <w:rsid w:val="00B439FB"/>
    <w:rsid w:val="00B440E8"/>
    <w:rsid w:val="00B504DB"/>
    <w:rsid w:val="00B523D5"/>
    <w:rsid w:val="00B5578B"/>
    <w:rsid w:val="00B56774"/>
    <w:rsid w:val="00B6216E"/>
    <w:rsid w:val="00B62B1A"/>
    <w:rsid w:val="00B62EE9"/>
    <w:rsid w:val="00B72C32"/>
    <w:rsid w:val="00B804A1"/>
    <w:rsid w:val="00B81D5A"/>
    <w:rsid w:val="00B82B45"/>
    <w:rsid w:val="00B82E8C"/>
    <w:rsid w:val="00B832D3"/>
    <w:rsid w:val="00B84DE0"/>
    <w:rsid w:val="00B8644A"/>
    <w:rsid w:val="00B864D9"/>
    <w:rsid w:val="00B86AC9"/>
    <w:rsid w:val="00B92809"/>
    <w:rsid w:val="00B975BD"/>
    <w:rsid w:val="00B97FDE"/>
    <w:rsid w:val="00BA017C"/>
    <w:rsid w:val="00BA0C75"/>
    <w:rsid w:val="00BA1D70"/>
    <w:rsid w:val="00BA394C"/>
    <w:rsid w:val="00BA71E4"/>
    <w:rsid w:val="00BB5167"/>
    <w:rsid w:val="00BC4F01"/>
    <w:rsid w:val="00BC591B"/>
    <w:rsid w:val="00BC7E85"/>
    <w:rsid w:val="00BD1EA9"/>
    <w:rsid w:val="00BE2815"/>
    <w:rsid w:val="00BE28FE"/>
    <w:rsid w:val="00BF33F8"/>
    <w:rsid w:val="00BF3D26"/>
    <w:rsid w:val="00BF6AE0"/>
    <w:rsid w:val="00BF6DB5"/>
    <w:rsid w:val="00C012AB"/>
    <w:rsid w:val="00C05109"/>
    <w:rsid w:val="00C06449"/>
    <w:rsid w:val="00C1216A"/>
    <w:rsid w:val="00C12EB8"/>
    <w:rsid w:val="00C21415"/>
    <w:rsid w:val="00C2165E"/>
    <w:rsid w:val="00C220B7"/>
    <w:rsid w:val="00C22492"/>
    <w:rsid w:val="00C224E8"/>
    <w:rsid w:val="00C24014"/>
    <w:rsid w:val="00C27FAD"/>
    <w:rsid w:val="00C30014"/>
    <w:rsid w:val="00C36CEF"/>
    <w:rsid w:val="00C36F2A"/>
    <w:rsid w:val="00C40851"/>
    <w:rsid w:val="00C4146F"/>
    <w:rsid w:val="00C42638"/>
    <w:rsid w:val="00C42EDA"/>
    <w:rsid w:val="00C4467D"/>
    <w:rsid w:val="00C55FD0"/>
    <w:rsid w:val="00C56384"/>
    <w:rsid w:val="00C568A8"/>
    <w:rsid w:val="00C57C8D"/>
    <w:rsid w:val="00C606B5"/>
    <w:rsid w:val="00C624A6"/>
    <w:rsid w:val="00C63520"/>
    <w:rsid w:val="00C669FB"/>
    <w:rsid w:val="00C7303E"/>
    <w:rsid w:val="00C74475"/>
    <w:rsid w:val="00C75743"/>
    <w:rsid w:val="00C77DF9"/>
    <w:rsid w:val="00C80271"/>
    <w:rsid w:val="00C83FEF"/>
    <w:rsid w:val="00C86C78"/>
    <w:rsid w:val="00C87CAB"/>
    <w:rsid w:val="00C91328"/>
    <w:rsid w:val="00C92499"/>
    <w:rsid w:val="00C92CD9"/>
    <w:rsid w:val="00C96E9E"/>
    <w:rsid w:val="00CA0EB4"/>
    <w:rsid w:val="00CA31E0"/>
    <w:rsid w:val="00CA4490"/>
    <w:rsid w:val="00CA60BC"/>
    <w:rsid w:val="00CB1D6D"/>
    <w:rsid w:val="00CB6A38"/>
    <w:rsid w:val="00CC13C2"/>
    <w:rsid w:val="00CC2592"/>
    <w:rsid w:val="00CC4395"/>
    <w:rsid w:val="00CC6154"/>
    <w:rsid w:val="00CD4EC0"/>
    <w:rsid w:val="00CD53A4"/>
    <w:rsid w:val="00CD713E"/>
    <w:rsid w:val="00CD7CD1"/>
    <w:rsid w:val="00CE4CA7"/>
    <w:rsid w:val="00CF2713"/>
    <w:rsid w:val="00CF475C"/>
    <w:rsid w:val="00CF6D36"/>
    <w:rsid w:val="00CF6DE0"/>
    <w:rsid w:val="00D02BC0"/>
    <w:rsid w:val="00D02D49"/>
    <w:rsid w:val="00D03C55"/>
    <w:rsid w:val="00D041BD"/>
    <w:rsid w:val="00D051D1"/>
    <w:rsid w:val="00D06544"/>
    <w:rsid w:val="00D07329"/>
    <w:rsid w:val="00D1329B"/>
    <w:rsid w:val="00D164CA"/>
    <w:rsid w:val="00D1676E"/>
    <w:rsid w:val="00D2071F"/>
    <w:rsid w:val="00D20AD3"/>
    <w:rsid w:val="00D25A07"/>
    <w:rsid w:val="00D2622C"/>
    <w:rsid w:val="00D27398"/>
    <w:rsid w:val="00D30911"/>
    <w:rsid w:val="00D377A8"/>
    <w:rsid w:val="00D37D86"/>
    <w:rsid w:val="00D41C88"/>
    <w:rsid w:val="00D44845"/>
    <w:rsid w:val="00D450B0"/>
    <w:rsid w:val="00D46293"/>
    <w:rsid w:val="00D4662D"/>
    <w:rsid w:val="00D546C1"/>
    <w:rsid w:val="00D55D19"/>
    <w:rsid w:val="00D565D5"/>
    <w:rsid w:val="00D57795"/>
    <w:rsid w:val="00D57AF5"/>
    <w:rsid w:val="00D57FFE"/>
    <w:rsid w:val="00D67537"/>
    <w:rsid w:val="00D71F38"/>
    <w:rsid w:val="00D73EC5"/>
    <w:rsid w:val="00D8227A"/>
    <w:rsid w:val="00D83D63"/>
    <w:rsid w:val="00D87ECA"/>
    <w:rsid w:val="00D901A6"/>
    <w:rsid w:val="00D90EFC"/>
    <w:rsid w:val="00D93CC9"/>
    <w:rsid w:val="00D96836"/>
    <w:rsid w:val="00DA0E87"/>
    <w:rsid w:val="00DA24DA"/>
    <w:rsid w:val="00DB0DF7"/>
    <w:rsid w:val="00DB23F2"/>
    <w:rsid w:val="00DB24AA"/>
    <w:rsid w:val="00DB419A"/>
    <w:rsid w:val="00DB5F84"/>
    <w:rsid w:val="00DC3325"/>
    <w:rsid w:val="00DC3CC1"/>
    <w:rsid w:val="00DD1352"/>
    <w:rsid w:val="00DD14A3"/>
    <w:rsid w:val="00DD3FA7"/>
    <w:rsid w:val="00DE2D44"/>
    <w:rsid w:val="00DE35FF"/>
    <w:rsid w:val="00DE470B"/>
    <w:rsid w:val="00DE751A"/>
    <w:rsid w:val="00DE7C00"/>
    <w:rsid w:val="00DE7FE5"/>
    <w:rsid w:val="00DF3B2D"/>
    <w:rsid w:val="00DF3ED7"/>
    <w:rsid w:val="00E11B50"/>
    <w:rsid w:val="00E11E2C"/>
    <w:rsid w:val="00E12BED"/>
    <w:rsid w:val="00E1429D"/>
    <w:rsid w:val="00E17634"/>
    <w:rsid w:val="00E23FB7"/>
    <w:rsid w:val="00E31F23"/>
    <w:rsid w:val="00E32DD2"/>
    <w:rsid w:val="00E35AE3"/>
    <w:rsid w:val="00E376C0"/>
    <w:rsid w:val="00E42A31"/>
    <w:rsid w:val="00E42B1D"/>
    <w:rsid w:val="00E47720"/>
    <w:rsid w:val="00E47A6B"/>
    <w:rsid w:val="00E54BB2"/>
    <w:rsid w:val="00E56442"/>
    <w:rsid w:val="00E5792E"/>
    <w:rsid w:val="00E659C7"/>
    <w:rsid w:val="00E71962"/>
    <w:rsid w:val="00E748B7"/>
    <w:rsid w:val="00E74ADB"/>
    <w:rsid w:val="00E75DD3"/>
    <w:rsid w:val="00E82187"/>
    <w:rsid w:val="00E835EA"/>
    <w:rsid w:val="00E83FF1"/>
    <w:rsid w:val="00E844FA"/>
    <w:rsid w:val="00E84AEF"/>
    <w:rsid w:val="00E9027F"/>
    <w:rsid w:val="00E90E90"/>
    <w:rsid w:val="00E918A7"/>
    <w:rsid w:val="00E936FF"/>
    <w:rsid w:val="00E943CC"/>
    <w:rsid w:val="00E94556"/>
    <w:rsid w:val="00E94E4F"/>
    <w:rsid w:val="00E955D1"/>
    <w:rsid w:val="00E97997"/>
    <w:rsid w:val="00EA05C8"/>
    <w:rsid w:val="00EA061D"/>
    <w:rsid w:val="00EA41A9"/>
    <w:rsid w:val="00EB09A7"/>
    <w:rsid w:val="00EB0BD3"/>
    <w:rsid w:val="00EC0581"/>
    <w:rsid w:val="00EC0695"/>
    <w:rsid w:val="00EC1684"/>
    <w:rsid w:val="00EC17EB"/>
    <w:rsid w:val="00EC3CED"/>
    <w:rsid w:val="00EC5656"/>
    <w:rsid w:val="00EC5F04"/>
    <w:rsid w:val="00EC6BD2"/>
    <w:rsid w:val="00ED13BF"/>
    <w:rsid w:val="00ED177E"/>
    <w:rsid w:val="00ED2D95"/>
    <w:rsid w:val="00ED6387"/>
    <w:rsid w:val="00ED7187"/>
    <w:rsid w:val="00EE27C2"/>
    <w:rsid w:val="00EE356A"/>
    <w:rsid w:val="00EE39BA"/>
    <w:rsid w:val="00EE5CA3"/>
    <w:rsid w:val="00EE76C4"/>
    <w:rsid w:val="00EF368F"/>
    <w:rsid w:val="00EF49FD"/>
    <w:rsid w:val="00EF58E4"/>
    <w:rsid w:val="00EF7017"/>
    <w:rsid w:val="00EF75C0"/>
    <w:rsid w:val="00F00748"/>
    <w:rsid w:val="00F00F22"/>
    <w:rsid w:val="00F07D5C"/>
    <w:rsid w:val="00F11CD8"/>
    <w:rsid w:val="00F13E1E"/>
    <w:rsid w:val="00F17B2D"/>
    <w:rsid w:val="00F20A88"/>
    <w:rsid w:val="00F2208B"/>
    <w:rsid w:val="00F22BF2"/>
    <w:rsid w:val="00F25465"/>
    <w:rsid w:val="00F25BD6"/>
    <w:rsid w:val="00F26770"/>
    <w:rsid w:val="00F2699B"/>
    <w:rsid w:val="00F31733"/>
    <w:rsid w:val="00F34981"/>
    <w:rsid w:val="00F4046C"/>
    <w:rsid w:val="00F40DE9"/>
    <w:rsid w:val="00F418CC"/>
    <w:rsid w:val="00F50329"/>
    <w:rsid w:val="00F53415"/>
    <w:rsid w:val="00F55ABF"/>
    <w:rsid w:val="00F60E03"/>
    <w:rsid w:val="00F6151C"/>
    <w:rsid w:val="00F61A09"/>
    <w:rsid w:val="00F64079"/>
    <w:rsid w:val="00F65054"/>
    <w:rsid w:val="00F70CED"/>
    <w:rsid w:val="00F71E93"/>
    <w:rsid w:val="00F72A66"/>
    <w:rsid w:val="00F82572"/>
    <w:rsid w:val="00F831F6"/>
    <w:rsid w:val="00F87AF3"/>
    <w:rsid w:val="00F905D9"/>
    <w:rsid w:val="00F9273C"/>
    <w:rsid w:val="00F95AA3"/>
    <w:rsid w:val="00FA4438"/>
    <w:rsid w:val="00FA67A3"/>
    <w:rsid w:val="00FB1DEB"/>
    <w:rsid w:val="00FB3817"/>
    <w:rsid w:val="00FB46E5"/>
    <w:rsid w:val="00FB6D15"/>
    <w:rsid w:val="00FB6DB3"/>
    <w:rsid w:val="00FB7CFB"/>
    <w:rsid w:val="00FC18B7"/>
    <w:rsid w:val="00FC2FD9"/>
    <w:rsid w:val="00FC3CF8"/>
    <w:rsid w:val="00FC4135"/>
    <w:rsid w:val="00FC5DDD"/>
    <w:rsid w:val="00FC6EFF"/>
    <w:rsid w:val="00FD040E"/>
    <w:rsid w:val="00FD1735"/>
    <w:rsid w:val="00FD3194"/>
    <w:rsid w:val="00FD3FC7"/>
    <w:rsid w:val="00FD580D"/>
    <w:rsid w:val="00FE3122"/>
    <w:rsid w:val="00FE5574"/>
    <w:rsid w:val="00FF0EB3"/>
    <w:rsid w:val="00FF3B82"/>
    <w:rsid w:val="00FF7208"/>
    <w:rsid w:val="09257A55"/>
    <w:rsid w:val="1FD9B513"/>
    <w:rsid w:val="4BDF8617"/>
    <w:rsid w:val="4F4F8CD1"/>
    <w:rsid w:val="57DF6652"/>
    <w:rsid w:val="5BDBBD22"/>
    <w:rsid w:val="5BE3F25A"/>
    <w:rsid w:val="5BFC9EE1"/>
    <w:rsid w:val="5DC570EB"/>
    <w:rsid w:val="5DF6CA79"/>
    <w:rsid w:val="687EE784"/>
    <w:rsid w:val="7BFF49A6"/>
    <w:rsid w:val="7D7D78ED"/>
    <w:rsid w:val="7DD6E68D"/>
    <w:rsid w:val="7FAE2570"/>
    <w:rsid w:val="86DF63A8"/>
    <w:rsid w:val="8BEAEFFA"/>
    <w:rsid w:val="AFFEEE41"/>
    <w:rsid w:val="B5776423"/>
    <w:rsid w:val="B77E141E"/>
    <w:rsid w:val="B7B7DEF2"/>
    <w:rsid w:val="BDF56C41"/>
    <w:rsid w:val="BF73AD30"/>
    <w:rsid w:val="BFD7AD38"/>
    <w:rsid w:val="D62E5DB3"/>
    <w:rsid w:val="F3D3FB1D"/>
    <w:rsid w:val="F6C64A98"/>
    <w:rsid w:val="FB76901A"/>
    <w:rsid w:val="FBFF410A"/>
    <w:rsid w:val="FCBE79EA"/>
    <w:rsid w:val="FDBFE326"/>
    <w:rsid w:val="FFD626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方正仿宋_GBK" w:cs="Times New Roman"/>
      <w:kern w:val="2"/>
      <w:sz w:val="32"/>
      <w:szCs w:val="22"/>
      <w:lang w:val="en-US" w:eastAsia="zh-CN" w:bidi="ar-SA"/>
    </w:rPr>
  </w:style>
  <w:style w:type="paragraph" w:styleId="3">
    <w:name w:val="heading 1"/>
    <w:basedOn w:val="1"/>
    <w:next w:val="1"/>
    <w:link w:val="37"/>
    <w:qFormat/>
    <w:uiPriority w:val="9"/>
    <w:pPr>
      <w:keepNext/>
      <w:keepLines/>
      <w:pageBreakBefore/>
      <w:adjustRightInd w:val="0"/>
      <w:snapToGrid w:val="0"/>
      <w:spacing w:line="700" w:lineRule="exact"/>
      <w:ind w:firstLine="0" w:firstLineChars="0"/>
      <w:jc w:val="center"/>
      <w:outlineLvl w:val="0"/>
    </w:pPr>
    <w:rPr>
      <w:rFonts w:eastAsia="方正小标宋_GBK"/>
      <w:bCs/>
      <w:kern w:val="44"/>
      <w:sz w:val="44"/>
      <w:szCs w:val="44"/>
    </w:rPr>
  </w:style>
  <w:style w:type="paragraph" w:styleId="4">
    <w:name w:val="heading 2"/>
    <w:basedOn w:val="1"/>
    <w:next w:val="1"/>
    <w:link w:val="38"/>
    <w:unhideWhenUsed/>
    <w:qFormat/>
    <w:uiPriority w:val="0"/>
    <w:pPr>
      <w:keepNext/>
      <w:keepLines/>
      <w:adjustRightInd w:val="0"/>
      <w:snapToGrid w:val="0"/>
      <w:spacing w:beforeLines="50" w:afterLines="50" w:line="700" w:lineRule="exact"/>
      <w:ind w:firstLine="0" w:firstLineChars="0"/>
      <w:contextualSpacing/>
      <w:jc w:val="center"/>
      <w:outlineLvl w:val="1"/>
    </w:pPr>
    <w:rPr>
      <w:rFonts w:eastAsia="方正小标宋_GBK" w:asciiTheme="majorHAnsi" w:hAnsiTheme="majorHAnsi" w:cstheme="majorBidi"/>
      <w:bCs/>
      <w:sz w:val="36"/>
      <w:szCs w:val="32"/>
    </w:rPr>
  </w:style>
  <w:style w:type="paragraph" w:styleId="2">
    <w:name w:val="heading 3"/>
    <w:basedOn w:val="1"/>
    <w:next w:val="1"/>
    <w:link w:val="41"/>
    <w:qFormat/>
    <w:uiPriority w:val="0"/>
    <w:pPr>
      <w:keepNext/>
      <w:keepLines/>
      <w:spacing w:before="260" w:after="260" w:line="415" w:lineRule="auto"/>
      <w:jc w:val="left"/>
      <w:outlineLvl w:val="2"/>
    </w:pPr>
    <w:rPr>
      <w:b/>
      <w:bCs/>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440"/>
      <w:jc w:val="left"/>
    </w:pPr>
    <w:rPr>
      <w:rFonts w:asciiTheme="minorHAnsi" w:hAnsiTheme="minorHAnsi" w:cstheme="minorHAnsi"/>
      <w:sz w:val="18"/>
      <w:szCs w:val="18"/>
    </w:rPr>
  </w:style>
  <w:style w:type="paragraph" w:styleId="7">
    <w:name w:val="annotation text"/>
    <w:basedOn w:val="1"/>
    <w:link w:val="55"/>
    <w:semiHidden/>
    <w:unhideWhenUsed/>
    <w:qFormat/>
    <w:uiPriority w:val="99"/>
    <w:pPr>
      <w:jc w:val="left"/>
    </w:pPr>
  </w:style>
  <w:style w:type="paragraph" w:styleId="8">
    <w:name w:val="Body Text"/>
    <w:basedOn w:val="1"/>
    <w:link w:val="42"/>
    <w:qFormat/>
    <w:uiPriority w:val="0"/>
    <w:pPr>
      <w:spacing w:line="0" w:lineRule="atLeast"/>
    </w:pPr>
    <w:rPr>
      <w:rFonts w:ascii="仿宋_GB2312" w:hAnsi="Times New Roman" w:eastAsia="仿宋_GB2312"/>
      <w:kern w:val="32"/>
      <w:szCs w:val="20"/>
    </w:rPr>
  </w:style>
  <w:style w:type="paragraph" w:styleId="9">
    <w:name w:val="Body Text Indent"/>
    <w:basedOn w:val="1"/>
    <w:link w:val="43"/>
    <w:qFormat/>
    <w:uiPriority w:val="0"/>
    <w:pPr>
      <w:ind w:firstLine="645"/>
      <w:jc w:val="distribute"/>
    </w:pPr>
    <w:rPr>
      <w:rFonts w:ascii="仿宋_GB2312" w:hAnsi="Times New Roman" w:eastAsia="仿宋_GB2312"/>
      <w:kern w:val="32"/>
      <w:szCs w:val="24"/>
    </w:rPr>
  </w:style>
  <w:style w:type="paragraph" w:styleId="10">
    <w:name w:val="toc 5"/>
    <w:basedOn w:val="1"/>
    <w:next w:val="1"/>
    <w:unhideWhenUsed/>
    <w:qFormat/>
    <w:uiPriority w:val="39"/>
    <w:pPr>
      <w:ind w:left="960"/>
      <w:jc w:val="left"/>
    </w:pPr>
    <w:rPr>
      <w:rFonts w:asciiTheme="minorHAnsi" w:hAnsiTheme="minorHAnsi" w:cstheme="minorHAnsi"/>
      <w:sz w:val="18"/>
      <w:szCs w:val="18"/>
    </w:rPr>
  </w:style>
  <w:style w:type="paragraph" w:styleId="11">
    <w:name w:val="toc 3"/>
    <w:basedOn w:val="1"/>
    <w:next w:val="1"/>
    <w:unhideWhenUsed/>
    <w:qFormat/>
    <w:uiPriority w:val="39"/>
    <w:pPr>
      <w:ind w:left="480"/>
      <w:jc w:val="left"/>
    </w:pPr>
    <w:rPr>
      <w:rFonts w:asciiTheme="minorHAnsi" w:hAnsiTheme="minorHAnsi" w:cstheme="minorHAnsi"/>
      <w:i/>
      <w:iCs/>
      <w:sz w:val="20"/>
      <w:szCs w:val="20"/>
    </w:rPr>
  </w:style>
  <w:style w:type="paragraph" w:styleId="12">
    <w:name w:val="Plain Text"/>
    <w:basedOn w:val="1"/>
    <w:link w:val="44"/>
    <w:qFormat/>
    <w:uiPriority w:val="0"/>
    <w:rPr>
      <w:rFonts w:ascii="宋体" w:hAnsi="Courier New" w:cs="宋体"/>
      <w:szCs w:val="21"/>
    </w:rPr>
  </w:style>
  <w:style w:type="paragraph" w:styleId="13">
    <w:name w:val="toc 8"/>
    <w:basedOn w:val="1"/>
    <w:next w:val="1"/>
    <w:unhideWhenUsed/>
    <w:qFormat/>
    <w:uiPriority w:val="39"/>
    <w:pPr>
      <w:ind w:left="1680"/>
      <w:jc w:val="left"/>
    </w:pPr>
    <w:rPr>
      <w:rFonts w:asciiTheme="minorHAnsi" w:hAnsiTheme="minorHAnsi" w:cstheme="minorHAnsi"/>
      <w:sz w:val="18"/>
      <w:szCs w:val="18"/>
    </w:rPr>
  </w:style>
  <w:style w:type="paragraph" w:styleId="14">
    <w:name w:val="Date"/>
    <w:basedOn w:val="1"/>
    <w:next w:val="1"/>
    <w:link w:val="45"/>
    <w:qFormat/>
    <w:uiPriority w:val="0"/>
    <w:pPr>
      <w:ind w:left="100" w:leftChars="2500"/>
    </w:pPr>
    <w:rPr>
      <w:rFonts w:ascii="仿宋_GB2312" w:hAnsi="Times New Roman" w:eastAsia="仿宋_GB2312"/>
      <w:kern w:val="32"/>
      <w:szCs w:val="24"/>
    </w:rPr>
  </w:style>
  <w:style w:type="paragraph" w:styleId="15">
    <w:name w:val="Body Text Indent 2"/>
    <w:basedOn w:val="1"/>
    <w:link w:val="46"/>
    <w:qFormat/>
    <w:uiPriority w:val="0"/>
    <w:pPr>
      <w:ind w:firstLine="640"/>
    </w:pPr>
    <w:rPr>
      <w:rFonts w:ascii="Times New Roman" w:hAnsi="Times New Roman" w:eastAsia="仿宋_GB2312"/>
      <w:szCs w:val="24"/>
    </w:rPr>
  </w:style>
  <w:style w:type="paragraph" w:styleId="16">
    <w:name w:val="Balloon Text"/>
    <w:basedOn w:val="1"/>
    <w:link w:val="47"/>
    <w:semiHidden/>
    <w:qFormat/>
    <w:uiPriority w:val="0"/>
    <w:rPr>
      <w:rFonts w:ascii="仿宋_GB2312" w:hAnsi="Times New Roman" w:eastAsia="仿宋_GB2312"/>
      <w:kern w:val="32"/>
      <w:sz w:val="18"/>
      <w:szCs w:val="18"/>
    </w:rPr>
  </w:style>
  <w:style w:type="paragraph" w:styleId="17">
    <w:name w:val="footer"/>
    <w:basedOn w:val="1"/>
    <w:link w:val="36"/>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tabs>
        <w:tab w:val="right" w:leader="dot" w:pos="8296"/>
      </w:tabs>
      <w:snapToGrid w:val="0"/>
      <w:spacing w:before="120" w:after="120"/>
      <w:ind w:firstLine="0" w:firstLineChars="0"/>
      <w:jc w:val="left"/>
    </w:pPr>
    <w:rPr>
      <w:rFonts w:ascii="方正仿宋_GBK" w:hAnsiTheme="minorHAnsi" w:cstheme="minorHAnsi"/>
      <w:b/>
      <w:bCs/>
      <w:caps/>
      <w:sz w:val="24"/>
      <w:szCs w:val="24"/>
    </w:rPr>
  </w:style>
  <w:style w:type="paragraph" w:styleId="20">
    <w:name w:val="toc 4"/>
    <w:basedOn w:val="1"/>
    <w:next w:val="1"/>
    <w:unhideWhenUsed/>
    <w:qFormat/>
    <w:uiPriority w:val="39"/>
    <w:pPr>
      <w:ind w:left="720"/>
      <w:jc w:val="left"/>
    </w:pPr>
    <w:rPr>
      <w:rFonts w:asciiTheme="minorHAnsi" w:hAnsiTheme="minorHAnsi" w:cstheme="minorHAnsi"/>
      <w:sz w:val="18"/>
      <w:szCs w:val="18"/>
    </w:rPr>
  </w:style>
  <w:style w:type="paragraph" w:styleId="21">
    <w:name w:val="Subtitle"/>
    <w:basedOn w:val="1"/>
    <w:next w:val="1"/>
    <w:link w:val="48"/>
    <w:qFormat/>
    <w:uiPriority w:val="0"/>
    <w:pPr>
      <w:spacing w:before="240" w:after="60" w:line="312" w:lineRule="auto"/>
      <w:jc w:val="center"/>
      <w:outlineLvl w:val="1"/>
    </w:pPr>
    <w:rPr>
      <w:rFonts w:ascii="Cambria" w:hAnsi="Cambria"/>
      <w:b/>
      <w:bCs/>
      <w:kern w:val="28"/>
      <w:szCs w:val="32"/>
    </w:rPr>
  </w:style>
  <w:style w:type="paragraph" w:styleId="22">
    <w:name w:val="toc 6"/>
    <w:basedOn w:val="1"/>
    <w:next w:val="1"/>
    <w:unhideWhenUsed/>
    <w:qFormat/>
    <w:uiPriority w:val="39"/>
    <w:pPr>
      <w:ind w:left="1200"/>
      <w:jc w:val="left"/>
    </w:pPr>
    <w:rPr>
      <w:rFonts w:asciiTheme="minorHAnsi" w:hAnsiTheme="minorHAnsi" w:cstheme="minorHAnsi"/>
      <w:sz w:val="18"/>
      <w:szCs w:val="18"/>
    </w:rPr>
  </w:style>
  <w:style w:type="paragraph" w:styleId="23">
    <w:name w:val="Body Text Indent 3"/>
    <w:basedOn w:val="1"/>
    <w:link w:val="49"/>
    <w:qFormat/>
    <w:uiPriority w:val="0"/>
    <w:pPr>
      <w:spacing w:after="120"/>
      <w:ind w:left="420" w:leftChars="200"/>
    </w:pPr>
    <w:rPr>
      <w:rFonts w:ascii="仿宋_GB2312" w:hAnsi="Times New Roman" w:eastAsia="仿宋_GB2312"/>
      <w:kern w:val="32"/>
      <w:sz w:val="16"/>
      <w:szCs w:val="16"/>
    </w:rPr>
  </w:style>
  <w:style w:type="paragraph" w:styleId="24">
    <w:name w:val="table of figures"/>
    <w:basedOn w:val="1"/>
    <w:next w:val="1"/>
    <w:qFormat/>
    <w:uiPriority w:val="0"/>
    <w:pPr>
      <w:ind w:left="200" w:leftChars="200" w:hanging="200" w:hangingChars="200"/>
    </w:pPr>
  </w:style>
  <w:style w:type="paragraph" w:styleId="25">
    <w:name w:val="toc 2"/>
    <w:basedOn w:val="1"/>
    <w:next w:val="1"/>
    <w:unhideWhenUsed/>
    <w:qFormat/>
    <w:uiPriority w:val="39"/>
    <w:pPr>
      <w:ind w:left="240"/>
      <w:jc w:val="left"/>
    </w:pPr>
    <w:rPr>
      <w:rFonts w:asciiTheme="minorHAnsi" w:hAnsiTheme="minorHAnsi" w:cstheme="minorHAnsi"/>
      <w:smallCaps/>
      <w:sz w:val="20"/>
      <w:szCs w:val="20"/>
    </w:rPr>
  </w:style>
  <w:style w:type="paragraph" w:styleId="26">
    <w:name w:val="toc 9"/>
    <w:basedOn w:val="1"/>
    <w:next w:val="1"/>
    <w:unhideWhenUsed/>
    <w:qFormat/>
    <w:uiPriority w:val="39"/>
    <w:pPr>
      <w:ind w:left="1920"/>
      <w:jc w:val="left"/>
    </w:pPr>
    <w:rPr>
      <w:rFonts w:asciiTheme="minorHAnsi" w:hAnsiTheme="minorHAnsi" w:cstheme="minorHAnsi"/>
      <w:sz w:val="18"/>
      <w:szCs w:val="18"/>
    </w:rPr>
  </w:style>
  <w:style w:type="paragraph" w:styleId="27">
    <w:name w:val="Body Text 2"/>
    <w:basedOn w:val="1"/>
    <w:link w:val="50"/>
    <w:qFormat/>
    <w:uiPriority w:val="0"/>
    <w:pPr>
      <w:jc w:val="center"/>
    </w:pPr>
    <w:rPr>
      <w:rFonts w:ascii="经典粗宋简" w:hAnsi="Times New Roman" w:eastAsia="经典粗宋简"/>
      <w:kern w:val="32"/>
      <w:sz w:val="44"/>
      <w:szCs w:val="24"/>
    </w:rPr>
  </w:style>
  <w:style w:type="paragraph" w:styleId="28">
    <w:name w:val="HTML Preformatted"/>
    <w:basedOn w:val="1"/>
    <w:link w:val="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9">
    <w:name w:val="Normal (Web)"/>
    <w:basedOn w:val="1"/>
    <w:qFormat/>
    <w:uiPriority w:val="0"/>
    <w:pPr>
      <w:ind w:firstLine="0" w:firstLineChars="0"/>
    </w:pPr>
    <w:rPr>
      <w:rFonts w:asciiTheme="minorHAnsi" w:hAnsiTheme="minorHAnsi" w:eastAsiaTheme="minorEastAsia" w:cstheme="minorBidi"/>
      <w:szCs w:val="24"/>
    </w:rPr>
  </w:style>
  <w:style w:type="paragraph" w:styleId="30">
    <w:name w:val="annotation subject"/>
    <w:basedOn w:val="7"/>
    <w:next w:val="7"/>
    <w:link w:val="56"/>
    <w:semiHidden/>
    <w:unhideWhenUsed/>
    <w:qFormat/>
    <w:uiPriority w:val="99"/>
    <w:rPr>
      <w:b/>
      <w:bCs/>
    </w:rPr>
  </w:style>
  <w:style w:type="character" w:styleId="33">
    <w:name w:val="page number"/>
    <w:qFormat/>
    <w:uiPriority w:val="0"/>
  </w:style>
  <w:style w:type="character" w:styleId="34">
    <w:name w:val="Hyperlink"/>
    <w:basedOn w:val="32"/>
    <w:unhideWhenUsed/>
    <w:qFormat/>
    <w:uiPriority w:val="99"/>
    <w:rPr>
      <w:color w:val="0000FF" w:themeColor="hyperlink"/>
      <w:u w:val="single"/>
      <w14:textFill>
        <w14:solidFill>
          <w14:schemeClr w14:val="hlink"/>
        </w14:solidFill>
      </w14:textFill>
    </w:rPr>
  </w:style>
  <w:style w:type="character" w:styleId="35">
    <w:name w:val="annotation reference"/>
    <w:basedOn w:val="32"/>
    <w:semiHidden/>
    <w:unhideWhenUsed/>
    <w:qFormat/>
    <w:uiPriority w:val="99"/>
    <w:rPr>
      <w:sz w:val="21"/>
      <w:szCs w:val="21"/>
    </w:rPr>
  </w:style>
  <w:style w:type="character" w:customStyle="1" w:styleId="36">
    <w:name w:val="页脚 Char"/>
    <w:basedOn w:val="32"/>
    <w:link w:val="17"/>
    <w:qFormat/>
    <w:uiPriority w:val="99"/>
    <w:rPr>
      <w:rFonts w:ascii="Calibri" w:hAnsi="Calibri" w:eastAsia="宋体" w:cs="Times New Roman"/>
      <w:sz w:val="18"/>
      <w:szCs w:val="18"/>
    </w:rPr>
  </w:style>
  <w:style w:type="character" w:customStyle="1" w:styleId="37">
    <w:name w:val="标题 1 Char"/>
    <w:basedOn w:val="32"/>
    <w:link w:val="3"/>
    <w:qFormat/>
    <w:uiPriority w:val="9"/>
    <w:rPr>
      <w:rFonts w:ascii="Calibri" w:hAnsi="Calibri" w:eastAsia="方正小标宋_GBK" w:cs="Times New Roman"/>
      <w:bCs/>
      <w:kern w:val="44"/>
      <w:sz w:val="44"/>
      <w:szCs w:val="44"/>
    </w:rPr>
  </w:style>
  <w:style w:type="character" w:customStyle="1" w:styleId="38">
    <w:name w:val="标题 2 Char"/>
    <w:basedOn w:val="32"/>
    <w:link w:val="4"/>
    <w:qFormat/>
    <w:uiPriority w:val="0"/>
    <w:rPr>
      <w:rFonts w:eastAsia="方正小标宋_GBK" w:asciiTheme="majorHAnsi" w:hAnsiTheme="majorHAnsi" w:cstheme="majorBidi"/>
      <w:bCs/>
      <w:sz w:val="36"/>
      <w:szCs w:val="32"/>
    </w:rPr>
  </w:style>
  <w:style w:type="paragraph" w:styleId="39">
    <w:name w:val="List Paragraph"/>
    <w:basedOn w:val="1"/>
    <w:qFormat/>
    <w:uiPriority w:val="34"/>
    <w:pPr>
      <w:ind w:firstLine="420"/>
    </w:pPr>
  </w:style>
  <w:style w:type="character" w:customStyle="1" w:styleId="40">
    <w:name w:val="页眉 Char"/>
    <w:basedOn w:val="32"/>
    <w:link w:val="18"/>
    <w:qFormat/>
    <w:uiPriority w:val="0"/>
    <w:rPr>
      <w:rFonts w:ascii="Calibri" w:hAnsi="Calibri" w:eastAsia="宋体" w:cs="Times New Roman"/>
      <w:sz w:val="18"/>
      <w:szCs w:val="18"/>
    </w:rPr>
  </w:style>
  <w:style w:type="character" w:customStyle="1" w:styleId="41">
    <w:name w:val="标题 3 Char"/>
    <w:basedOn w:val="32"/>
    <w:link w:val="2"/>
    <w:qFormat/>
    <w:uiPriority w:val="0"/>
    <w:rPr>
      <w:rFonts w:ascii="Calibri" w:hAnsi="Calibri" w:eastAsia="方正仿宋_GBK" w:cs="Times New Roman"/>
      <w:b/>
      <w:bCs/>
      <w:sz w:val="32"/>
      <w:szCs w:val="32"/>
    </w:rPr>
  </w:style>
  <w:style w:type="character" w:customStyle="1" w:styleId="42">
    <w:name w:val="正文文本 Char"/>
    <w:basedOn w:val="32"/>
    <w:link w:val="8"/>
    <w:qFormat/>
    <w:uiPriority w:val="0"/>
    <w:rPr>
      <w:rFonts w:ascii="仿宋_GB2312" w:hAnsi="Times New Roman" w:eastAsia="仿宋_GB2312" w:cs="Times New Roman"/>
      <w:kern w:val="32"/>
      <w:sz w:val="32"/>
      <w:szCs w:val="20"/>
    </w:rPr>
  </w:style>
  <w:style w:type="character" w:customStyle="1" w:styleId="43">
    <w:name w:val="正文文本缩进 Char"/>
    <w:basedOn w:val="32"/>
    <w:link w:val="9"/>
    <w:qFormat/>
    <w:uiPriority w:val="0"/>
    <w:rPr>
      <w:rFonts w:ascii="仿宋_GB2312" w:hAnsi="Times New Roman" w:eastAsia="仿宋_GB2312" w:cs="Times New Roman"/>
      <w:kern w:val="32"/>
      <w:sz w:val="32"/>
      <w:szCs w:val="24"/>
    </w:rPr>
  </w:style>
  <w:style w:type="character" w:customStyle="1" w:styleId="44">
    <w:name w:val="纯文本 Char"/>
    <w:basedOn w:val="32"/>
    <w:link w:val="12"/>
    <w:qFormat/>
    <w:uiPriority w:val="0"/>
    <w:rPr>
      <w:rFonts w:ascii="宋体" w:hAnsi="Courier New" w:eastAsia="宋体" w:cs="宋体"/>
      <w:szCs w:val="21"/>
    </w:rPr>
  </w:style>
  <w:style w:type="character" w:customStyle="1" w:styleId="45">
    <w:name w:val="日期 Char"/>
    <w:basedOn w:val="32"/>
    <w:link w:val="14"/>
    <w:qFormat/>
    <w:uiPriority w:val="0"/>
    <w:rPr>
      <w:rFonts w:ascii="仿宋_GB2312" w:hAnsi="Times New Roman" w:eastAsia="仿宋_GB2312" w:cs="Times New Roman"/>
      <w:kern w:val="32"/>
      <w:sz w:val="32"/>
      <w:szCs w:val="24"/>
    </w:rPr>
  </w:style>
  <w:style w:type="character" w:customStyle="1" w:styleId="46">
    <w:name w:val="正文文本缩进 2 Char"/>
    <w:basedOn w:val="32"/>
    <w:link w:val="15"/>
    <w:qFormat/>
    <w:uiPriority w:val="0"/>
    <w:rPr>
      <w:rFonts w:ascii="Times New Roman" w:hAnsi="Times New Roman" w:eastAsia="仿宋_GB2312" w:cs="Times New Roman"/>
      <w:sz w:val="32"/>
      <w:szCs w:val="24"/>
    </w:rPr>
  </w:style>
  <w:style w:type="character" w:customStyle="1" w:styleId="47">
    <w:name w:val="批注框文本 Char"/>
    <w:basedOn w:val="32"/>
    <w:link w:val="16"/>
    <w:qFormat/>
    <w:uiPriority w:val="0"/>
    <w:rPr>
      <w:rFonts w:ascii="仿宋_GB2312" w:hAnsi="Times New Roman" w:eastAsia="仿宋_GB2312" w:cs="Times New Roman"/>
      <w:kern w:val="32"/>
      <w:sz w:val="18"/>
      <w:szCs w:val="18"/>
    </w:rPr>
  </w:style>
  <w:style w:type="character" w:customStyle="1" w:styleId="48">
    <w:name w:val="副标题 Char"/>
    <w:basedOn w:val="32"/>
    <w:link w:val="21"/>
    <w:qFormat/>
    <w:uiPriority w:val="0"/>
    <w:rPr>
      <w:rFonts w:ascii="Cambria" w:hAnsi="Cambria" w:eastAsia="宋体" w:cs="Times New Roman"/>
      <w:b/>
      <w:bCs/>
      <w:kern w:val="28"/>
      <w:sz w:val="32"/>
      <w:szCs w:val="32"/>
    </w:rPr>
  </w:style>
  <w:style w:type="character" w:customStyle="1" w:styleId="49">
    <w:name w:val="正文文本缩进 3 Char"/>
    <w:basedOn w:val="32"/>
    <w:link w:val="23"/>
    <w:qFormat/>
    <w:uiPriority w:val="0"/>
    <w:rPr>
      <w:rFonts w:ascii="仿宋_GB2312" w:hAnsi="Times New Roman" w:eastAsia="仿宋_GB2312" w:cs="Times New Roman"/>
      <w:kern w:val="32"/>
      <w:sz w:val="16"/>
      <w:szCs w:val="16"/>
    </w:rPr>
  </w:style>
  <w:style w:type="character" w:customStyle="1" w:styleId="50">
    <w:name w:val="正文文本 2 Char"/>
    <w:basedOn w:val="32"/>
    <w:link w:val="27"/>
    <w:qFormat/>
    <w:uiPriority w:val="0"/>
    <w:rPr>
      <w:rFonts w:ascii="经典粗宋简" w:hAnsi="Times New Roman" w:eastAsia="经典粗宋简" w:cs="Times New Roman"/>
      <w:kern w:val="32"/>
      <w:sz w:val="44"/>
      <w:szCs w:val="24"/>
    </w:rPr>
  </w:style>
  <w:style w:type="character" w:customStyle="1" w:styleId="51">
    <w:name w:val="HTML 预设格式 Char"/>
    <w:basedOn w:val="32"/>
    <w:link w:val="28"/>
    <w:qFormat/>
    <w:uiPriority w:val="0"/>
    <w:rPr>
      <w:rFonts w:ascii="宋体" w:hAnsi="宋体" w:eastAsia="宋体" w:cs="宋体"/>
      <w:kern w:val="0"/>
      <w:sz w:val="24"/>
      <w:szCs w:val="24"/>
    </w:rPr>
  </w:style>
  <w:style w:type="character" w:customStyle="1" w:styleId="52">
    <w:name w:val="正文文本 (2)_"/>
    <w:link w:val="53"/>
    <w:qFormat/>
    <w:locked/>
    <w:uiPriority w:val="0"/>
    <w:rPr>
      <w:rFonts w:ascii="宋体" w:eastAsia="宋体"/>
      <w:szCs w:val="21"/>
      <w:shd w:val="clear" w:color="auto" w:fill="FFFFFF"/>
    </w:rPr>
  </w:style>
  <w:style w:type="paragraph" w:customStyle="1" w:styleId="53">
    <w:name w:val="正文文本 (2)1"/>
    <w:basedOn w:val="1"/>
    <w:link w:val="52"/>
    <w:qFormat/>
    <w:uiPriority w:val="0"/>
    <w:pPr>
      <w:shd w:val="clear" w:color="auto" w:fill="FFFFFF"/>
      <w:spacing w:line="240" w:lineRule="atLeast"/>
    </w:pPr>
    <w:rPr>
      <w:rFonts w:ascii="宋体" w:hAnsiTheme="minorHAnsi" w:cstheme="minorBidi"/>
      <w:szCs w:val="21"/>
    </w:rPr>
  </w:style>
  <w:style w:type="paragraph" w:customStyle="1" w:styleId="54">
    <w:name w:val="TOC 标题1"/>
    <w:basedOn w:val="3"/>
    <w:next w:val="1"/>
    <w:unhideWhenUsed/>
    <w:qFormat/>
    <w:uiPriority w:val="39"/>
    <w:pPr>
      <w:pageBreakBefore w:val="0"/>
      <w:widowControl/>
      <w:adjustRightInd/>
      <w:snapToGrid/>
      <w:spacing w:before="24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 w:type="character" w:customStyle="1" w:styleId="55">
    <w:name w:val="批注文字 Char"/>
    <w:basedOn w:val="32"/>
    <w:link w:val="7"/>
    <w:semiHidden/>
    <w:qFormat/>
    <w:uiPriority w:val="99"/>
    <w:rPr>
      <w:rFonts w:ascii="Calibri" w:hAnsi="Calibri" w:eastAsia="方正仿宋_GBK" w:cs="Times New Roman"/>
      <w:sz w:val="32"/>
    </w:rPr>
  </w:style>
  <w:style w:type="character" w:customStyle="1" w:styleId="56">
    <w:name w:val="批注主题 Char"/>
    <w:basedOn w:val="55"/>
    <w:link w:val="30"/>
    <w:semiHidden/>
    <w:qFormat/>
    <w:uiPriority w:val="99"/>
    <w:rPr>
      <w:rFonts w:ascii="Calibri" w:hAnsi="Calibri" w:eastAsia="方正仿宋_GBK" w:cs="Times New Roman"/>
      <w:b/>
      <w:bCs/>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3082</Words>
  <Characters>17572</Characters>
  <Lines>146</Lines>
  <Paragraphs>41</Paragraphs>
  <TotalTime>0</TotalTime>
  <ScaleCrop>false</ScaleCrop>
  <LinksUpToDate>false</LinksUpToDate>
  <CharactersWithSpaces>20613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2022-07-05T03:34:00Z</dcterms:created>
  <dc:creator>PC</dc:creator>
  <cp:lastModifiedBy>user</cp:lastModifiedBy>
  <cp:lastPrinted>2022-08-13T19:24:00Z</cp:lastPrinted>
  <dcterms:modified xsi:type="dcterms:W3CDTF">2022-08-17T10:02:27Z</dcterms:modified>
  <cp:revision>389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