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napToGrid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napToGrid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napToGrid w:val="0"/>
          <w:sz w:val="44"/>
          <w:szCs w:val="44"/>
        </w:rPr>
      </w:pPr>
      <w:r>
        <w:rPr>
          <w:rFonts w:hint="eastAsia" w:ascii="方正小标宋_GBK" w:eastAsia="方正小标宋_GBK"/>
          <w:snapToGrid w:val="0"/>
          <w:sz w:val="44"/>
          <w:szCs w:val="44"/>
        </w:rPr>
        <w:t>石柱土家族自治县人民政府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napToGrid w:val="0"/>
          <w:sz w:val="44"/>
          <w:szCs w:val="44"/>
        </w:rPr>
      </w:pPr>
      <w:r>
        <w:rPr>
          <w:rFonts w:hint="eastAsia" w:ascii="方正小标宋_GBK" w:eastAsia="方正小标宋_GBK"/>
          <w:snapToGrid w:val="0"/>
          <w:sz w:val="44"/>
          <w:szCs w:val="44"/>
        </w:rPr>
        <w:t>关于取消和承接一批行政许可事项的决定</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仿宋_GBK" w:cs="Times New Roman"/>
          <w:snapToGrid w:val="0"/>
          <w:sz w:val="32"/>
          <w:szCs w:val="32"/>
        </w:rPr>
      </w:pPr>
      <w:r>
        <w:rPr>
          <w:rFonts w:hint="eastAsia" w:ascii="方正仿宋_GBK" w:eastAsia="方正仿宋_GBK"/>
          <w:snapToGrid w:val="0"/>
          <w:sz w:val="32"/>
          <w:szCs w:val="32"/>
        </w:rPr>
        <w:t xml:space="preserve"> </w:t>
      </w:r>
      <w:r>
        <w:rPr>
          <w:rFonts w:hint="default" w:ascii="Times New Roman" w:hAnsi="Times New Roman" w:eastAsia="方正仿宋_GBK" w:cs="Times New Roman"/>
          <w:snapToGrid w:val="0"/>
          <w:sz w:val="32"/>
          <w:szCs w:val="32"/>
        </w:rPr>
        <w:t>石柱府发〔2019〕13号</w:t>
      </w:r>
    </w:p>
    <w:p>
      <w:pPr>
        <w:snapToGrid w:val="0"/>
        <w:spacing w:line="560" w:lineRule="exact"/>
        <w:rPr>
          <w:rFonts w:hint="eastAsia" w:ascii="方正仿宋_GBK" w:eastAsia="方正仿宋_GBK"/>
          <w:snapToGrid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eastAsia="方正仿宋_GBK"/>
          <w:snapToGrid w:val="0"/>
          <w:sz w:val="32"/>
          <w:szCs w:val="32"/>
        </w:rPr>
      </w:pPr>
      <w:r>
        <w:rPr>
          <w:rFonts w:hint="eastAsia" w:ascii="方正仿宋_GBK" w:eastAsia="方正仿宋_GBK"/>
          <w:snapToGrid w:val="0"/>
          <w:sz w:val="32"/>
          <w:szCs w:val="32"/>
        </w:rPr>
        <w:t xml:space="preserve">各乡镇（街道）人民政府（办事处），县政府各部门，有关单位：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 xml:space="preserve">为贯彻落实《国务院关于取消和下放一批行政许可事项的决定》（国发〔2019〕6号）和《市政府关于取消和调整一批行政许可事项的决定》（渝府发〔2019〕9号）精神，进一步转变政府职能，优化我县营商环境，县政府决定对应取消县级行政许可事项3项，承接市政府下放的行政许可事项2项。现将上述取消和调整的5项行政许可事项目录予以公布，自公布之日起实施。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 xml:space="preserve">各乡镇（街道）、县政府各部门和有关单位要加强组织领导，认真做好落实和衔接工作。要制定事中事后监管措施，采取“双随机、一公开”监管、重点监管、信用监管、“互联网+监管”等方式，确保放得开、接得住、管得好，防止出现监管真空。对取消的行政许可事项，不得擅自转交下属事业单位、协会继续审批，不得通过拆分、合并或重组等方式以新的名义、条目替代审批，不得以其他任何形式变相审批；对承接的行政许可事项要细化承接措施，确保平稳有序过渡；对承接到的行政许可事项要加强培训和指导。要加强信息公开，及时向社会公布有关事项事中事后监管细则，相应调整网上行政许可事项及办事指南，动态管理权力清单和责任清单。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 xml:space="preserve">    附件：1．取消的行政许可事项目录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 xml:space="preserve">          2．承接的行政许可事项目录 </w:t>
      </w:r>
    </w:p>
    <w:p>
      <w:pPr>
        <w:snapToGrid w:val="0"/>
        <w:spacing w:line="560" w:lineRule="exact"/>
        <w:rPr>
          <w:rFonts w:hint="eastAsia" w:ascii="方正仿宋_GBK" w:eastAsia="方正仿宋_GBK"/>
          <w:snapToGrid w:val="0"/>
          <w:sz w:val="32"/>
          <w:szCs w:val="32"/>
        </w:rPr>
      </w:pPr>
      <w:r>
        <w:rPr>
          <w:rFonts w:hint="eastAsia" w:ascii="方正仿宋_GBK" w:eastAsia="方正仿宋_GBK"/>
          <w:snapToGrid w:val="0"/>
          <w:sz w:val="32"/>
          <w:szCs w:val="32"/>
        </w:rPr>
        <w:t xml:space="preserve">           </w:t>
      </w:r>
    </w:p>
    <w:p>
      <w:pPr>
        <w:snapToGrid w:val="0"/>
        <w:spacing w:line="560" w:lineRule="exact"/>
        <w:rPr>
          <w:rFonts w:hint="eastAsia" w:ascii="方正仿宋_GBK" w:eastAsia="方正仿宋_GBK"/>
          <w:snapToGrid w:val="0"/>
          <w:sz w:val="32"/>
          <w:szCs w:val="32"/>
        </w:rPr>
      </w:pPr>
      <w:r>
        <w:rPr>
          <w:rFonts w:hint="eastAsia" w:ascii="方正仿宋_GBK" w:eastAsia="方正仿宋_GBK"/>
          <w:snapToGrid w:val="0"/>
          <w:sz w:val="32"/>
          <w:szCs w:val="32"/>
        </w:rPr>
        <w:t xml:space="preserve"> </w:t>
      </w:r>
    </w:p>
    <w:p>
      <w:pPr>
        <w:snapToGrid w:val="0"/>
        <w:spacing w:line="560" w:lineRule="exact"/>
        <w:rPr>
          <w:rFonts w:hint="eastAsia" w:ascii="方正仿宋_GBK" w:eastAsia="方正仿宋_GBK"/>
          <w:snapToGrid w:val="0"/>
          <w:sz w:val="32"/>
          <w:szCs w:val="32"/>
        </w:rPr>
      </w:pPr>
      <w:r>
        <w:rPr>
          <w:rFonts w:hint="eastAsia" w:ascii="方正仿宋_GBK" w:eastAsia="方正仿宋_GBK"/>
          <w:snapToGrid w:val="0"/>
          <w:sz w:val="32"/>
          <w:szCs w:val="32"/>
        </w:rPr>
        <w:t xml:space="preserve"> </w:t>
      </w:r>
    </w:p>
    <w:p>
      <w:pPr>
        <w:wordWrap w:val="0"/>
        <w:snapToGrid w:val="0"/>
        <w:spacing w:line="560" w:lineRule="exact"/>
        <w:jc w:val="right"/>
        <w:rPr>
          <w:rFonts w:hint="eastAsia" w:ascii="方正仿宋_GBK" w:eastAsia="方正仿宋_GBK"/>
          <w:snapToGrid w:val="0"/>
          <w:sz w:val="32"/>
          <w:szCs w:val="32"/>
        </w:rPr>
      </w:pPr>
      <w:r>
        <w:rPr>
          <w:rFonts w:hint="eastAsia" w:ascii="方正仿宋_GBK" w:eastAsia="方正仿宋_GBK"/>
          <w:snapToGrid w:val="0"/>
          <w:sz w:val="32"/>
          <w:szCs w:val="32"/>
        </w:rPr>
        <w:t xml:space="preserve">                       石柱土家族自治县人民政府   </w:t>
      </w:r>
    </w:p>
    <w:p>
      <w:pPr>
        <w:wordWrap w:val="0"/>
        <w:snapToGrid w:val="0"/>
        <w:spacing w:line="560" w:lineRule="exact"/>
        <w:jc w:val="center"/>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r>
        <w:rPr>
          <w:rFonts w:hint="eastAsia" w:ascii="方正仿宋_GBK" w:eastAsia="方正仿宋_GBK"/>
          <w:snapToGrid w:val="0"/>
          <w:sz w:val="32"/>
          <w:szCs w:val="32"/>
          <w:lang w:val="en-US" w:eastAsia="zh-CN"/>
        </w:rPr>
        <w:t xml:space="preserve">                           </w:t>
      </w:r>
      <w:r>
        <w:rPr>
          <w:rFonts w:hint="default"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rPr>
        <w:t xml:space="preserve">2019年5月27日 </w:t>
      </w:r>
      <w:r>
        <w:rPr>
          <w:rFonts w:hint="eastAsia" w:ascii="方正仿宋_GBK" w:eastAsia="方正仿宋_GBK"/>
          <w:snapToGrid w:val="0"/>
          <w:sz w:val="32"/>
          <w:szCs w:val="32"/>
        </w:rPr>
        <w:t xml:space="preserve">  </w:t>
      </w:r>
    </w:p>
    <w:p>
      <w:pPr>
        <w:snapToGrid w:val="0"/>
        <w:spacing w:line="560" w:lineRule="exact"/>
        <w:rPr>
          <w:rFonts w:hint="eastAsia" w:ascii="方正仿宋_GBK" w:eastAsia="方正仿宋_GBK"/>
          <w:snapToGrid w:val="0"/>
          <w:sz w:val="32"/>
          <w:szCs w:val="32"/>
        </w:rPr>
      </w:pPr>
      <w:r>
        <w:rPr>
          <w:rFonts w:hint="eastAsia" w:ascii="方正黑体_GBK" w:eastAsia="方正黑体_GBK"/>
          <w:snapToGrid w:val="0"/>
          <w:sz w:val="32"/>
          <w:szCs w:val="32"/>
        </w:rPr>
        <w:t xml:space="preserve">附件1 </w:t>
      </w:r>
    </w:p>
    <w:p>
      <w:pPr>
        <w:snapToGrid w:val="0"/>
        <w:spacing w:line="560" w:lineRule="exact"/>
        <w:jc w:val="center"/>
        <w:rPr>
          <w:rFonts w:hint="eastAsia" w:ascii="方正小标宋_GBK" w:eastAsia="方正小标宋_GBK"/>
          <w:snapToGrid w:val="0"/>
          <w:sz w:val="44"/>
          <w:szCs w:val="44"/>
        </w:rPr>
      </w:pPr>
      <w:r>
        <w:rPr>
          <w:rFonts w:hint="eastAsia" w:ascii="方正小标宋_GBK" w:eastAsia="方正小标宋_GBK"/>
          <w:snapToGrid w:val="0"/>
          <w:sz w:val="44"/>
          <w:szCs w:val="44"/>
        </w:rPr>
        <w:t>取消的行政许可事项目录</w:t>
      </w:r>
    </w:p>
    <w:p>
      <w:pPr>
        <w:snapToGrid w:val="0"/>
        <w:spacing w:line="560" w:lineRule="exact"/>
        <w:rPr>
          <w:rFonts w:hint="eastAsia" w:ascii="方正仿宋_GBK" w:eastAsia="方正仿宋_GBK"/>
          <w:snapToGrid w:val="0"/>
          <w:sz w:val="32"/>
          <w:szCs w:val="32"/>
        </w:rPr>
      </w:pPr>
      <w:r>
        <w:rPr>
          <w:rFonts w:hint="eastAsia" w:ascii="方正仿宋_GBK" w:eastAsia="方正仿宋_GBK"/>
          <w:snapToGrid w:val="0"/>
          <w:sz w:val="32"/>
          <w:szCs w:val="32"/>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423"/>
        <w:gridCol w:w="2565"/>
        <w:gridCol w:w="1215"/>
        <w:gridCol w:w="960"/>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780" w:type="dxa"/>
            <w:noWrap w:val="0"/>
            <w:vAlign w:val="center"/>
          </w:tcPr>
          <w:p>
            <w:pPr>
              <w:snapToGrid w:val="0"/>
              <w:spacing w:line="400" w:lineRule="exact"/>
              <w:jc w:val="center"/>
              <w:rPr>
                <w:rFonts w:hint="eastAsia" w:ascii="方正黑体_GBK" w:eastAsia="方正黑体_GBK"/>
                <w:snapToGrid w:val="0"/>
                <w:sz w:val="24"/>
              </w:rPr>
            </w:pPr>
            <w:r>
              <w:rPr>
                <w:rFonts w:hint="eastAsia" w:ascii="方正黑体_GBK" w:eastAsia="方正黑体_GBK"/>
                <w:snapToGrid w:val="0"/>
                <w:sz w:val="24"/>
              </w:rPr>
              <w:t>序号</w:t>
            </w:r>
          </w:p>
        </w:tc>
        <w:tc>
          <w:tcPr>
            <w:tcW w:w="1423" w:type="dxa"/>
            <w:noWrap w:val="0"/>
            <w:vAlign w:val="center"/>
          </w:tcPr>
          <w:p>
            <w:pPr>
              <w:snapToGrid w:val="0"/>
              <w:spacing w:line="400" w:lineRule="exact"/>
              <w:jc w:val="center"/>
              <w:rPr>
                <w:rFonts w:hint="eastAsia" w:ascii="方正黑体_GBK" w:eastAsia="方正黑体_GBK"/>
                <w:snapToGrid w:val="0"/>
                <w:sz w:val="24"/>
              </w:rPr>
            </w:pPr>
            <w:r>
              <w:rPr>
                <w:rFonts w:hint="eastAsia" w:ascii="方正黑体_GBK" w:eastAsia="方正黑体_GBK"/>
                <w:snapToGrid w:val="0"/>
                <w:sz w:val="24"/>
              </w:rPr>
              <w:t>事项名称</w:t>
            </w:r>
          </w:p>
        </w:tc>
        <w:tc>
          <w:tcPr>
            <w:tcW w:w="2565" w:type="dxa"/>
            <w:noWrap w:val="0"/>
            <w:vAlign w:val="center"/>
          </w:tcPr>
          <w:p>
            <w:pPr>
              <w:snapToGrid w:val="0"/>
              <w:spacing w:line="400" w:lineRule="exact"/>
              <w:jc w:val="center"/>
              <w:rPr>
                <w:rFonts w:hint="eastAsia" w:ascii="方正黑体_GBK" w:eastAsia="方正黑体_GBK"/>
                <w:snapToGrid w:val="0"/>
                <w:sz w:val="24"/>
              </w:rPr>
            </w:pPr>
            <w:r>
              <w:rPr>
                <w:rFonts w:hint="eastAsia" w:ascii="方正黑体_GBK" w:eastAsia="方正黑体_GBK"/>
                <w:snapToGrid w:val="0"/>
                <w:sz w:val="24"/>
              </w:rPr>
              <w:t>设定依据</w:t>
            </w:r>
          </w:p>
        </w:tc>
        <w:tc>
          <w:tcPr>
            <w:tcW w:w="1215" w:type="dxa"/>
            <w:noWrap w:val="0"/>
            <w:vAlign w:val="center"/>
          </w:tcPr>
          <w:p>
            <w:pPr>
              <w:snapToGrid w:val="0"/>
              <w:spacing w:line="400" w:lineRule="exact"/>
              <w:jc w:val="center"/>
              <w:rPr>
                <w:rFonts w:hint="eastAsia" w:ascii="方正黑体_GBK" w:eastAsia="方正黑体_GBK"/>
                <w:snapToGrid w:val="0"/>
                <w:sz w:val="24"/>
              </w:rPr>
            </w:pPr>
            <w:r>
              <w:rPr>
                <w:rFonts w:hint="eastAsia" w:ascii="方正黑体_GBK" w:eastAsia="方正黑体_GBK"/>
                <w:snapToGrid w:val="0"/>
                <w:sz w:val="24"/>
              </w:rPr>
              <w:t>审批部门</w:t>
            </w:r>
          </w:p>
        </w:tc>
        <w:tc>
          <w:tcPr>
            <w:tcW w:w="960" w:type="dxa"/>
            <w:noWrap w:val="0"/>
            <w:vAlign w:val="center"/>
          </w:tcPr>
          <w:p>
            <w:pPr>
              <w:snapToGrid w:val="0"/>
              <w:spacing w:line="400" w:lineRule="exact"/>
              <w:jc w:val="center"/>
              <w:rPr>
                <w:rFonts w:hint="eastAsia" w:ascii="方正黑体_GBK" w:eastAsia="方正黑体_GBK"/>
                <w:snapToGrid w:val="0"/>
                <w:sz w:val="24"/>
              </w:rPr>
            </w:pPr>
            <w:r>
              <w:rPr>
                <w:rFonts w:hint="eastAsia" w:ascii="方正黑体_GBK" w:eastAsia="方正黑体_GBK"/>
                <w:snapToGrid w:val="0"/>
                <w:sz w:val="24"/>
              </w:rPr>
              <w:t>处理</w:t>
            </w:r>
          </w:p>
          <w:p>
            <w:pPr>
              <w:snapToGrid w:val="0"/>
              <w:spacing w:line="400" w:lineRule="exact"/>
              <w:jc w:val="center"/>
              <w:rPr>
                <w:rFonts w:hint="eastAsia" w:ascii="方正黑体_GBK" w:eastAsia="方正黑体_GBK"/>
                <w:snapToGrid w:val="0"/>
                <w:sz w:val="24"/>
              </w:rPr>
            </w:pPr>
            <w:r>
              <w:rPr>
                <w:rFonts w:hint="eastAsia" w:ascii="方正黑体_GBK" w:eastAsia="方正黑体_GBK"/>
                <w:snapToGrid w:val="0"/>
                <w:sz w:val="24"/>
              </w:rPr>
              <w:t>决定</w:t>
            </w:r>
          </w:p>
        </w:tc>
        <w:tc>
          <w:tcPr>
            <w:tcW w:w="6243" w:type="dxa"/>
            <w:noWrap w:val="0"/>
            <w:vAlign w:val="center"/>
          </w:tcPr>
          <w:p>
            <w:pPr>
              <w:snapToGrid w:val="0"/>
              <w:spacing w:line="400" w:lineRule="exact"/>
              <w:jc w:val="center"/>
              <w:rPr>
                <w:rFonts w:hint="eastAsia" w:ascii="方正黑体_GBK" w:eastAsia="方正黑体_GBK"/>
                <w:snapToGrid w:val="0"/>
                <w:sz w:val="24"/>
              </w:rPr>
            </w:pPr>
            <w:r>
              <w:rPr>
                <w:rFonts w:hint="eastAsia" w:ascii="方正黑体_GBK" w:eastAsia="方正黑体_GBK"/>
                <w:snapToGrid w:val="0"/>
                <w:sz w:val="24"/>
              </w:rPr>
              <w:t>加强事中事后监管措施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9" w:hRule="atLeast"/>
          <w:jc w:val="center"/>
        </w:trPr>
        <w:tc>
          <w:tcPr>
            <w:tcW w:w="780" w:type="dxa"/>
            <w:noWrap w:val="0"/>
            <w:vAlign w:val="center"/>
          </w:tcPr>
          <w:p>
            <w:pPr>
              <w:snapToGrid w:val="0"/>
              <w:spacing w:line="400" w:lineRule="exact"/>
              <w:jc w:val="center"/>
              <w:rPr>
                <w:rFonts w:hint="eastAsia" w:ascii="方正仿宋_GBK" w:eastAsia="方正仿宋_GBK"/>
                <w:snapToGrid w:val="0"/>
                <w:sz w:val="24"/>
              </w:rPr>
            </w:pPr>
            <w:r>
              <w:rPr>
                <w:rFonts w:hint="eastAsia" w:ascii="方正仿宋_GBK" w:eastAsia="方正仿宋_GBK"/>
                <w:snapToGrid w:val="0"/>
                <w:sz w:val="24"/>
              </w:rPr>
              <w:t>1</w:t>
            </w:r>
          </w:p>
        </w:tc>
        <w:tc>
          <w:tcPr>
            <w:tcW w:w="1423" w:type="dxa"/>
            <w:noWrap w:val="0"/>
            <w:vAlign w:val="center"/>
          </w:tcPr>
          <w:p>
            <w:pPr>
              <w:snapToGrid w:val="0"/>
              <w:spacing w:line="400" w:lineRule="exact"/>
              <w:rPr>
                <w:rFonts w:hint="eastAsia" w:ascii="方正仿宋_GBK" w:eastAsia="方正仿宋_GBK"/>
                <w:snapToGrid w:val="0"/>
                <w:sz w:val="24"/>
              </w:rPr>
            </w:pPr>
            <w:r>
              <w:rPr>
                <w:rFonts w:hint="eastAsia" w:ascii="方正仿宋_GBK" w:eastAsia="方正仿宋_GBK"/>
                <w:snapToGrid w:val="0"/>
                <w:sz w:val="24"/>
              </w:rPr>
              <w:t>船员注册及服务簿签发</w:t>
            </w:r>
          </w:p>
        </w:tc>
        <w:tc>
          <w:tcPr>
            <w:tcW w:w="2565" w:type="dxa"/>
            <w:noWrap w:val="0"/>
            <w:vAlign w:val="center"/>
          </w:tcPr>
          <w:p>
            <w:pPr>
              <w:snapToGrid w:val="0"/>
              <w:spacing w:line="400" w:lineRule="exact"/>
              <w:rPr>
                <w:rFonts w:hint="eastAsia" w:ascii="方正仿宋_GBK" w:eastAsia="方正仿宋_GBK"/>
                <w:snapToGrid w:val="0"/>
                <w:sz w:val="24"/>
              </w:rPr>
            </w:pPr>
            <w:r>
              <w:rPr>
                <w:rFonts w:hint="eastAsia" w:ascii="方正仿宋_GBK" w:eastAsia="方正仿宋_GBK"/>
                <w:snapToGrid w:val="0"/>
                <w:sz w:val="24"/>
              </w:rPr>
              <w:t>《中华人民共和国船员条例》</w:t>
            </w:r>
          </w:p>
        </w:tc>
        <w:tc>
          <w:tcPr>
            <w:tcW w:w="1215" w:type="dxa"/>
            <w:noWrap w:val="0"/>
            <w:vAlign w:val="center"/>
          </w:tcPr>
          <w:p>
            <w:pPr>
              <w:snapToGrid w:val="0"/>
              <w:spacing w:line="400" w:lineRule="exact"/>
              <w:jc w:val="center"/>
              <w:rPr>
                <w:rFonts w:hint="eastAsia" w:ascii="方正仿宋_GBK" w:eastAsia="方正仿宋_GBK"/>
                <w:snapToGrid w:val="0"/>
                <w:sz w:val="24"/>
              </w:rPr>
            </w:pPr>
            <w:r>
              <w:rPr>
                <w:rFonts w:hint="eastAsia" w:ascii="方正仿宋_GBK" w:eastAsia="方正仿宋_GBK"/>
                <w:snapToGrid w:val="0"/>
                <w:sz w:val="24"/>
              </w:rPr>
              <w:t>县交通局</w:t>
            </w:r>
          </w:p>
        </w:tc>
        <w:tc>
          <w:tcPr>
            <w:tcW w:w="960" w:type="dxa"/>
            <w:noWrap w:val="0"/>
            <w:vAlign w:val="center"/>
          </w:tcPr>
          <w:p>
            <w:pPr>
              <w:snapToGrid w:val="0"/>
              <w:spacing w:line="400" w:lineRule="exact"/>
              <w:jc w:val="center"/>
              <w:rPr>
                <w:rFonts w:hint="eastAsia" w:ascii="方正仿宋_GBK" w:eastAsia="方正仿宋_GBK"/>
                <w:snapToGrid w:val="0"/>
                <w:sz w:val="24"/>
              </w:rPr>
            </w:pPr>
            <w:r>
              <w:rPr>
                <w:rFonts w:hint="eastAsia" w:ascii="方正仿宋_GBK" w:eastAsia="方正仿宋_GBK"/>
                <w:snapToGrid w:val="0"/>
                <w:sz w:val="24"/>
              </w:rPr>
              <w:t>取消</w:t>
            </w:r>
          </w:p>
        </w:tc>
        <w:tc>
          <w:tcPr>
            <w:tcW w:w="6243" w:type="dxa"/>
            <w:noWrap w:val="0"/>
            <w:vAlign w:val="center"/>
          </w:tcPr>
          <w:p>
            <w:pPr>
              <w:snapToGrid w:val="0"/>
              <w:spacing w:line="400" w:lineRule="exact"/>
              <w:rPr>
                <w:rFonts w:hint="eastAsia" w:ascii="方正仿宋_GBK" w:eastAsia="方正仿宋_GBK"/>
                <w:snapToGrid w:val="0"/>
                <w:sz w:val="24"/>
              </w:rPr>
            </w:pPr>
            <w:r>
              <w:rPr>
                <w:rFonts w:hint="eastAsia" w:ascii="方正仿宋_GBK" w:eastAsia="方正仿宋_GBK"/>
                <w:snapToGrid w:val="0"/>
                <w:sz w:val="24"/>
              </w:rPr>
              <w:t>取消审批后，对通过船员适任证书核发审查的船员直接发放《船员服务簿》。交通部门通过以下措施加强事中事后监管：1．加强船员适任证书管理，厨师、服务员等不参加航行值班的船员纳入船员适任证书核发申请人员范围。2．对年满18周岁（在船实习、见习人员年满16周岁）、符合船员健康要求、经船员基本安全培训并通过海事管理机构考试者，在签发相应船员适任证书时，直接发放《船员服务簿》。3．新的《船员服务簿》作为船员个人持有的法定文书，主要承载船员档案功能，记录船员履职情况。加强船员持有《船员服务簿》和记录船员履职情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780" w:type="dxa"/>
            <w:noWrap w:val="0"/>
            <w:vAlign w:val="center"/>
          </w:tcPr>
          <w:p>
            <w:pPr>
              <w:snapToGrid w:val="0"/>
              <w:spacing w:line="400" w:lineRule="exact"/>
              <w:jc w:val="center"/>
              <w:rPr>
                <w:rFonts w:hint="eastAsia" w:ascii="方正仿宋_GBK" w:eastAsia="方正仿宋_GBK"/>
                <w:snapToGrid w:val="0"/>
                <w:sz w:val="24"/>
              </w:rPr>
            </w:pPr>
            <w:r>
              <w:rPr>
                <w:rFonts w:hint="eastAsia" w:ascii="方正仿宋_GBK" w:eastAsia="方正仿宋_GBK"/>
                <w:snapToGrid w:val="0"/>
                <w:sz w:val="24"/>
              </w:rPr>
              <w:t>2</w:t>
            </w:r>
          </w:p>
        </w:tc>
        <w:tc>
          <w:tcPr>
            <w:tcW w:w="1423" w:type="dxa"/>
            <w:noWrap w:val="0"/>
            <w:vAlign w:val="center"/>
          </w:tcPr>
          <w:p>
            <w:pPr>
              <w:snapToGrid w:val="0"/>
              <w:spacing w:line="400" w:lineRule="exact"/>
              <w:rPr>
                <w:rFonts w:hint="eastAsia" w:ascii="方正仿宋_GBK" w:eastAsia="方正仿宋_GBK"/>
                <w:snapToGrid w:val="0"/>
                <w:sz w:val="24"/>
              </w:rPr>
            </w:pPr>
            <w:r>
              <w:rPr>
                <w:rFonts w:hint="eastAsia" w:ascii="方正仿宋_GBK" w:eastAsia="方正仿宋_GBK"/>
                <w:snapToGrid w:val="0"/>
                <w:sz w:val="24"/>
              </w:rPr>
              <w:t>道路货物运输站（场）经营许可</w:t>
            </w:r>
          </w:p>
        </w:tc>
        <w:tc>
          <w:tcPr>
            <w:tcW w:w="2565" w:type="dxa"/>
            <w:noWrap w:val="0"/>
            <w:vAlign w:val="center"/>
          </w:tcPr>
          <w:p>
            <w:pPr>
              <w:snapToGrid w:val="0"/>
              <w:spacing w:line="400" w:lineRule="exact"/>
              <w:rPr>
                <w:rFonts w:hint="eastAsia" w:ascii="方正仿宋_GBK" w:eastAsia="方正仿宋_GBK"/>
                <w:snapToGrid w:val="0"/>
                <w:sz w:val="24"/>
              </w:rPr>
            </w:pPr>
            <w:r>
              <w:rPr>
                <w:rFonts w:hint="eastAsia" w:ascii="方正仿宋_GBK" w:eastAsia="方正仿宋_GBK"/>
                <w:snapToGrid w:val="0"/>
                <w:sz w:val="24"/>
              </w:rPr>
              <w:t>《中华人民共和国道路运输条例》</w:t>
            </w:r>
          </w:p>
        </w:tc>
        <w:tc>
          <w:tcPr>
            <w:tcW w:w="1215" w:type="dxa"/>
            <w:noWrap w:val="0"/>
            <w:vAlign w:val="center"/>
          </w:tcPr>
          <w:p>
            <w:pPr>
              <w:snapToGrid w:val="0"/>
              <w:spacing w:line="400" w:lineRule="exact"/>
              <w:jc w:val="center"/>
              <w:rPr>
                <w:rFonts w:hint="eastAsia" w:ascii="方正仿宋_GBK" w:eastAsia="方正仿宋_GBK"/>
                <w:snapToGrid w:val="0"/>
                <w:sz w:val="24"/>
              </w:rPr>
            </w:pPr>
            <w:r>
              <w:rPr>
                <w:rFonts w:hint="eastAsia" w:ascii="方正仿宋_GBK" w:eastAsia="方正仿宋_GBK"/>
                <w:snapToGrid w:val="0"/>
                <w:sz w:val="24"/>
              </w:rPr>
              <w:t>县交通局</w:t>
            </w:r>
          </w:p>
        </w:tc>
        <w:tc>
          <w:tcPr>
            <w:tcW w:w="960" w:type="dxa"/>
            <w:noWrap w:val="0"/>
            <w:vAlign w:val="center"/>
          </w:tcPr>
          <w:p>
            <w:pPr>
              <w:snapToGrid w:val="0"/>
              <w:spacing w:line="400" w:lineRule="exact"/>
              <w:jc w:val="center"/>
              <w:rPr>
                <w:rFonts w:hint="eastAsia" w:ascii="方正仿宋_GBK" w:eastAsia="方正仿宋_GBK"/>
                <w:snapToGrid w:val="0"/>
                <w:sz w:val="24"/>
              </w:rPr>
            </w:pPr>
            <w:r>
              <w:rPr>
                <w:rFonts w:hint="eastAsia" w:ascii="方正仿宋_GBK" w:eastAsia="方正仿宋_GBK"/>
                <w:snapToGrid w:val="0"/>
                <w:sz w:val="24"/>
              </w:rPr>
              <w:t>取消</w:t>
            </w:r>
          </w:p>
        </w:tc>
        <w:tc>
          <w:tcPr>
            <w:tcW w:w="6243" w:type="dxa"/>
            <w:noWrap w:val="0"/>
            <w:vAlign w:val="center"/>
          </w:tcPr>
          <w:p>
            <w:pPr>
              <w:snapToGrid w:val="0"/>
              <w:spacing w:line="400" w:lineRule="exact"/>
              <w:rPr>
                <w:rFonts w:hint="eastAsia" w:ascii="方正仿宋_GBK" w:eastAsia="方正仿宋_GBK"/>
                <w:snapToGrid w:val="0"/>
                <w:sz w:val="24"/>
              </w:rPr>
            </w:pPr>
            <w:r>
              <w:rPr>
                <w:rFonts w:hint="eastAsia" w:ascii="方正仿宋_GBK" w:eastAsia="方正仿宋_GBK"/>
                <w:snapToGrid w:val="0"/>
                <w:sz w:val="24"/>
              </w:rPr>
              <w:t>取消审批后，交通部门通过以下措施加强事中事后监管：1．通过“双随机、一公开”监管等方式，加强对道路货物运输站（场）生产经营的监督管理，依法查处违反道路货物运输经营管理规定的行为。2．实施道路货物运输站（场）相关标准，推动站（场）建设运营标准化。3．加强与市场监管、住房城乡建设</w:t>
            </w:r>
            <w:r>
              <w:rPr>
                <w:rFonts w:hint="eastAsia" w:ascii="方正仿宋_GBK" w:eastAsia="方正仿宋_GBK"/>
                <w:snapToGrid w:val="0"/>
                <w:sz w:val="24"/>
                <w:lang w:eastAsia="zh-CN"/>
              </w:rPr>
              <w:t>、</w:t>
            </w:r>
            <w:r>
              <w:rPr>
                <w:rFonts w:hint="eastAsia" w:ascii="方正仿宋_GBK" w:eastAsia="方正仿宋_GBK"/>
                <w:snapToGrid w:val="0"/>
                <w:sz w:val="24"/>
              </w:rPr>
              <w:t>应急管理、公安等部门关于道路货物运输站（场）相关信息共享。4．加强对道路货物运输站（场）经营业户的信用监管，向社会公开失信企业名单，并实施联合惩戒。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snapToGrid w:val="0"/>
              <w:spacing w:line="400" w:lineRule="exact"/>
              <w:jc w:val="center"/>
              <w:rPr>
                <w:rFonts w:hint="eastAsia" w:ascii="方正仿宋_GBK" w:eastAsia="方正仿宋_GBK"/>
                <w:snapToGrid w:val="0"/>
                <w:sz w:val="24"/>
              </w:rPr>
            </w:pPr>
            <w:r>
              <w:rPr>
                <w:rFonts w:hint="eastAsia" w:ascii="方正仿宋_GBK" w:eastAsia="方正仿宋_GBK"/>
                <w:snapToGrid w:val="0"/>
                <w:sz w:val="24"/>
              </w:rPr>
              <w:t>3</w:t>
            </w:r>
          </w:p>
        </w:tc>
        <w:tc>
          <w:tcPr>
            <w:tcW w:w="1423" w:type="dxa"/>
            <w:noWrap w:val="0"/>
            <w:vAlign w:val="center"/>
          </w:tcPr>
          <w:p>
            <w:pPr>
              <w:snapToGrid w:val="0"/>
              <w:spacing w:line="400" w:lineRule="exact"/>
              <w:rPr>
                <w:rFonts w:hint="eastAsia" w:ascii="方正仿宋_GBK" w:eastAsia="方正仿宋_GBK"/>
                <w:snapToGrid w:val="0"/>
                <w:sz w:val="24"/>
              </w:rPr>
            </w:pPr>
            <w:r>
              <w:rPr>
                <w:rFonts w:hint="eastAsia" w:ascii="方正仿宋_GBK" w:eastAsia="方正仿宋_GBK"/>
                <w:snapToGrid w:val="0"/>
                <w:sz w:val="24"/>
              </w:rPr>
              <w:t>名称预先核准</w:t>
            </w:r>
          </w:p>
        </w:tc>
        <w:tc>
          <w:tcPr>
            <w:tcW w:w="2565" w:type="dxa"/>
            <w:noWrap w:val="0"/>
            <w:vAlign w:val="center"/>
          </w:tcPr>
          <w:p>
            <w:pPr>
              <w:snapToGrid w:val="0"/>
              <w:spacing w:line="400" w:lineRule="exact"/>
              <w:rPr>
                <w:rFonts w:hint="eastAsia" w:ascii="方正仿宋_GBK" w:eastAsia="方正仿宋_GBK"/>
                <w:snapToGrid w:val="0"/>
                <w:sz w:val="24"/>
              </w:rPr>
            </w:pPr>
            <w:r>
              <w:rPr>
                <w:rFonts w:hint="eastAsia" w:ascii="方正仿宋_GBK" w:eastAsia="方正仿宋_GBK"/>
                <w:snapToGrid w:val="0"/>
                <w:sz w:val="24"/>
              </w:rPr>
              <w:t>《中华人民共和国公司登记管理条例》《中华人民共和国企业法人登记管理条例》《企业名称登记管理规定》《个体工商户条例》《农民专业合作社登记管理条例》</w:t>
            </w:r>
          </w:p>
        </w:tc>
        <w:tc>
          <w:tcPr>
            <w:tcW w:w="1215" w:type="dxa"/>
            <w:noWrap w:val="0"/>
            <w:vAlign w:val="center"/>
          </w:tcPr>
          <w:p>
            <w:pPr>
              <w:snapToGrid w:val="0"/>
              <w:spacing w:line="400" w:lineRule="exact"/>
              <w:jc w:val="center"/>
              <w:rPr>
                <w:rFonts w:hint="eastAsia" w:ascii="方正仿宋_GBK" w:eastAsia="方正仿宋_GBK"/>
                <w:snapToGrid w:val="0"/>
                <w:sz w:val="24"/>
              </w:rPr>
            </w:pPr>
            <w:r>
              <w:rPr>
                <w:rFonts w:hint="eastAsia" w:ascii="方正仿宋_GBK" w:eastAsia="方正仿宋_GBK"/>
                <w:snapToGrid w:val="0"/>
                <w:sz w:val="24"/>
              </w:rPr>
              <w:t>县市场监督</w:t>
            </w:r>
          </w:p>
          <w:p>
            <w:pPr>
              <w:snapToGrid w:val="0"/>
              <w:spacing w:line="400" w:lineRule="exact"/>
              <w:jc w:val="center"/>
              <w:rPr>
                <w:rFonts w:hint="eastAsia" w:ascii="方正仿宋_GBK" w:eastAsia="方正仿宋_GBK"/>
                <w:snapToGrid w:val="0"/>
                <w:sz w:val="24"/>
              </w:rPr>
            </w:pPr>
            <w:r>
              <w:rPr>
                <w:rFonts w:hint="eastAsia" w:ascii="方正仿宋_GBK" w:eastAsia="方正仿宋_GBK"/>
                <w:snapToGrid w:val="0"/>
                <w:sz w:val="24"/>
              </w:rPr>
              <w:t>管理局</w:t>
            </w:r>
          </w:p>
        </w:tc>
        <w:tc>
          <w:tcPr>
            <w:tcW w:w="960" w:type="dxa"/>
            <w:noWrap w:val="0"/>
            <w:vAlign w:val="center"/>
          </w:tcPr>
          <w:p>
            <w:pPr>
              <w:snapToGrid w:val="0"/>
              <w:spacing w:line="400" w:lineRule="exact"/>
              <w:jc w:val="center"/>
              <w:rPr>
                <w:rFonts w:hint="eastAsia" w:ascii="方正仿宋_GBK" w:eastAsia="方正仿宋_GBK"/>
                <w:snapToGrid w:val="0"/>
                <w:sz w:val="24"/>
              </w:rPr>
            </w:pPr>
            <w:r>
              <w:rPr>
                <w:rFonts w:hint="eastAsia" w:ascii="方正仿宋_GBK" w:eastAsia="方正仿宋_GBK"/>
                <w:snapToGrid w:val="0"/>
                <w:sz w:val="24"/>
              </w:rPr>
              <w:t>取消</w:t>
            </w:r>
          </w:p>
        </w:tc>
        <w:tc>
          <w:tcPr>
            <w:tcW w:w="6243" w:type="dxa"/>
            <w:noWrap w:val="0"/>
            <w:vAlign w:val="center"/>
          </w:tcPr>
          <w:p>
            <w:pPr>
              <w:snapToGrid w:val="0"/>
              <w:spacing w:line="400" w:lineRule="exact"/>
              <w:rPr>
                <w:rFonts w:hint="eastAsia" w:ascii="方正仿宋_GBK" w:eastAsia="方正仿宋_GBK"/>
                <w:snapToGrid w:val="0"/>
                <w:sz w:val="24"/>
              </w:rPr>
            </w:pPr>
            <w:r>
              <w:rPr>
                <w:rFonts w:hint="eastAsia" w:ascii="方正仿宋_GBK" w:eastAsia="方正仿宋_GBK"/>
                <w:snapToGrid w:val="0"/>
                <w:sz w:val="24"/>
              </w:rPr>
              <w:t>取消审批后，改为企业（包括个体工商户、农民专业合作社，下同）自主申报名称，市场监管部门在企业注册登记时核准名称。市场监管部门通过以下措施优化服务、加强事中事后监管：1．向社会公开企业名称库，引导企业自行拟定符合规则要求的名称。2．建立企业名称自主申报制度，明确企业名称禁限用规则，完善企业名称争议处理机制，加强对企业名称使用的监督管理。3．简化优化工商登记程序，实行一次性告知，提高企业登记办理效率，保障企业自主选择名称。</w:t>
            </w:r>
          </w:p>
        </w:tc>
      </w:tr>
    </w:tbl>
    <w:p>
      <w:pPr>
        <w:snapToGrid w:val="0"/>
        <w:spacing w:line="560" w:lineRule="exact"/>
        <w:rPr>
          <w:rFonts w:hint="eastAsia" w:ascii="方正黑体_GBK" w:eastAsia="方正黑体_GBK"/>
          <w:snapToGrid w:val="0"/>
          <w:sz w:val="32"/>
          <w:szCs w:val="32"/>
        </w:rPr>
      </w:pPr>
      <w:r>
        <w:rPr>
          <w:rFonts w:hint="eastAsia" w:ascii="方正黑体_GBK" w:eastAsia="方正黑体_GBK"/>
          <w:snapToGrid w:val="0"/>
          <w:sz w:val="32"/>
          <w:szCs w:val="32"/>
        </w:rPr>
        <w:t>附件2</w:t>
      </w:r>
    </w:p>
    <w:p>
      <w:pPr>
        <w:snapToGrid w:val="0"/>
        <w:spacing w:line="560" w:lineRule="exact"/>
        <w:rPr>
          <w:rFonts w:hint="eastAsia" w:ascii="方正仿宋_GBK" w:eastAsia="方正仿宋_GBK"/>
          <w:snapToGrid w:val="0"/>
          <w:sz w:val="32"/>
          <w:szCs w:val="32"/>
        </w:rPr>
      </w:pPr>
    </w:p>
    <w:p>
      <w:pPr>
        <w:snapToGrid w:val="0"/>
        <w:spacing w:line="560" w:lineRule="exact"/>
        <w:jc w:val="center"/>
        <w:rPr>
          <w:rFonts w:hint="eastAsia" w:ascii="方正小标宋_GBK" w:eastAsia="方正小标宋_GBK"/>
          <w:snapToGrid w:val="0"/>
          <w:sz w:val="44"/>
          <w:szCs w:val="44"/>
        </w:rPr>
      </w:pPr>
      <w:r>
        <w:rPr>
          <w:rFonts w:hint="eastAsia" w:ascii="方正小标宋_GBK" w:eastAsia="方正小标宋_GBK"/>
          <w:snapToGrid w:val="0"/>
          <w:sz w:val="44"/>
          <w:szCs w:val="44"/>
        </w:rPr>
        <w:t>承接的行政许可事项目录</w:t>
      </w:r>
    </w:p>
    <w:p>
      <w:pPr>
        <w:snapToGrid w:val="0"/>
        <w:spacing w:line="560" w:lineRule="exact"/>
        <w:rPr>
          <w:rFonts w:hint="eastAsia" w:ascii="方正仿宋_GBK" w:eastAsia="方正仿宋_GBK"/>
          <w:snapToGrid w:val="0"/>
          <w:sz w:val="32"/>
          <w:szCs w:val="32"/>
        </w:rPr>
      </w:pPr>
      <w:r>
        <w:rPr>
          <w:rFonts w:hint="eastAsia" w:ascii="方正仿宋_GBK" w:eastAsia="方正仿宋_GBK"/>
          <w:snapToGrid w:val="0"/>
          <w:sz w:val="32"/>
          <w:szCs w:val="32"/>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843"/>
        <w:gridCol w:w="1555"/>
        <w:gridCol w:w="1510"/>
        <w:gridCol w:w="1510"/>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3" w:type="dxa"/>
            <w:noWrap w:val="0"/>
            <w:vAlign w:val="center"/>
          </w:tcPr>
          <w:p>
            <w:pPr>
              <w:snapToGrid w:val="0"/>
              <w:spacing w:line="360" w:lineRule="exact"/>
              <w:jc w:val="center"/>
              <w:rPr>
                <w:rFonts w:hint="eastAsia" w:ascii="方正黑体_GBK" w:eastAsia="方正黑体_GBK"/>
                <w:snapToGrid w:val="0"/>
                <w:sz w:val="24"/>
              </w:rPr>
            </w:pPr>
            <w:r>
              <w:rPr>
                <w:rFonts w:hint="eastAsia" w:ascii="方正黑体_GBK" w:eastAsia="方正黑体_GBK"/>
                <w:snapToGrid w:val="0"/>
                <w:sz w:val="24"/>
              </w:rPr>
              <w:t>序号</w:t>
            </w:r>
          </w:p>
        </w:tc>
        <w:tc>
          <w:tcPr>
            <w:tcW w:w="1843" w:type="dxa"/>
            <w:noWrap w:val="0"/>
            <w:vAlign w:val="center"/>
          </w:tcPr>
          <w:p>
            <w:pPr>
              <w:snapToGrid w:val="0"/>
              <w:spacing w:line="360" w:lineRule="exact"/>
              <w:jc w:val="center"/>
              <w:rPr>
                <w:rFonts w:hint="eastAsia" w:ascii="方正黑体_GBK" w:eastAsia="方正黑体_GBK"/>
                <w:snapToGrid w:val="0"/>
                <w:sz w:val="24"/>
              </w:rPr>
            </w:pPr>
            <w:r>
              <w:rPr>
                <w:rFonts w:hint="eastAsia" w:ascii="方正黑体_GBK" w:eastAsia="方正黑体_GBK"/>
                <w:snapToGrid w:val="0"/>
                <w:sz w:val="24"/>
              </w:rPr>
              <w:t>项目名称</w:t>
            </w:r>
          </w:p>
        </w:tc>
        <w:tc>
          <w:tcPr>
            <w:tcW w:w="1555" w:type="dxa"/>
            <w:noWrap w:val="0"/>
            <w:vAlign w:val="center"/>
          </w:tcPr>
          <w:p>
            <w:pPr>
              <w:snapToGrid w:val="0"/>
              <w:spacing w:line="360" w:lineRule="exact"/>
              <w:jc w:val="center"/>
              <w:rPr>
                <w:rFonts w:hint="eastAsia" w:ascii="方正黑体_GBK" w:eastAsia="方正黑体_GBK"/>
                <w:snapToGrid w:val="0"/>
                <w:sz w:val="24"/>
              </w:rPr>
            </w:pPr>
            <w:r>
              <w:rPr>
                <w:rFonts w:hint="eastAsia" w:ascii="方正黑体_GBK" w:eastAsia="方正黑体_GBK"/>
                <w:snapToGrid w:val="0"/>
                <w:sz w:val="24"/>
              </w:rPr>
              <w:t>设定依据</w:t>
            </w:r>
          </w:p>
        </w:tc>
        <w:tc>
          <w:tcPr>
            <w:tcW w:w="1510" w:type="dxa"/>
            <w:noWrap w:val="0"/>
            <w:vAlign w:val="center"/>
          </w:tcPr>
          <w:p>
            <w:pPr>
              <w:snapToGrid w:val="0"/>
              <w:spacing w:line="360" w:lineRule="exact"/>
              <w:jc w:val="center"/>
              <w:rPr>
                <w:rFonts w:hint="eastAsia" w:ascii="方正黑体_GBK" w:eastAsia="方正黑体_GBK"/>
                <w:snapToGrid w:val="0"/>
                <w:sz w:val="24"/>
              </w:rPr>
            </w:pPr>
            <w:r>
              <w:rPr>
                <w:rFonts w:hint="eastAsia" w:ascii="方正黑体_GBK" w:eastAsia="方正黑体_GBK"/>
                <w:snapToGrid w:val="0"/>
                <w:sz w:val="24"/>
              </w:rPr>
              <w:t>市级实施</w:t>
            </w:r>
          </w:p>
          <w:p>
            <w:pPr>
              <w:snapToGrid w:val="0"/>
              <w:spacing w:line="360" w:lineRule="exact"/>
              <w:jc w:val="center"/>
              <w:rPr>
                <w:rFonts w:hint="eastAsia" w:ascii="方正黑体_GBK" w:eastAsia="方正黑体_GBK"/>
                <w:snapToGrid w:val="0"/>
                <w:sz w:val="24"/>
              </w:rPr>
            </w:pPr>
            <w:r>
              <w:rPr>
                <w:rFonts w:hint="eastAsia" w:ascii="方正黑体_GBK" w:eastAsia="方正黑体_GBK"/>
                <w:snapToGrid w:val="0"/>
                <w:sz w:val="24"/>
              </w:rPr>
              <w:t>部    门</w:t>
            </w:r>
          </w:p>
        </w:tc>
        <w:tc>
          <w:tcPr>
            <w:tcW w:w="1510" w:type="dxa"/>
            <w:noWrap w:val="0"/>
            <w:vAlign w:val="center"/>
          </w:tcPr>
          <w:p>
            <w:pPr>
              <w:snapToGrid w:val="0"/>
              <w:spacing w:line="360" w:lineRule="exact"/>
              <w:jc w:val="center"/>
              <w:rPr>
                <w:rFonts w:hint="eastAsia" w:ascii="方正黑体_GBK" w:eastAsia="方正黑体_GBK"/>
                <w:snapToGrid w:val="0"/>
                <w:sz w:val="24"/>
              </w:rPr>
            </w:pPr>
            <w:r>
              <w:rPr>
                <w:rFonts w:hint="eastAsia" w:ascii="方正黑体_GBK" w:eastAsia="方正黑体_GBK"/>
                <w:snapToGrid w:val="0"/>
                <w:sz w:val="24"/>
              </w:rPr>
              <w:t>我县承接</w:t>
            </w:r>
          </w:p>
          <w:p>
            <w:pPr>
              <w:snapToGrid w:val="0"/>
              <w:spacing w:line="360" w:lineRule="exact"/>
              <w:jc w:val="center"/>
              <w:rPr>
                <w:rFonts w:hint="eastAsia" w:ascii="方正黑体_GBK" w:eastAsia="方正黑体_GBK"/>
                <w:snapToGrid w:val="0"/>
                <w:sz w:val="24"/>
              </w:rPr>
            </w:pPr>
            <w:r>
              <w:rPr>
                <w:rFonts w:hint="eastAsia" w:ascii="方正黑体_GBK" w:eastAsia="方正黑体_GBK"/>
                <w:snapToGrid w:val="0"/>
                <w:sz w:val="24"/>
              </w:rPr>
              <w:t>部    门</w:t>
            </w:r>
          </w:p>
        </w:tc>
        <w:tc>
          <w:tcPr>
            <w:tcW w:w="6876" w:type="dxa"/>
            <w:noWrap w:val="0"/>
            <w:vAlign w:val="center"/>
          </w:tcPr>
          <w:p>
            <w:pPr>
              <w:snapToGrid w:val="0"/>
              <w:spacing w:line="360" w:lineRule="exact"/>
              <w:jc w:val="center"/>
              <w:rPr>
                <w:rFonts w:hint="eastAsia" w:ascii="方正黑体_GBK" w:eastAsia="方正黑体_GBK"/>
                <w:snapToGrid w:val="0"/>
                <w:sz w:val="24"/>
              </w:rPr>
            </w:pPr>
            <w:r>
              <w:rPr>
                <w:rFonts w:hint="eastAsia" w:ascii="方正黑体_GBK" w:eastAsia="方正黑体_GBK"/>
                <w:snapToGrid w:val="0"/>
                <w:sz w:val="24"/>
              </w:rPr>
              <w:t>加强事中事后监管措施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noWrap w:val="0"/>
            <w:vAlign w:val="center"/>
          </w:tcPr>
          <w:p>
            <w:pPr>
              <w:snapToGrid w:val="0"/>
              <w:spacing w:line="360" w:lineRule="exact"/>
              <w:jc w:val="center"/>
              <w:rPr>
                <w:rFonts w:hint="eastAsia" w:ascii="方正仿宋_GBK" w:eastAsia="方正仿宋_GBK"/>
                <w:snapToGrid w:val="0"/>
                <w:sz w:val="24"/>
              </w:rPr>
            </w:pPr>
            <w:r>
              <w:rPr>
                <w:rFonts w:hint="eastAsia" w:ascii="方正仿宋_GBK" w:eastAsia="方正仿宋_GBK"/>
                <w:snapToGrid w:val="0"/>
                <w:sz w:val="24"/>
              </w:rPr>
              <w:t>1</w:t>
            </w:r>
          </w:p>
        </w:tc>
        <w:tc>
          <w:tcPr>
            <w:tcW w:w="1843" w:type="dxa"/>
            <w:noWrap w:val="0"/>
            <w:vAlign w:val="center"/>
          </w:tcPr>
          <w:p>
            <w:pPr>
              <w:snapToGrid w:val="0"/>
              <w:spacing w:line="360" w:lineRule="exact"/>
              <w:rPr>
                <w:rFonts w:hint="eastAsia" w:ascii="方正仿宋_GBK" w:eastAsia="方正仿宋_GBK"/>
                <w:snapToGrid w:val="0"/>
                <w:sz w:val="24"/>
              </w:rPr>
            </w:pPr>
            <w:r>
              <w:rPr>
                <w:rFonts w:hint="eastAsia" w:ascii="方正仿宋_GBK" w:eastAsia="方正仿宋_GBK"/>
                <w:snapToGrid w:val="0"/>
                <w:sz w:val="24"/>
              </w:rPr>
              <w:t>主城区以外毗邻区县行政区域间道路旅客运输经营许可</w:t>
            </w:r>
          </w:p>
        </w:tc>
        <w:tc>
          <w:tcPr>
            <w:tcW w:w="1555" w:type="dxa"/>
            <w:noWrap w:val="0"/>
            <w:vAlign w:val="center"/>
          </w:tcPr>
          <w:p>
            <w:pPr>
              <w:snapToGrid w:val="0"/>
              <w:spacing w:line="360" w:lineRule="exact"/>
              <w:rPr>
                <w:rFonts w:hint="eastAsia" w:ascii="方正仿宋_GBK" w:eastAsia="方正仿宋_GBK"/>
                <w:snapToGrid w:val="0"/>
                <w:sz w:val="24"/>
              </w:rPr>
            </w:pPr>
            <w:r>
              <w:rPr>
                <w:rFonts w:hint="eastAsia" w:ascii="方正仿宋_GBK" w:eastAsia="方正仿宋_GBK"/>
                <w:snapToGrid w:val="0"/>
                <w:sz w:val="24"/>
              </w:rPr>
              <w:t>《中华人民共和国道路运输条例》</w:t>
            </w:r>
          </w:p>
        </w:tc>
        <w:tc>
          <w:tcPr>
            <w:tcW w:w="1510" w:type="dxa"/>
            <w:noWrap w:val="0"/>
            <w:vAlign w:val="center"/>
          </w:tcPr>
          <w:p>
            <w:pPr>
              <w:snapToGrid w:val="0"/>
              <w:spacing w:line="360" w:lineRule="exact"/>
              <w:rPr>
                <w:rFonts w:hint="eastAsia" w:ascii="方正仿宋_GBK" w:eastAsia="方正仿宋_GBK"/>
                <w:snapToGrid w:val="0"/>
                <w:sz w:val="24"/>
              </w:rPr>
            </w:pPr>
            <w:r>
              <w:rPr>
                <w:rFonts w:hint="eastAsia" w:ascii="方正仿宋_GBK" w:eastAsia="方正仿宋_GBK"/>
                <w:snapToGrid w:val="0"/>
                <w:sz w:val="24"/>
              </w:rPr>
              <w:t>市交通局（市道路运输管理局）</w:t>
            </w:r>
          </w:p>
        </w:tc>
        <w:tc>
          <w:tcPr>
            <w:tcW w:w="1510" w:type="dxa"/>
            <w:noWrap w:val="0"/>
            <w:vAlign w:val="center"/>
          </w:tcPr>
          <w:p>
            <w:pPr>
              <w:snapToGrid w:val="0"/>
              <w:spacing w:line="360" w:lineRule="exact"/>
              <w:jc w:val="center"/>
              <w:rPr>
                <w:rFonts w:hint="eastAsia" w:ascii="方正仿宋_GBK" w:eastAsia="方正仿宋_GBK"/>
                <w:snapToGrid w:val="0"/>
                <w:sz w:val="24"/>
              </w:rPr>
            </w:pPr>
            <w:r>
              <w:rPr>
                <w:rFonts w:hint="eastAsia" w:ascii="方正仿宋_GBK" w:eastAsia="方正仿宋_GBK"/>
                <w:snapToGrid w:val="0"/>
                <w:sz w:val="24"/>
              </w:rPr>
              <w:t>县交通局</w:t>
            </w:r>
          </w:p>
        </w:tc>
        <w:tc>
          <w:tcPr>
            <w:tcW w:w="6876" w:type="dxa"/>
            <w:noWrap w:val="0"/>
            <w:vAlign w:val="center"/>
          </w:tcPr>
          <w:p>
            <w:pPr>
              <w:snapToGrid w:val="0"/>
              <w:spacing w:line="360" w:lineRule="exact"/>
              <w:rPr>
                <w:rFonts w:ascii="方正仿宋_GBK" w:eastAsia="方正仿宋_GBK"/>
                <w:snapToGrid w:val="0"/>
                <w:sz w:val="24"/>
              </w:rPr>
            </w:pPr>
            <w:r>
              <w:rPr>
                <w:rFonts w:hint="eastAsia" w:ascii="方正仿宋_GBK" w:eastAsia="方正仿宋_GBK"/>
                <w:snapToGrid w:val="0"/>
                <w:sz w:val="24"/>
              </w:rPr>
              <w:t>通过以下措施加强事中事后监管：1．强化行业行政许可信息共享，许可实施机关及时将许可情况推送至上级交通部门，并在本级道路运政管理信息系统及时更新行政许可信息，上传至市级系统。2．督促企业健全道路旅客运输安全管理制度，完善安全生产制度、安全生产操作规程和安全事故应急处置制度，强化安全隐患排查治理，切实落实企业安全生产主体责任。3．加强车辆动态监督管理，强化车辆运行监管，及时发现和消除事故隐患。4．加强执法监督，通过双随机一公开等方式，加强对道路旅客运输经营活动的监督检查，依法处罚违法行为。5．加强信用监管，建立健全道路运输企业质量信誉考核制度，强化考核结果应用。6．完善服务质量投诉监督机制，充分发挥“12328”交通运输服务监督电话作用，畅通道路旅客运输服务质量投诉渠道，及时处理服务质量投诉案件。7．加强人员履职情况的监督检查，及时纠正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623" w:type="dxa"/>
            <w:noWrap w:val="0"/>
            <w:vAlign w:val="center"/>
          </w:tcPr>
          <w:p>
            <w:pPr>
              <w:snapToGrid w:val="0"/>
              <w:spacing w:line="360" w:lineRule="exact"/>
              <w:jc w:val="center"/>
              <w:rPr>
                <w:rFonts w:hint="eastAsia" w:ascii="方正仿宋_GBK" w:eastAsia="方正仿宋_GBK"/>
                <w:snapToGrid w:val="0"/>
                <w:sz w:val="24"/>
              </w:rPr>
            </w:pPr>
            <w:r>
              <w:rPr>
                <w:rFonts w:hint="eastAsia" w:ascii="方正仿宋_GBK" w:eastAsia="方正仿宋_GBK"/>
                <w:snapToGrid w:val="0"/>
                <w:sz w:val="24"/>
              </w:rPr>
              <w:t>2</w:t>
            </w:r>
          </w:p>
        </w:tc>
        <w:tc>
          <w:tcPr>
            <w:tcW w:w="1843" w:type="dxa"/>
            <w:noWrap w:val="0"/>
            <w:vAlign w:val="center"/>
          </w:tcPr>
          <w:p>
            <w:pPr>
              <w:snapToGrid w:val="0"/>
              <w:spacing w:line="360" w:lineRule="exact"/>
              <w:rPr>
                <w:rFonts w:hint="eastAsia" w:ascii="方正仿宋_GBK" w:eastAsia="方正仿宋_GBK"/>
                <w:snapToGrid w:val="0"/>
                <w:sz w:val="24"/>
              </w:rPr>
            </w:pPr>
            <w:r>
              <w:rPr>
                <w:rFonts w:hint="eastAsia" w:ascii="方正仿宋_GBK" w:eastAsia="方正仿宋_GBK"/>
                <w:snapToGrid w:val="0"/>
                <w:sz w:val="24"/>
              </w:rPr>
              <w:t>护士执业注册</w:t>
            </w:r>
          </w:p>
        </w:tc>
        <w:tc>
          <w:tcPr>
            <w:tcW w:w="1555" w:type="dxa"/>
            <w:noWrap w:val="0"/>
            <w:vAlign w:val="center"/>
          </w:tcPr>
          <w:p>
            <w:pPr>
              <w:snapToGrid w:val="0"/>
              <w:spacing w:line="360" w:lineRule="exact"/>
              <w:rPr>
                <w:rFonts w:hint="eastAsia" w:ascii="方正仿宋_GBK" w:eastAsia="方正仿宋_GBK"/>
                <w:snapToGrid w:val="0"/>
                <w:sz w:val="24"/>
              </w:rPr>
            </w:pPr>
            <w:r>
              <w:rPr>
                <w:rFonts w:hint="eastAsia" w:ascii="方正仿宋_GBK" w:eastAsia="方正仿宋_GBK"/>
                <w:snapToGrid w:val="0"/>
                <w:sz w:val="24"/>
              </w:rPr>
              <w:t>《护士条例》</w:t>
            </w:r>
          </w:p>
        </w:tc>
        <w:tc>
          <w:tcPr>
            <w:tcW w:w="1510" w:type="dxa"/>
            <w:noWrap w:val="0"/>
            <w:vAlign w:val="center"/>
          </w:tcPr>
          <w:p>
            <w:pPr>
              <w:snapToGrid w:val="0"/>
              <w:spacing w:line="360" w:lineRule="exact"/>
              <w:jc w:val="center"/>
              <w:rPr>
                <w:rFonts w:hint="eastAsia" w:ascii="方正仿宋_GBK" w:eastAsia="方正仿宋_GBK"/>
                <w:snapToGrid w:val="0"/>
                <w:sz w:val="24"/>
              </w:rPr>
            </w:pPr>
            <w:r>
              <w:rPr>
                <w:rFonts w:hint="eastAsia" w:ascii="方正仿宋_GBK" w:eastAsia="方正仿宋_GBK"/>
                <w:snapToGrid w:val="0"/>
                <w:sz w:val="24"/>
              </w:rPr>
              <w:t>市卫生</w:t>
            </w:r>
          </w:p>
          <w:p>
            <w:pPr>
              <w:snapToGrid w:val="0"/>
              <w:spacing w:line="360" w:lineRule="exact"/>
              <w:jc w:val="center"/>
              <w:rPr>
                <w:rFonts w:hint="eastAsia" w:ascii="方正仿宋_GBK" w:eastAsia="方正仿宋_GBK"/>
                <w:snapToGrid w:val="0"/>
                <w:sz w:val="24"/>
              </w:rPr>
            </w:pPr>
            <w:r>
              <w:rPr>
                <w:rFonts w:hint="eastAsia" w:ascii="方正仿宋_GBK" w:eastAsia="方正仿宋_GBK"/>
                <w:snapToGrid w:val="0"/>
                <w:sz w:val="24"/>
              </w:rPr>
              <w:t>健康委</w:t>
            </w:r>
          </w:p>
        </w:tc>
        <w:tc>
          <w:tcPr>
            <w:tcW w:w="1510" w:type="dxa"/>
            <w:noWrap w:val="0"/>
            <w:vAlign w:val="center"/>
          </w:tcPr>
          <w:p>
            <w:pPr>
              <w:snapToGrid w:val="0"/>
              <w:spacing w:line="360" w:lineRule="exact"/>
              <w:jc w:val="center"/>
              <w:rPr>
                <w:rFonts w:hint="eastAsia" w:ascii="方正仿宋_GBK" w:eastAsia="方正仿宋_GBK"/>
                <w:snapToGrid w:val="0"/>
                <w:sz w:val="24"/>
              </w:rPr>
            </w:pPr>
            <w:r>
              <w:rPr>
                <w:rFonts w:hint="eastAsia" w:ascii="方正仿宋_GBK" w:eastAsia="方正仿宋_GBK"/>
                <w:snapToGrid w:val="0"/>
                <w:sz w:val="24"/>
              </w:rPr>
              <w:t>县卫生</w:t>
            </w:r>
          </w:p>
          <w:p>
            <w:pPr>
              <w:snapToGrid w:val="0"/>
              <w:spacing w:line="360" w:lineRule="exact"/>
              <w:jc w:val="center"/>
              <w:rPr>
                <w:rFonts w:hint="eastAsia" w:ascii="方正仿宋_GBK" w:eastAsia="方正仿宋_GBK"/>
                <w:snapToGrid w:val="0"/>
                <w:sz w:val="24"/>
              </w:rPr>
            </w:pPr>
            <w:r>
              <w:rPr>
                <w:rFonts w:hint="eastAsia" w:ascii="方正仿宋_GBK" w:eastAsia="方正仿宋_GBK"/>
                <w:snapToGrid w:val="0"/>
                <w:sz w:val="24"/>
              </w:rPr>
              <w:t>健康委</w:t>
            </w:r>
          </w:p>
        </w:tc>
        <w:tc>
          <w:tcPr>
            <w:tcW w:w="6876" w:type="dxa"/>
            <w:noWrap w:val="0"/>
            <w:vAlign w:val="center"/>
          </w:tcPr>
          <w:p>
            <w:pPr>
              <w:snapToGrid w:val="0"/>
              <w:spacing w:line="360" w:lineRule="exact"/>
              <w:rPr>
                <w:rFonts w:hint="eastAsia" w:ascii="方正仿宋_GBK" w:eastAsia="方正仿宋_GBK"/>
                <w:snapToGrid w:val="0"/>
                <w:sz w:val="24"/>
              </w:rPr>
            </w:pPr>
            <w:r>
              <w:rPr>
                <w:rFonts w:hint="eastAsia" w:ascii="方正仿宋_GBK" w:eastAsia="方正仿宋_GBK"/>
                <w:snapToGrid w:val="0"/>
                <w:sz w:val="24"/>
              </w:rPr>
              <w:t>县卫生健康委通过以下措施加强事中事后监管：1．通过全面开展护士电子化注册，实施护士执业动态追踪管理，实现护士执业注册在线全程管理；2．综合运用双随机一公开监管，重点监管、信用监管、“互联网+监管”、不良执业行为记录管理、行业监督等方式加强监管，同时，公布监督电话，畅通群众和社会投诉举报渠道，及时受理和处置举报。3．加强政务信息公开，接受公众监督。</w:t>
            </w:r>
            <w:bookmarkStart w:id="0" w:name="_GoBack"/>
            <w:bookmarkEnd w:id="0"/>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exact"/>
        <w:ind w:right="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p>
    <w:sectPr>
      <w:headerReference r:id="rId5" w:type="default"/>
      <w:footerReference r:id="rId6" w:type="default"/>
      <w:pgSz w:w="16838" w:h="11906" w:orient="landscape"/>
      <w:pgMar w:top="1587" w:right="1962" w:bottom="1474" w:left="184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60288;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ind w:left="2736" w:leftChars="895" w:hanging="857" w:hangingChars="305"/>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重庆市石柱土家族自治县人民政府办公室发布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pt;width:646.65pt;z-index:251662336;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ind w:left="2736" w:leftChars="895" w:hanging="857" w:hangingChars="305"/>
      <w:jc w:val="lef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重庆市石柱土家族自治县人民政府办公室发布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石柱土家族自治县人民政府</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393700</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5pt;margin-top:31pt;height:0pt;width:648.5pt;z-index:251664384;mso-width-relative:page;mso-height-relative:page;" filled="f" stroked="t" coordsize="21600,21600" o:gfxdata="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C/WSPUAAAACAEAAA8AAAAAAAAAAQAgAAAAIgAAAGRycy9kb3ducmV2LnhtbFBLAQIUABQA&#10;AAAIAIdO4kD4FMM39AEAAL0DAAAOAAAAAAAAAAEAIAAAACM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94335"/>
          <wp:effectExtent l="0" t="0" r="15240" b="5715"/>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94335"/>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石柱土家族自治县人民政府</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YzQwOTdkNzMzNDcwZmY1Y2FiYWQ0NmYxYzk2MmEifQ=="/>
  </w:docVars>
  <w:rsids>
    <w:rsidRoot w:val="00172A27"/>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4033A8"/>
    <w:rsid w:val="468102D8"/>
    <w:rsid w:val="49913516"/>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ind w:firstLine="0" w:firstLineChars="0"/>
      <w:jc w:val="left"/>
      <w:outlineLvl w:val="0"/>
    </w:pPr>
    <w:rPr>
      <w:rFonts w:eastAsia="黑体"/>
      <w:b/>
      <w:bCs/>
      <w:szCs w:val="32"/>
    </w:rPr>
  </w:style>
  <w:style w:type="paragraph" w:styleId="3">
    <w:name w:val="heading 2"/>
    <w:basedOn w:val="1"/>
    <w:next w:val="1"/>
    <w:qFormat/>
    <w:uiPriority w:val="0"/>
    <w:pPr>
      <w:numPr>
        <w:ilvl w:val="1"/>
        <w:numId w:val="1"/>
      </w:numPr>
      <w:ind w:firstLine="0" w:firstLineChars="0"/>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qFormat/>
    <w:uiPriority w:val="0"/>
    <w:rPr>
      <w:rFonts w:eastAsia="宋体"/>
      <w:sz w:val="18"/>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3184</Words>
  <Characters>3294</Characters>
  <Lines>1</Lines>
  <Paragraphs>1</Paragraphs>
  <TotalTime>13</TotalTime>
  <ScaleCrop>false</ScaleCrop>
  <LinksUpToDate>false</LinksUpToDate>
  <CharactersWithSpaces>3345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朱倩*Julien*</cp:lastModifiedBy>
  <cp:lastPrinted>2022-05-11T16:46:00Z</cp:lastPrinted>
  <dcterms:modified xsi:type="dcterms:W3CDTF">2023-10-26T06:36:33Z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B1E70D96C1244C83A26ADF31BDCFD5E3</vt:lpwstr>
  </property>
</Properties>
</file>