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45" w:rsidRPr="0036318E" w:rsidRDefault="00C42445" w:rsidP="00C42445">
      <w:pPr>
        <w:snapToGrid w:val="0"/>
        <w:spacing w:line="560" w:lineRule="exact"/>
        <w:ind w:left="2"/>
        <w:rPr>
          <w:rFonts w:ascii="方正黑体_GBK" w:eastAsia="方正黑体_GBK" w:hAnsi="宋体" w:cs="宋体"/>
          <w:snapToGrid w:val="0"/>
          <w:sz w:val="32"/>
          <w:szCs w:val="32"/>
        </w:rPr>
      </w:pPr>
      <w:r w:rsidRPr="0036318E">
        <w:rPr>
          <w:rFonts w:ascii="方正黑体_GBK" w:eastAsia="方正黑体_GBK" w:hAnsi="宋体" w:cs="宋体" w:hint="eastAsia"/>
          <w:snapToGrid w:val="0"/>
          <w:sz w:val="32"/>
          <w:szCs w:val="32"/>
        </w:rPr>
        <w:t>附件</w:t>
      </w:r>
      <w:r w:rsidRPr="0036318E">
        <w:rPr>
          <w:rFonts w:ascii="方正黑体_GBK" w:eastAsia="方正黑体_GBK" w:hAnsi="宋体" w:cs="宋体"/>
          <w:snapToGrid w:val="0"/>
          <w:sz w:val="32"/>
          <w:szCs w:val="32"/>
        </w:rPr>
        <w:t>1</w:t>
      </w:r>
    </w:p>
    <w:p w:rsidR="00C42445" w:rsidRPr="0036318E" w:rsidRDefault="00C42445" w:rsidP="00C42445">
      <w:pPr>
        <w:snapToGrid w:val="0"/>
        <w:spacing w:line="560" w:lineRule="exact"/>
        <w:ind w:left="2"/>
        <w:rPr>
          <w:rFonts w:ascii="方正仿宋_GBK" w:eastAsia="方正仿宋_GBK" w:cs="宋体"/>
          <w:snapToGrid w:val="0"/>
          <w:sz w:val="32"/>
          <w:szCs w:val="32"/>
        </w:rPr>
      </w:pPr>
    </w:p>
    <w:p w:rsidR="00C42445" w:rsidRPr="0036318E" w:rsidRDefault="00C42445" w:rsidP="00C42445">
      <w:pPr>
        <w:snapToGrid w:val="0"/>
        <w:spacing w:line="560" w:lineRule="exact"/>
        <w:ind w:left="2"/>
        <w:jc w:val="center"/>
        <w:rPr>
          <w:rFonts w:ascii="方正小标宋_GBK" w:eastAsia="方正小标宋_GBK" w:hAnsi="宋体" w:cs="宋体"/>
          <w:snapToGrid w:val="0"/>
          <w:sz w:val="44"/>
          <w:szCs w:val="44"/>
        </w:rPr>
      </w:pPr>
      <w:r w:rsidRPr="0036318E">
        <w:rPr>
          <w:rFonts w:ascii="方正小标宋_GBK" w:eastAsia="方正小标宋_GBK" w:hAnsi="宋体" w:cs="宋体" w:hint="eastAsia"/>
          <w:snapToGrid w:val="0"/>
          <w:sz w:val="44"/>
          <w:szCs w:val="44"/>
        </w:rPr>
        <w:t>预案评估</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p>
    <w:p w:rsidR="00C42445" w:rsidRPr="0036318E" w:rsidRDefault="00C42445" w:rsidP="00C42445">
      <w:pPr>
        <w:snapToGrid w:val="0"/>
        <w:spacing w:line="560" w:lineRule="exact"/>
        <w:ind w:firstLineChars="150" w:firstLine="480"/>
        <w:rPr>
          <w:rFonts w:ascii="方正仿宋_GBK" w:eastAsia="方正仿宋_GBK" w:hAnsi="华文仿宋" w:cs="宋体"/>
          <w:snapToGrid w:val="0"/>
          <w:sz w:val="32"/>
          <w:szCs w:val="32"/>
        </w:rPr>
      </w:pPr>
      <w:r w:rsidRPr="0036318E">
        <w:rPr>
          <w:rFonts w:ascii="方正仿宋_GBK" w:eastAsia="方正仿宋_GBK" w:hAnsi="华文仿宋" w:cs="宋体" w:hint="eastAsia"/>
          <w:snapToGrid w:val="0"/>
          <w:sz w:val="32"/>
          <w:szCs w:val="32"/>
        </w:rPr>
        <w:t>应急预案评估应坚持实事求是的工作原则，结合我县工作实际，按照燃气行业规范要求，从以下七个方面进行评估：</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一、合法性</w:t>
      </w:r>
      <w:r w:rsidRPr="0036318E">
        <w:rPr>
          <w:rFonts w:ascii="方正仿宋_GBK" w:eastAsia="方正仿宋_GBK" w:hAnsi="宋体" w:cs="宋体" w:hint="eastAsia"/>
          <w:snapToGrid w:val="0"/>
          <w:sz w:val="32"/>
          <w:szCs w:val="32"/>
        </w:rPr>
        <w:t>。符合有关法律、法规、规章和标准，以及上级单位规范性文件要求。</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二、完整性</w:t>
      </w:r>
      <w:r w:rsidRPr="0036318E">
        <w:rPr>
          <w:rFonts w:ascii="方正仿宋_GBK" w:eastAsia="方正仿宋_GBK" w:hAnsi="宋体" w:cs="宋体" w:hint="eastAsia"/>
          <w:snapToGrid w:val="0"/>
          <w:sz w:val="32"/>
          <w:szCs w:val="32"/>
        </w:rPr>
        <w:t>。具备预案所规定的要素。</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三、针对性</w:t>
      </w:r>
      <w:r w:rsidRPr="0036318E">
        <w:rPr>
          <w:rFonts w:ascii="方正仿宋_GBK" w:eastAsia="方正仿宋_GBK" w:hAnsi="宋体" w:cs="宋体" w:hint="eastAsia"/>
          <w:snapToGrid w:val="0"/>
          <w:sz w:val="32"/>
          <w:szCs w:val="32"/>
        </w:rPr>
        <w:t>。根据城镇天然气事故严重程度和发展态势启动不同级别分级响应程序。</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四、实用性</w:t>
      </w:r>
      <w:r w:rsidRPr="0036318E">
        <w:rPr>
          <w:rFonts w:ascii="方正仿宋_GBK" w:eastAsia="方正仿宋_GBK" w:hAnsi="宋体" w:cs="宋体" w:hint="eastAsia"/>
          <w:snapToGrid w:val="0"/>
          <w:sz w:val="32"/>
          <w:szCs w:val="32"/>
        </w:rPr>
        <w:t>。结合我县城镇天然气具体现状，与生产安全事故应急处置能力相适应。</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五、科学性</w:t>
      </w:r>
      <w:r w:rsidRPr="0036318E">
        <w:rPr>
          <w:rFonts w:ascii="方正仿宋_GBK" w:eastAsia="方正仿宋_GBK" w:hAnsi="宋体" w:cs="宋体" w:hint="eastAsia"/>
          <w:snapToGrid w:val="0"/>
          <w:sz w:val="32"/>
          <w:szCs w:val="32"/>
        </w:rPr>
        <w:t>。组织体系、信息报送和处置方案等内容科学合理。</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六、操作性</w:t>
      </w:r>
      <w:r w:rsidRPr="0036318E">
        <w:rPr>
          <w:rFonts w:ascii="方正仿宋_GBK" w:eastAsia="方正仿宋_GBK" w:hAnsi="宋体" w:cs="宋体" w:hint="eastAsia"/>
          <w:snapToGrid w:val="0"/>
          <w:sz w:val="32"/>
          <w:szCs w:val="32"/>
        </w:rPr>
        <w:t>。应急响应程序和保障措施等内容切实可行。</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r w:rsidRPr="0036318E">
        <w:rPr>
          <w:rFonts w:ascii="方正黑体_GBK" w:eastAsia="方正黑体_GBK" w:hAnsi="宋体" w:cs="宋体" w:hint="eastAsia"/>
          <w:snapToGrid w:val="0"/>
          <w:sz w:val="32"/>
          <w:szCs w:val="32"/>
        </w:rPr>
        <w:t>七、衔接性</w:t>
      </w:r>
      <w:r w:rsidRPr="0036318E">
        <w:rPr>
          <w:rFonts w:ascii="方正仿宋_GBK" w:eastAsia="方正仿宋_GBK" w:hAnsi="宋体" w:cs="宋体" w:hint="eastAsia"/>
          <w:snapToGrid w:val="0"/>
          <w:sz w:val="32"/>
          <w:szCs w:val="32"/>
        </w:rPr>
        <w:t>。结合有关专项应急预案和现场处置方案形成体系，并与相关部门或单位应急预案相互衔接。</w:t>
      </w: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p>
    <w:p w:rsidR="00C42445" w:rsidRPr="0036318E" w:rsidRDefault="00C42445" w:rsidP="00C42445">
      <w:pPr>
        <w:snapToGrid w:val="0"/>
        <w:spacing w:line="560" w:lineRule="exact"/>
        <w:ind w:firstLineChars="150" w:firstLine="480"/>
        <w:rPr>
          <w:rFonts w:ascii="方正仿宋_GBK" w:eastAsia="方正仿宋_GBK" w:hAnsi="宋体" w:cs="宋体"/>
          <w:snapToGrid w:val="0"/>
          <w:sz w:val="32"/>
          <w:szCs w:val="32"/>
        </w:rPr>
      </w:pPr>
    </w:p>
    <w:p w:rsidR="005A108D" w:rsidRDefault="005A108D"/>
    <w:sectPr w:rsidR="005A108D" w:rsidSect="005A10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2445"/>
    <w:rsid w:val="005A108D"/>
    <w:rsid w:val="00C42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2021-10-25T10:41:00Z</dcterms:created>
  <dcterms:modified xsi:type="dcterms:W3CDTF">2021-10-25T10:42:00Z</dcterms:modified>
</cp:coreProperties>
</file>