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宋体" w:hAnsi="宋体" w:eastAsia="宋体" w:cs="宋体"/>
          <w:b/>
          <w:color w:val="000000"/>
          <w:spacing w:val="10"/>
          <w:sz w:val="18"/>
          <w:szCs w:val="18"/>
          <w:highlight w:val="none"/>
        </w:rPr>
      </w:pPr>
      <w:bookmarkStart w:id="1" w:name="_GoBack"/>
      <w:bookmarkEnd w:id="1"/>
      <w:r>
        <w:rPr>
          <w:rFonts w:hint="eastAsia" w:ascii="宋体" w:hAnsi="宋体" w:eastAsia="宋体" w:cs="宋体"/>
          <w:b/>
          <w:color w:val="000000"/>
          <w:spacing w:val="10"/>
          <w:sz w:val="18"/>
          <w:szCs w:val="18"/>
          <w:highlight w:val="none"/>
        </w:rPr>
        <w:t>石柱土家族自治县第十</w:t>
      </w:r>
      <w:r>
        <w:rPr>
          <w:rFonts w:hint="eastAsia" w:ascii="宋体" w:hAnsi="宋体" w:eastAsia="宋体" w:cs="宋体"/>
          <w:b/>
          <w:color w:val="000000"/>
          <w:spacing w:val="10"/>
          <w:sz w:val="18"/>
          <w:szCs w:val="18"/>
          <w:highlight w:val="none"/>
          <w:lang w:eastAsia="zh-CN"/>
        </w:rPr>
        <w:t>九</w:t>
      </w:r>
      <w:r>
        <w:rPr>
          <w:rFonts w:hint="eastAsia" w:ascii="宋体" w:hAnsi="宋体" w:eastAsia="宋体" w:cs="宋体"/>
          <w:b/>
          <w:color w:val="000000"/>
          <w:spacing w:val="10"/>
          <w:sz w:val="18"/>
          <w:szCs w:val="18"/>
          <w:highlight w:val="none"/>
        </w:rPr>
        <w:t>届</w:t>
      </w:r>
    </w:p>
    <w:p>
      <w:pPr>
        <w:snapToGrid w:val="0"/>
        <w:spacing w:line="320" w:lineRule="exact"/>
        <w:jc w:val="left"/>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人大</w:t>
      </w:r>
      <w:r>
        <w:rPr>
          <w:rFonts w:hint="eastAsia" w:ascii="宋体" w:hAnsi="宋体" w:eastAsia="宋体" w:cs="宋体"/>
          <w:b/>
          <w:color w:val="000000"/>
          <w:sz w:val="18"/>
          <w:szCs w:val="18"/>
          <w:highlight w:val="none"/>
          <w:lang w:eastAsia="zh-CN"/>
        </w:rPr>
        <w:t>一</w:t>
      </w:r>
      <w:r>
        <w:rPr>
          <w:rFonts w:hint="eastAsia" w:ascii="宋体" w:hAnsi="宋体" w:eastAsia="宋体" w:cs="宋体"/>
          <w:b/>
          <w:color w:val="000000"/>
          <w:sz w:val="18"/>
          <w:szCs w:val="18"/>
          <w:highlight w:val="none"/>
        </w:rPr>
        <w:t>次会议</w:t>
      </w:r>
      <w:r>
        <w:rPr>
          <w:rFonts w:hint="eastAsia" w:ascii="宋体" w:hAnsi="宋体" w:eastAsia="宋体" w:cs="宋体"/>
          <w:b/>
          <w:color w:val="000000"/>
          <w:sz w:val="18"/>
          <w:szCs w:val="18"/>
          <w:highlight w:val="none"/>
          <w:lang w:val="en-US" w:eastAsia="zh-CN"/>
        </w:rPr>
        <w:t xml:space="preserve"> </w:t>
      </w:r>
      <w:r>
        <w:rPr>
          <w:rFonts w:hint="eastAsia" w:ascii="宋体" w:hAnsi="宋体" w:eastAsia="宋体" w:cs="宋体"/>
          <w:b/>
          <w:color w:val="000000"/>
          <w:sz w:val="18"/>
          <w:szCs w:val="18"/>
          <w:highlight w:val="none"/>
        </w:rPr>
        <w:t>文件（二十</w:t>
      </w:r>
      <w:r>
        <w:rPr>
          <w:rFonts w:hint="eastAsia" w:ascii="宋体" w:hAnsi="宋体" w:eastAsia="宋体" w:cs="宋体"/>
          <w:b/>
          <w:color w:val="000000"/>
          <w:sz w:val="18"/>
          <w:szCs w:val="18"/>
          <w:highlight w:val="none"/>
          <w:lang w:eastAsia="zh-CN"/>
        </w:rPr>
        <w:t>八</w:t>
      </w:r>
      <w:r>
        <w:rPr>
          <w:rFonts w:hint="eastAsia" w:ascii="宋体" w:hAnsi="宋体" w:eastAsia="宋体" w:cs="宋体"/>
          <w:b/>
          <w:color w:val="000000"/>
          <w:sz w:val="18"/>
          <w:szCs w:val="18"/>
          <w:highlight w:val="none"/>
        </w:rPr>
        <w:t>）</w:t>
      </w:r>
    </w:p>
    <w:p>
      <w:pPr>
        <w:pStyle w:val="2"/>
        <w:rPr>
          <w:rFonts w:hint="eastAsia" w:ascii="宋体" w:hAnsi="宋体" w:eastAsia="宋体" w:cs="宋体"/>
          <w:b/>
          <w:color w:val="000000"/>
          <w:sz w:val="18"/>
          <w:szCs w:val="18"/>
          <w:highlight w:val="none"/>
        </w:rPr>
      </w:pPr>
    </w:p>
    <w:p>
      <w:pPr>
        <w:pStyle w:val="2"/>
        <w:rPr>
          <w:rFonts w:hint="eastAsia" w:ascii="宋体" w:hAnsi="宋体" w:eastAsia="宋体" w:cs="宋体"/>
          <w:b/>
          <w:color w:val="000000"/>
          <w:sz w:val="18"/>
          <w:szCs w:val="18"/>
          <w:highlight w:val="none"/>
        </w:rPr>
      </w:pPr>
    </w:p>
    <w:p>
      <w:pPr>
        <w:spacing w:line="7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石柱土家族自治县</w:t>
      </w:r>
      <w:r>
        <w:rPr>
          <w:rFonts w:ascii="方正小标宋_GBK" w:eastAsia="方正小标宋_GBK"/>
          <w:sz w:val="44"/>
          <w:szCs w:val="44"/>
          <w:highlight w:val="none"/>
        </w:rPr>
        <w:t>202</w:t>
      </w:r>
      <w:r>
        <w:rPr>
          <w:rFonts w:hint="eastAsia" w:ascii="方正小标宋_GBK" w:eastAsia="方正小标宋_GBK"/>
          <w:sz w:val="44"/>
          <w:szCs w:val="44"/>
          <w:highlight w:val="none"/>
          <w:lang w:val="en-US" w:eastAsia="zh-CN"/>
        </w:rPr>
        <w:t>1</w:t>
      </w:r>
      <w:r>
        <w:rPr>
          <w:rFonts w:hint="eastAsia" w:ascii="方正小标宋_GBK" w:eastAsia="方正小标宋_GBK"/>
          <w:sz w:val="44"/>
          <w:szCs w:val="44"/>
          <w:highlight w:val="none"/>
        </w:rPr>
        <w:t>年国民经济和</w:t>
      </w:r>
    </w:p>
    <w:p>
      <w:pPr>
        <w:spacing w:line="700" w:lineRule="exact"/>
        <w:jc w:val="center"/>
        <w:rPr>
          <w:rFonts w:ascii="方正小标宋_GBK" w:eastAsia="方正小标宋_GBK"/>
          <w:sz w:val="44"/>
          <w:szCs w:val="44"/>
          <w:highlight w:val="none"/>
        </w:rPr>
      </w:pPr>
      <w:r>
        <w:rPr>
          <w:rFonts w:hint="eastAsia" w:ascii="方正小标宋_GBK" w:eastAsia="方正小标宋_GBK"/>
          <w:sz w:val="44"/>
          <w:szCs w:val="44"/>
          <w:highlight w:val="none"/>
        </w:rPr>
        <w:t>社会发展计划执行情况及</w:t>
      </w:r>
      <w:r>
        <w:rPr>
          <w:rFonts w:ascii="方正小标宋_GBK" w:eastAsia="方正小标宋_GBK"/>
          <w:sz w:val="44"/>
          <w:szCs w:val="44"/>
          <w:highlight w:val="none"/>
        </w:rPr>
        <w:t>202</w:t>
      </w:r>
      <w:r>
        <w:rPr>
          <w:rFonts w:hint="eastAsia" w:ascii="方正小标宋_GBK" w:eastAsia="方正小标宋_GBK"/>
          <w:sz w:val="44"/>
          <w:szCs w:val="44"/>
          <w:highlight w:val="none"/>
          <w:lang w:val="en-US" w:eastAsia="zh-CN"/>
        </w:rPr>
        <w:t>2</w:t>
      </w:r>
      <w:r>
        <w:rPr>
          <w:rFonts w:hint="eastAsia" w:ascii="方正小标宋_GBK" w:eastAsia="方正小标宋_GBK"/>
          <w:sz w:val="44"/>
          <w:szCs w:val="44"/>
          <w:highlight w:val="none"/>
        </w:rPr>
        <w:t>年计划草案的</w:t>
      </w:r>
    </w:p>
    <w:p>
      <w:pPr>
        <w:snapToGrid w:val="0"/>
        <w:spacing w:line="560" w:lineRule="exact"/>
        <w:jc w:val="center"/>
        <w:rPr>
          <w:rFonts w:ascii="方正小标宋_GBK" w:eastAsia="方正小标宋_GBK"/>
          <w:snapToGrid w:val="0"/>
          <w:sz w:val="44"/>
          <w:szCs w:val="44"/>
          <w:highlight w:val="none"/>
        </w:rPr>
      </w:pPr>
      <w:r>
        <w:rPr>
          <w:rFonts w:hint="eastAsia" w:ascii="方正小标宋_GBK" w:eastAsia="方正小标宋_GBK"/>
          <w:sz w:val="44"/>
          <w:szCs w:val="44"/>
          <w:highlight w:val="none"/>
        </w:rPr>
        <w:t>报</w:t>
      </w:r>
      <w:r>
        <w:rPr>
          <w:rFonts w:ascii="方正小标宋_GBK" w:eastAsia="方正小标宋_GBK"/>
          <w:sz w:val="44"/>
          <w:szCs w:val="44"/>
          <w:highlight w:val="none"/>
        </w:rPr>
        <w:t xml:space="preserve">     </w:t>
      </w:r>
      <w:r>
        <w:rPr>
          <w:rFonts w:hint="eastAsia" w:ascii="方正小标宋_GBK" w:eastAsia="方正小标宋_GBK"/>
          <w:sz w:val="44"/>
          <w:szCs w:val="44"/>
          <w:highlight w:val="none"/>
        </w:rPr>
        <w:t>告</w:t>
      </w:r>
    </w:p>
    <w:p>
      <w:pPr>
        <w:snapToGrid w:val="0"/>
        <w:spacing w:line="560" w:lineRule="exact"/>
        <w:jc w:val="center"/>
        <w:rPr>
          <w:rFonts w:ascii="方正楷体_GBK" w:eastAsia="方正楷体_GBK"/>
          <w:snapToGrid w:val="0"/>
          <w:highlight w:val="none"/>
        </w:rPr>
      </w:pPr>
    </w:p>
    <w:p>
      <w:pPr>
        <w:pStyle w:val="2"/>
        <w:spacing w:after="0" w:line="540" w:lineRule="exact"/>
        <w:jc w:val="center"/>
        <w:rPr>
          <w:rFonts w:hint="eastAsia" w:ascii="方正楷体_GBK" w:hAnsi="方正楷体_GBK" w:eastAsia="方正楷体_GBK" w:cs="方正楷体_GBK"/>
          <w:sz w:val="33"/>
          <w:szCs w:val="33"/>
          <w:highlight w:val="none"/>
        </w:rPr>
      </w:pPr>
      <w:r>
        <w:rPr>
          <w:rFonts w:hint="eastAsia" w:ascii="方正楷体_GBK" w:hAnsi="方正楷体_GBK" w:eastAsia="方正楷体_GBK" w:cs="方正楷体_GBK"/>
          <w:sz w:val="33"/>
          <w:szCs w:val="33"/>
          <w:highlight w:val="none"/>
        </w:rPr>
        <w:t>石柱土家族自治县发展和改革委员会</w:t>
      </w:r>
    </w:p>
    <w:p>
      <w:pPr>
        <w:pStyle w:val="2"/>
        <w:spacing w:after="0" w:line="540" w:lineRule="exact"/>
        <w:jc w:val="center"/>
        <w:rPr>
          <w:rFonts w:hint="eastAsia" w:ascii="方正楷体_GBK" w:hAnsi="方正楷体_GBK" w:eastAsia="方正楷体_GBK" w:cs="方正楷体_GBK"/>
          <w:sz w:val="33"/>
          <w:szCs w:val="33"/>
          <w:highlight w:val="none"/>
        </w:rPr>
      </w:pPr>
    </w:p>
    <w:p>
      <w:pPr>
        <w:widowControl/>
        <w:spacing w:line="579" w:lineRule="exact"/>
        <w:rPr>
          <w:rFonts w:ascii="方正仿宋_GBK" w:hAnsi="楷体" w:eastAsia="方正仿宋_GBK"/>
          <w:bCs/>
          <w:color w:val="000000"/>
          <w:sz w:val="32"/>
          <w:szCs w:val="32"/>
          <w:highlight w:val="none"/>
        </w:rPr>
      </w:pPr>
      <w:r>
        <w:rPr>
          <w:rFonts w:hint="eastAsia" w:ascii="方正仿宋_GBK" w:hAnsi="楷体" w:eastAsia="方正仿宋_GBK"/>
          <w:b/>
          <w:color w:val="000000"/>
          <w:sz w:val="32"/>
          <w:szCs w:val="32"/>
          <w:highlight w:val="none"/>
        </w:rPr>
        <w:t>各位代表：</w:t>
      </w:r>
    </w:p>
    <w:p>
      <w:pPr>
        <w:snapToGrid w:val="0"/>
        <w:spacing w:line="560" w:lineRule="exact"/>
        <w:ind w:firstLine="632" w:firstLineChars="200"/>
        <w:rPr>
          <w:rFonts w:ascii="方正仿宋_GBK"/>
          <w:snapToGrid w:val="0"/>
          <w:highlight w:val="none"/>
        </w:rPr>
      </w:pPr>
      <w:r>
        <w:rPr>
          <w:rFonts w:hint="eastAsia" w:ascii="方正仿宋_GBK" w:hAnsi="楷体" w:eastAsia="方正仿宋_GBK"/>
          <w:bCs/>
          <w:color w:val="000000"/>
          <w:sz w:val="32"/>
          <w:szCs w:val="32"/>
          <w:highlight w:val="none"/>
        </w:rPr>
        <w:t>受县人民政府委托，现将我县</w:t>
      </w:r>
      <w:r>
        <w:rPr>
          <w:rFonts w:eastAsia="方正仿宋_GBK"/>
          <w:bCs/>
          <w:color w:val="000000"/>
          <w:sz w:val="32"/>
          <w:szCs w:val="32"/>
          <w:highlight w:val="none"/>
        </w:rPr>
        <w:t>202</w:t>
      </w:r>
      <w:r>
        <w:rPr>
          <w:rFonts w:hint="eastAsia"/>
          <w:bCs/>
          <w:color w:val="000000"/>
          <w:sz w:val="32"/>
          <w:szCs w:val="32"/>
          <w:highlight w:val="none"/>
          <w:lang w:val="en-US" w:eastAsia="zh-CN"/>
        </w:rPr>
        <w:t>1</w:t>
      </w:r>
      <w:r>
        <w:rPr>
          <w:rFonts w:hint="eastAsia" w:ascii="方正仿宋_GBK" w:hAnsi="楷体" w:eastAsia="方正仿宋_GBK"/>
          <w:bCs/>
          <w:color w:val="000000"/>
          <w:sz w:val="32"/>
          <w:szCs w:val="32"/>
          <w:highlight w:val="none"/>
        </w:rPr>
        <w:t>年国民经济和社会发展计划执行情况及</w:t>
      </w:r>
      <w:r>
        <w:rPr>
          <w:rFonts w:eastAsia="方正仿宋_GBK"/>
          <w:bCs/>
          <w:color w:val="000000"/>
          <w:sz w:val="32"/>
          <w:szCs w:val="32"/>
          <w:highlight w:val="none"/>
        </w:rPr>
        <w:t>202</w:t>
      </w:r>
      <w:r>
        <w:rPr>
          <w:rFonts w:hint="eastAsia"/>
          <w:bCs/>
          <w:color w:val="000000"/>
          <w:sz w:val="32"/>
          <w:szCs w:val="32"/>
          <w:highlight w:val="none"/>
          <w:lang w:val="en-US" w:eastAsia="zh-CN"/>
        </w:rPr>
        <w:t>2</w:t>
      </w:r>
      <w:r>
        <w:rPr>
          <w:rFonts w:hint="eastAsia" w:ascii="方正仿宋_GBK" w:hAnsi="楷体" w:eastAsia="方正仿宋_GBK"/>
          <w:bCs/>
          <w:color w:val="000000"/>
          <w:sz w:val="32"/>
          <w:szCs w:val="32"/>
          <w:highlight w:val="none"/>
        </w:rPr>
        <w:t>年国民经济和社会发展计划草案提请县第十</w:t>
      </w:r>
      <w:r>
        <w:rPr>
          <w:rFonts w:hint="eastAsia" w:ascii="方正仿宋_GBK" w:hAnsi="楷体"/>
          <w:bCs/>
          <w:color w:val="000000"/>
          <w:sz w:val="32"/>
          <w:szCs w:val="32"/>
          <w:highlight w:val="none"/>
          <w:lang w:eastAsia="zh-CN"/>
        </w:rPr>
        <w:t>九</w:t>
      </w:r>
      <w:r>
        <w:rPr>
          <w:rFonts w:hint="eastAsia" w:ascii="方正仿宋_GBK" w:hAnsi="楷体" w:eastAsia="方正仿宋_GBK"/>
          <w:bCs/>
          <w:color w:val="000000"/>
          <w:sz w:val="32"/>
          <w:szCs w:val="32"/>
          <w:highlight w:val="none"/>
        </w:rPr>
        <w:t>届人大</w:t>
      </w:r>
      <w:r>
        <w:rPr>
          <w:rFonts w:hint="eastAsia" w:ascii="方正仿宋_GBK" w:hAnsi="楷体"/>
          <w:bCs/>
          <w:color w:val="000000"/>
          <w:sz w:val="32"/>
          <w:szCs w:val="32"/>
          <w:highlight w:val="none"/>
          <w:lang w:eastAsia="zh-CN"/>
        </w:rPr>
        <w:t>一</w:t>
      </w:r>
      <w:r>
        <w:rPr>
          <w:rFonts w:hint="eastAsia" w:ascii="方正仿宋_GBK" w:hAnsi="楷体" w:eastAsia="方正仿宋_GBK"/>
          <w:bCs/>
          <w:color w:val="000000"/>
          <w:sz w:val="32"/>
          <w:szCs w:val="32"/>
          <w:highlight w:val="none"/>
        </w:rPr>
        <w:t>次会议审议，并请各位政协委员和其他列席会议的同志提出意见。</w:t>
      </w:r>
    </w:p>
    <w:p>
      <w:pPr>
        <w:snapToGrid w:val="0"/>
        <w:spacing w:line="560" w:lineRule="exact"/>
        <w:ind w:firstLine="632" w:firstLineChars="200"/>
        <w:textAlignment w:val="baseline"/>
        <w:rPr>
          <w:rFonts w:ascii="方正黑体_GBK" w:hAnsi="方正黑体_GBK" w:eastAsia="方正黑体_GBK"/>
          <w:color w:val="000000"/>
          <w:highlight w:val="none"/>
        </w:rPr>
      </w:pPr>
      <w:r>
        <w:rPr>
          <w:rFonts w:hint="eastAsia" w:ascii="方正黑体_GBK" w:hAnsi="方正黑体_GBK" w:eastAsia="方正黑体_GBK" w:cs="方正黑体_GBK"/>
          <w:color w:val="000000"/>
          <w:highlight w:val="none"/>
        </w:rPr>
        <w:t>一、</w:t>
      </w:r>
      <w:r>
        <w:rPr>
          <w:rFonts w:ascii="方正黑体_GBK" w:hAnsi="方正黑体_GBK" w:eastAsia="方正黑体_GBK" w:cs="方正黑体_GBK"/>
          <w:color w:val="000000"/>
          <w:highlight w:val="none"/>
        </w:rPr>
        <w:t>2021</w:t>
      </w:r>
      <w:r>
        <w:rPr>
          <w:rFonts w:hint="eastAsia" w:ascii="方正黑体_GBK" w:hAnsi="方正黑体_GBK" w:eastAsia="方正黑体_GBK" w:cs="方正黑体_GBK"/>
          <w:color w:val="000000"/>
          <w:highlight w:val="none"/>
        </w:rPr>
        <w:t>年国民经济和社会发展计划执行情况</w:t>
      </w:r>
    </w:p>
    <w:p>
      <w:pPr>
        <w:snapToGrid w:val="0"/>
        <w:spacing w:line="560" w:lineRule="exact"/>
        <w:ind w:firstLine="632" w:firstLineChars="200"/>
        <w:textAlignment w:val="baseline"/>
        <w:rPr>
          <w:rFonts w:ascii="方正仿宋_GBK"/>
          <w:snapToGrid w:val="0"/>
          <w:highlight w:val="none"/>
        </w:rPr>
      </w:pPr>
      <w:r>
        <w:rPr>
          <w:rFonts w:hint="eastAsia" w:ascii="方正仿宋_GBK"/>
          <w:snapToGrid w:val="0"/>
          <w:highlight w:val="none"/>
          <w:lang w:val="en-US" w:eastAsia="zh-CN"/>
        </w:rPr>
        <w:t>2021年</w:t>
      </w:r>
      <w:r>
        <w:rPr>
          <w:rFonts w:hint="eastAsia" w:ascii="方正仿宋_GBK"/>
          <w:snapToGrid w:val="0"/>
          <w:highlight w:val="none"/>
        </w:rPr>
        <w:t>，全县上下坚持以习近平新时代中国特色社会主义思想为指导，深入贯彻落实习近平总书记视察重庆重要讲话和亲临石柱视察重要指示精神，按照市委、市政府决策部署，在县委县政府的坚强领导下，在县人大和县政协的监督支持下，紧紧团结和依靠全县人民，抢抓成渝地区双城经济圈建设和市域“一区两群”协调发展等重大机遇，以建设“全国生态康养胜地”为目标，聚焦“全域康养、绿色崛起”发展主题，坚持稳中求进工作总基调，持续巩固拓展疫情防控和经济社会发展成果，扎实推进我县“十四五”规划纲要和县政府工作报告各项目标任务，年度主要目标任务完成较好，全县经济运行持续稳定恢复，社会大局和谐稳定，“十四五”开局良好。</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w:t>
      </w:r>
      <w:r>
        <w:rPr>
          <w:rFonts w:hint="eastAsia" w:ascii="方正仿宋_GBK"/>
          <w:snapToGrid w:val="0"/>
          <w:highlight w:val="none"/>
        </w:rPr>
        <w:t>经济恢复好于预期。预计全年实现地区生产总值</w:t>
      </w:r>
      <w:r>
        <w:rPr>
          <w:rFonts w:ascii="方正仿宋_GBK"/>
          <w:snapToGrid w:val="0"/>
          <w:highlight w:val="none"/>
        </w:rPr>
        <w:t>18</w:t>
      </w:r>
      <w:r>
        <w:rPr>
          <w:rFonts w:hint="eastAsia" w:ascii="方正仿宋_GBK"/>
          <w:snapToGrid w:val="0"/>
          <w:highlight w:val="none"/>
        </w:rPr>
        <w:t>5亿元、同比增长8</w:t>
      </w:r>
      <w:r>
        <w:rPr>
          <w:rFonts w:ascii="方正仿宋_GBK"/>
          <w:snapToGrid w:val="0"/>
          <w:highlight w:val="none"/>
        </w:rPr>
        <w:t>%</w:t>
      </w:r>
      <w:r>
        <w:rPr>
          <w:rFonts w:hint="eastAsia" w:ascii="方正仿宋_GBK"/>
          <w:snapToGrid w:val="0"/>
          <w:highlight w:val="none"/>
        </w:rPr>
        <w:t>左右，高于预期目标2个百分点，恢复性增长态势明显；规上工业产值</w:t>
      </w:r>
      <w:r>
        <w:rPr>
          <w:rFonts w:ascii="方正仿宋_GBK"/>
          <w:snapToGrid w:val="0"/>
          <w:highlight w:val="none"/>
        </w:rPr>
        <w:t>7</w:t>
      </w:r>
      <w:r>
        <w:rPr>
          <w:rFonts w:hint="eastAsia" w:ascii="方正仿宋_GBK"/>
          <w:snapToGrid w:val="0"/>
          <w:highlight w:val="none"/>
        </w:rPr>
        <w:t>3亿元，同比增长12.6</w:t>
      </w:r>
      <w:r>
        <w:rPr>
          <w:rFonts w:ascii="方正仿宋_GBK"/>
          <w:snapToGrid w:val="0"/>
          <w:highlight w:val="none"/>
        </w:rPr>
        <w:t>%</w:t>
      </w:r>
      <w:r>
        <w:rPr>
          <w:rFonts w:hint="eastAsia" w:ascii="方正仿宋_GBK"/>
          <w:snapToGrid w:val="0"/>
          <w:highlight w:val="none"/>
        </w:rPr>
        <w:t>，高于预期目标1.4个百分点；一般公共预算收入</w:t>
      </w:r>
      <w:r>
        <w:rPr>
          <w:rFonts w:ascii="方正仿宋_GBK"/>
          <w:snapToGrid w:val="0"/>
          <w:highlight w:val="none"/>
        </w:rPr>
        <w:t>10.</w:t>
      </w:r>
      <w:r>
        <w:rPr>
          <w:rFonts w:hint="eastAsia" w:ascii="方正仿宋_GBK"/>
          <w:snapToGrid w:val="0"/>
          <w:highlight w:val="none"/>
        </w:rPr>
        <w:t>8亿元，同比增长5.6</w:t>
      </w:r>
      <w:r>
        <w:rPr>
          <w:rFonts w:ascii="方正仿宋_GBK"/>
          <w:snapToGrid w:val="0"/>
          <w:highlight w:val="none"/>
        </w:rPr>
        <w:t>%</w:t>
      </w:r>
      <w:r>
        <w:rPr>
          <w:rFonts w:hint="eastAsia" w:ascii="方正仿宋_GBK"/>
          <w:snapToGrid w:val="0"/>
          <w:highlight w:val="none"/>
        </w:rPr>
        <w:t>，高于预期目标2.6个百分点；社会消费品零售总额</w:t>
      </w:r>
      <w:r>
        <w:rPr>
          <w:rFonts w:ascii="方正仿宋_GBK"/>
          <w:snapToGrid w:val="0"/>
          <w:highlight w:val="none"/>
        </w:rPr>
        <w:t>91</w:t>
      </w:r>
      <w:r>
        <w:rPr>
          <w:rFonts w:hint="eastAsia" w:ascii="方正仿宋_GBK"/>
          <w:snapToGrid w:val="0"/>
          <w:highlight w:val="none"/>
        </w:rPr>
        <w:t>亿元，同比增长</w:t>
      </w:r>
      <w:r>
        <w:rPr>
          <w:rFonts w:ascii="方正仿宋_GBK"/>
          <w:snapToGrid w:val="0"/>
          <w:highlight w:val="none"/>
        </w:rPr>
        <w:t>10%</w:t>
      </w:r>
      <w:r>
        <w:rPr>
          <w:rFonts w:hint="eastAsia" w:ascii="方正仿宋_GBK"/>
          <w:snapToGrid w:val="0"/>
          <w:highlight w:val="none"/>
        </w:rPr>
        <w:t>，高于预期目标</w:t>
      </w:r>
      <w:r>
        <w:rPr>
          <w:rFonts w:ascii="方正仿宋_GBK"/>
          <w:snapToGrid w:val="0"/>
          <w:highlight w:val="none"/>
        </w:rPr>
        <w:t>2</w:t>
      </w:r>
      <w:r>
        <w:rPr>
          <w:rFonts w:hint="eastAsia" w:ascii="方正仿宋_GBK"/>
          <w:snapToGrid w:val="0"/>
          <w:highlight w:val="none"/>
        </w:rPr>
        <w:t>个百分点。</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w:t>
      </w:r>
      <w:r>
        <w:rPr>
          <w:rFonts w:hint="eastAsia" w:ascii="方正仿宋_GBK"/>
          <w:snapToGrid w:val="0"/>
          <w:highlight w:val="none"/>
        </w:rPr>
        <w:t>发展动力不断增强。出口贸易态势良好，外贸进出口总额预计实现</w:t>
      </w:r>
      <w:r>
        <w:rPr>
          <w:rFonts w:ascii="方正仿宋_GBK"/>
          <w:snapToGrid w:val="0"/>
          <w:highlight w:val="none"/>
        </w:rPr>
        <w:t>5</w:t>
      </w:r>
      <w:r>
        <w:rPr>
          <w:rFonts w:hint="eastAsia" w:ascii="方正仿宋_GBK"/>
          <w:snapToGrid w:val="0"/>
          <w:highlight w:val="none"/>
        </w:rPr>
        <w:t>亿美元，同比增长</w:t>
      </w:r>
      <w:r>
        <w:rPr>
          <w:rFonts w:ascii="方正仿宋_GBK"/>
          <w:snapToGrid w:val="0"/>
          <w:highlight w:val="none"/>
        </w:rPr>
        <w:t>39.37%</w:t>
      </w:r>
      <w:r>
        <w:rPr>
          <w:rFonts w:hint="eastAsia" w:ascii="方正仿宋_GBK"/>
          <w:snapToGrid w:val="0"/>
          <w:highlight w:val="none"/>
        </w:rPr>
        <w:t>。民营经济蓬勃发展，新增市场主体</w:t>
      </w:r>
      <w:r>
        <w:rPr>
          <w:rFonts w:ascii="方正仿宋_GBK"/>
          <w:snapToGrid w:val="0"/>
          <w:highlight w:val="none"/>
        </w:rPr>
        <w:t>4500</w:t>
      </w:r>
      <w:r>
        <w:rPr>
          <w:rFonts w:hint="eastAsia" w:ascii="方正仿宋_GBK"/>
          <w:snapToGrid w:val="0"/>
          <w:highlight w:val="none"/>
        </w:rPr>
        <w:t>户，民营经济增加值占</w:t>
      </w:r>
      <w:r>
        <w:rPr>
          <w:rFonts w:ascii="方正仿宋_GBK"/>
          <w:snapToGrid w:val="0"/>
          <w:highlight w:val="none"/>
        </w:rPr>
        <w:t>GDP</w:t>
      </w:r>
      <w:r>
        <w:rPr>
          <w:rFonts w:hint="eastAsia" w:ascii="方正仿宋_GBK"/>
          <w:snapToGrid w:val="0"/>
          <w:highlight w:val="none"/>
        </w:rPr>
        <w:t>比重达</w:t>
      </w:r>
      <w:r>
        <w:rPr>
          <w:rFonts w:ascii="方正仿宋_GBK"/>
          <w:snapToGrid w:val="0"/>
          <w:highlight w:val="none"/>
        </w:rPr>
        <w:t>56.7%</w:t>
      </w:r>
      <w:r>
        <w:rPr>
          <w:rFonts w:hint="eastAsia" w:ascii="方正仿宋_GBK"/>
          <w:snapToGrid w:val="0"/>
          <w:highlight w:val="none"/>
        </w:rPr>
        <w:t>。创新发展稳步推进，实现战略性新兴制造业产值</w:t>
      </w:r>
      <w:r>
        <w:rPr>
          <w:rFonts w:ascii="方正仿宋_GBK"/>
          <w:snapToGrid w:val="0"/>
          <w:highlight w:val="none"/>
        </w:rPr>
        <w:t>19.3</w:t>
      </w:r>
      <w:r>
        <w:rPr>
          <w:rFonts w:hint="eastAsia" w:ascii="方正仿宋_GBK"/>
          <w:snapToGrid w:val="0"/>
          <w:highlight w:val="none"/>
        </w:rPr>
        <w:t>亿元，全社会研发投入占</w:t>
      </w:r>
      <w:r>
        <w:rPr>
          <w:rFonts w:ascii="方正仿宋_GBK"/>
          <w:snapToGrid w:val="0"/>
          <w:highlight w:val="none"/>
        </w:rPr>
        <w:t>GDP</w:t>
      </w:r>
      <w:r>
        <w:rPr>
          <w:rFonts w:hint="eastAsia" w:ascii="方正仿宋_GBK"/>
          <w:snapToGrid w:val="0"/>
          <w:highlight w:val="none"/>
        </w:rPr>
        <w:t>比重达</w:t>
      </w:r>
      <w:r>
        <w:rPr>
          <w:rFonts w:ascii="方正仿宋_GBK"/>
          <w:snapToGrid w:val="0"/>
          <w:highlight w:val="none"/>
        </w:rPr>
        <w:t>0.</w:t>
      </w:r>
      <w:r>
        <w:rPr>
          <w:rFonts w:hint="eastAsia" w:ascii="方正仿宋_GBK"/>
          <w:snapToGrid w:val="0"/>
          <w:highlight w:val="none"/>
        </w:rPr>
        <w:t>9</w:t>
      </w:r>
      <w:r>
        <w:rPr>
          <w:rFonts w:ascii="方正仿宋_GBK"/>
          <w:snapToGrid w:val="0"/>
          <w:highlight w:val="none"/>
        </w:rPr>
        <w:t>%</w:t>
      </w:r>
      <w:r>
        <w:rPr>
          <w:rFonts w:hint="eastAsia" w:ascii="方正仿宋_GBK"/>
          <w:snapToGrid w:val="0"/>
          <w:highlight w:val="none"/>
        </w:rPr>
        <w:t>，万人有效发明专利</w:t>
      </w:r>
      <w:r>
        <w:rPr>
          <w:rFonts w:ascii="方正仿宋_GBK"/>
          <w:snapToGrid w:val="0"/>
          <w:highlight w:val="none"/>
        </w:rPr>
        <w:t>3.</w:t>
      </w:r>
      <w:r>
        <w:rPr>
          <w:rFonts w:hint="eastAsia" w:ascii="方正仿宋_GBK"/>
          <w:snapToGrid w:val="0"/>
          <w:highlight w:val="none"/>
        </w:rPr>
        <w:t>7件，同比增长16</w:t>
      </w:r>
      <w:r>
        <w:rPr>
          <w:rFonts w:ascii="方正仿宋_GBK"/>
          <w:snapToGrid w:val="0"/>
          <w:highlight w:val="none"/>
        </w:rPr>
        <w:t>%</w:t>
      </w:r>
      <w:r>
        <w:rPr>
          <w:rFonts w:hint="eastAsia" w:ascii="方正仿宋_GBK"/>
          <w:snapToGrid w:val="0"/>
          <w:highlight w:val="none"/>
        </w:rPr>
        <w:t>。</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w:t>
      </w:r>
      <w:r>
        <w:rPr>
          <w:rFonts w:hint="eastAsia" w:ascii="方正仿宋_GBK"/>
          <w:snapToGrid w:val="0"/>
          <w:highlight w:val="none"/>
        </w:rPr>
        <w:t>发展质效显著提升。居民收入稳步提升，预计全年城乡居民人均可支配收入达到</w:t>
      </w:r>
      <w:r>
        <w:rPr>
          <w:rFonts w:ascii="方正仿宋_GBK"/>
          <w:snapToGrid w:val="0"/>
          <w:highlight w:val="none"/>
        </w:rPr>
        <w:t>27346</w:t>
      </w:r>
      <w:r>
        <w:rPr>
          <w:rFonts w:hint="eastAsia" w:ascii="方正仿宋_GBK"/>
          <w:snapToGrid w:val="0"/>
          <w:highlight w:val="none"/>
        </w:rPr>
        <w:t>元，同比增长</w:t>
      </w:r>
      <w:r>
        <w:rPr>
          <w:rFonts w:ascii="方正仿宋_GBK"/>
          <w:snapToGrid w:val="0"/>
          <w:highlight w:val="none"/>
        </w:rPr>
        <w:t>8%</w:t>
      </w:r>
      <w:r>
        <w:rPr>
          <w:rFonts w:hint="eastAsia" w:ascii="方正仿宋_GBK"/>
          <w:snapToGrid w:val="0"/>
          <w:highlight w:val="none"/>
        </w:rPr>
        <w:t>，其中：城镇居民人均可支配收入</w:t>
      </w:r>
      <w:r>
        <w:rPr>
          <w:rFonts w:ascii="方正仿宋_GBK"/>
          <w:snapToGrid w:val="0"/>
          <w:highlight w:val="none"/>
        </w:rPr>
        <w:t>39980</w:t>
      </w:r>
      <w:r>
        <w:rPr>
          <w:rFonts w:hint="eastAsia" w:ascii="方正仿宋_GBK"/>
          <w:snapToGrid w:val="0"/>
          <w:highlight w:val="none"/>
        </w:rPr>
        <w:t>元、增长</w:t>
      </w:r>
      <w:r>
        <w:rPr>
          <w:rFonts w:ascii="方正仿宋_GBK"/>
          <w:snapToGrid w:val="0"/>
          <w:highlight w:val="none"/>
        </w:rPr>
        <w:t>7.5%</w:t>
      </w:r>
      <w:r>
        <w:rPr>
          <w:rFonts w:hint="eastAsia" w:ascii="方正仿宋_GBK"/>
          <w:snapToGrid w:val="0"/>
          <w:highlight w:val="none"/>
        </w:rPr>
        <w:t>，农村居民人均可支配收入</w:t>
      </w:r>
      <w:r>
        <w:rPr>
          <w:rFonts w:ascii="方正仿宋_GBK"/>
          <w:snapToGrid w:val="0"/>
          <w:highlight w:val="none"/>
        </w:rPr>
        <w:t>17000</w:t>
      </w:r>
      <w:r>
        <w:rPr>
          <w:rFonts w:hint="eastAsia" w:ascii="方正仿宋_GBK"/>
          <w:snapToGrid w:val="0"/>
          <w:highlight w:val="none"/>
        </w:rPr>
        <w:t>元、增长</w:t>
      </w:r>
      <w:r>
        <w:rPr>
          <w:rFonts w:ascii="方正仿宋_GBK"/>
          <w:snapToGrid w:val="0"/>
          <w:highlight w:val="none"/>
        </w:rPr>
        <w:t>10%</w:t>
      </w:r>
      <w:r>
        <w:rPr>
          <w:rFonts w:hint="eastAsia" w:ascii="方正仿宋_GBK"/>
          <w:snapToGrid w:val="0"/>
          <w:highlight w:val="none"/>
        </w:rPr>
        <w:t>。税收收入不断增加，预计全年累计完成税收收入</w:t>
      </w:r>
      <w:r>
        <w:rPr>
          <w:rFonts w:hint="eastAsia" w:ascii="方正仿宋_GBK"/>
          <w:snapToGrid w:val="0"/>
          <w:highlight w:val="none"/>
          <w:lang w:val="en-US" w:eastAsia="zh-CN"/>
        </w:rPr>
        <w:t>14.5</w:t>
      </w:r>
      <w:r>
        <w:rPr>
          <w:rFonts w:hint="eastAsia" w:ascii="方正仿宋_GBK"/>
          <w:snapToGrid w:val="0"/>
          <w:highlight w:val="none"/>
        </w:rPr>
        <w:t>亿元，同比增长</w:t>
      </w:r>
      <w:r>
        <w:rPr>
          <w:rFonts w:hint="eastAsia" w:ascii="方正仿宋_GBK"/>
          <w:snapToGrid w:val="0"/>
          <w:highlight w:val="none"/>
          <w:lang w:val="en-US" w:eastAsia="zh-CN"/>
        </w:rPr>
        <w:t>9.2</w:t>
      </w:r>
      <w:r>
        <w:rPr>
          <w:rFonts w:ascii="方正仿宋_GBK"/>
          <w:snapToGrid w:val="0"/>
          <w:highlight w:val="none"/>
        </w:rPr>
        <w:t>%</w:t>
      </w:r>
      <w:r>
        <w:rPr>
          <w:rFonts w:hint="eastAsia" w:ascii="方正仿宋_GBK"/>
          <w:snapToGrid w:val="0"/>
          <w:highlight w:val="none"/>
        </w:rPr>
        <w:t>。</w:t>
      </w:r>
    </w:p>
    <w:p>
      <w:pPr>
        <w:snapToGrid w:val="0"/>
        <w:spacing w:line="560" w:lineRule="exact"/>
        <w:ind w:firstLine="632" w:firstLineChars="200"/>
        <w:textAlignment w:val="baseline"/>
        <w:rPr>
          <w:rFonts w:ascii="方正楷体_GBK" w:eastAsia="方正楷体_GBK"/>
          <w:snapToGrid w:val="0"/>
          <w:highlight w:val="none"/>
        </w:rPr>
      </w:pPr>
      <w:r>
        <w:rPr>
          <w:rFonts w:hint="eastAsia" w:ascii="方正楷体_GBK" w:eastAsia="方正楷体_GBK"/>
          <w:snapToGrid w:val="0"/>
          <w:highlight w:val="none"/>
        </w:rPr>
        <w:t>（一）计划指标完成情况</w:t>
      </w:r>
    </w:p>
    <w:p>
      <w:pPr>
        <w:snapToGrid w:val="0"/>
        <w:spacing w:line="560" w:lineRule="exact"/>
        <w:ind w:firstLine="632" w:firstLineChars="200"/>
        <w:textAlignment w:val="baseline"/>
        <w:rPr>
          <w:rFonts w:ascii="方正仿宋_GBK"/>
          <w:snapToGrid w:val="0"/>
          <w:highlight w:val="none"/>
        </w:rPr>
      </w:pPr>
      <w:r>
        <w:rPr>
          <w:rFonts w:hint="eastAsia" w:ascii="方正仿宋_GBK"/>
          <w:snapToGrid w:val="0"/>
          <w:highlight w:val="none"/>
        </w:rPr>
        <w:t>县第十八届人大五次会议审议通过的经济社会发展指标共</w:t>
      </w:r>
      <w:r>
        <w:rPr>
          <w:rFonts w:ascii="方正仿宋_GBK"/>
          <w:snapToGrid w:val="0"/>
          <w:highlight w:val="none"/>
        </w:rPr>
        <w:t>26</w:t>
      </w:r>
      <w:r>
        <w:rPr>
          <w:rFonts w:hint="eastAsia" w:ascii="方正仿宋_GBK"/>
          <w:snapToGrid w:val="0"/>
          <w:highlight w:val="none"/>
        </w:rPr>
        <w:t>项，总体完成较好，其中：主要经济指标</w:t>
      </w:r>
      <w:r>
        <w:rPr>
          <w:rFonts w:ascii="方正仿宋_GBK"/>
          <w:snapToGrid w:val="0"/>
          <w:highlight w:val="none"/>
        </w:rPr>
        <w:t>11</w:t>
      </w:r>
      <w:r>
        <w:rPr>
          <w:rFonts w:hint="eastAsia" w:ascii="方正仿宋_GBK"/>
          <w:snapToGrid w:val="0"/>
          <w:highlight w:val="none"/>
        </w:rPr>
        <w:t>项完成计划目标的</w:t>
      </w:r>
      <w:r>
        <w:rPr>
          <w:rFonts w:ascii="方正仿宋_GBK"/>
          <w:snapToGrid w:val="0"/>
          <w:highlight w:val="none"/>
        </w:rPr>
        <w:t>9</w:t>
      </w:r>
      <w:r>
        <w:rPr>
          <w:rFonts w:hint="eastAsia" w:ascii="方正仿宋_GBK"/>
          <w:snapToGrid w:val="0"/>
          <w:highlight w:val="none"/>
        </w:rPr>
        <w:t>项；主要社会指标</w:t>
      </w:r>
      <w:r>
        <w:rPr>
          <w:rFonts w:ascii="方正仿宋_GBK"/>
          <w:snapToGrid w:val="0"/>
          <w:highlight w:val="none"/>
        </w:rPr>
        <w:t>15</w:t>
      </w:r>
      <w:r>
        <w:rPr>
          <w:rFonts w:hint="eastAsia" w:ascii="方正仿宋_GBK"/>
          <w:snapToGrid w:val="0"/>
          <w:highlight w:val="none"/>
        </w:rPr>
        <w:t>项全部完成计划目标。（详见附件）</w:t>
      </w:r>
      <w:r>
        <w:rPr>
          <w:rFonts w:ascii="方正仿宋_GBK"/>
          <w:snapToGrid w:val="0"/>
          <w:highlight w:val="none"/>
        </w:rPr>
        <w:t xml:space="preserve"> </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1. </w:t>
      </w:r>
      <w:r>
        <w:rPr>
          <w:rFonts w:hint="eastAsia" w:ascii="方正仿宋_GBK"/>
          <w:snapToGrid w:val="0"/>
          <w:highlight w:val="none"/>
        </w:rPr>
        <w:t>主要经济指标完成情况（</w:t>
      </w:r>
      <w:r>
        <w:rPr>
          <w:rFonts w:ascii="方正仿宋_GBK"/>
          <w:snapToGrid w:val="0"/>
          <w:highlight w:val="none"/>
        </w:rPr>
        <w:t>11</w:t>
      </w:r>
      <w:r>
        <w:rPr>
          <w:rFonts w:hint="eastAsia" w:ascii="方正仿宋_GBK"/>
          <w:snapToGrid w:val="0"/>
          <w:highlight w:val="none"/>
        </w:rPr>
        <w:t>项）</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9</w:t>
      </w:r>
      <w:r>
        <w:rPr>
          <w:rFonts w:hint="eastAsia" w:ascii="方正仿宋_GBK"/>
          <w:snapToGrid w:val="0"/>
          <w:highlight w:val="none"/>
        </w:rPr>
        <w:t>项完成计划目标：地区生产总值同比增长8</w:t>
      </w:r>
      <w:r>
        <w:rPr>
          <w:rFonts w:ascii="方正仿宋_GBK"/>
          <w:snapToGrid w:val="0"/>
          <w:highlight w:val="none"/>
        </w:rPr>
        <w:t>%</w:t>
      </w:r>
      <w:r>
        <w:rPr>
          <w:rFonts w:hint="eastAsia" w:ascii="方正仿宋_GBK"/>
          <w:snapToGrid w:val="0"/>
          <w:highlight w:val="none"/>
        </w:rPr>
        <w:t>，超计划目标2个百分点；规上工业产值同比增长</w:t>
      </w:r>
      <w:r>
        <w:rPr>
          <w:rFonts w:ascii="方正仿宋_GBK"/>
          <w:snapToGrid w:val="0"/>
          <w:highlight w:val="none"/>
        </w:rPr>
        <w:t>1</w:t>
      </w:r>
      <w:r>
        <w:rPr>
          <w:rFonts w:hint="eastAsia" w:ascii="方正仿宋_GBK"/>
          <w:snapToGrid w:val="0"/>
          <w:highlight w:val="none"/>
        </w:rPr>
        <w:t>2.6</w:t>
      </w:r>
      <w:r>
        <w:rPr>
          <w:rFonts w:ascii="方正仿宋_GBK"/>
          <w:snapToGrid w:val="0"/>
          <w:highlight w:val="none"/>
        </w:rPr>
        <w:t>%</w:t>
      </w:r>
      <w:r>
        <w:rPr>
          <w:rFonts w:hint="eastAsia" w:ascii="方正仿宋_GBK"/>
          <w:snapToGrid w:val="0"/>
          <w:highlight w:val="none"/>
        </w:rPr>
        <w:t>，超计划目标1.4个百分点；社会消费品零售总额同比增长</w:t>
      </w:r>
      <w:r>
        <w:rPr>
          <w:rFonts w:ascii="方正仿宋_GBK"/>
          <w:snapToGrid w:val="0"/>
          <w:highlight w:val="none"/>
        </w:rPr>
        <w:t>10%</w:t>
      </w:r>
      <w:r>
        <w:rPr>
          <w:rFonts w:hint="eastAsia" w:ascii="方正仿宋_GBK"/>
          <w:snapToGrid w:val="0"/>
          <w:highlight w:val="none"/>
        </w:rPr>
        <w:t>，超计划目标</w:t>
      </w:r>
      <w:r>
        <w:rPr>
          <w:rFonts w:ascii="方正仿宋_GBK"/>
          <w:snapToGrid w:val="0"/>
          <w:highlight w:val="none"/>
        </w:rPr>
        <w:t>2</w:t>
      </w:r>
      <w:r>
        <w:rPr>
          <w:rFonts w:hint="eastAsia" w:ascii="方正仿宋_GBK"/>
          <w:snapToGrid w:val="0"/>
          <w:highlight w:val="none"/>
        </w:rPr>
        <w:t>个百分点；公共财政预算收入同比增长5.6</w:t>
      </w:r>
      <w:r>
        <w:rPr>
          <w:rFonts w:ascii="方正仿宋_GBK"/>
          <w:snapToGrid w:val="0"/>
          <w:highlight w:val="none"/>
        </w:rPr>
        <w:t>%</w:t>
      </w:r>
      <w:r>
        <w:rPr>
          <w:rFonts w:hint="eastAsia" w:ascii="方正仿宋_GBK"/>
          <w:snapToGrid w:val="0"/>
          <w:highlight w:val="none"/>
        </w:rPr>
        <w:t>，超计划目标2.6个百分点；进出口总额达到</w:t>
      </w:r>
      <w:r>
        <w:rPr>
          <w:rFonts w:ascii="方正仿宋_GBK"/>
          <w:snapToGrid w:val="0"/>
          <w:highlight w:val="none"/>
        </w:rPr>
        <w:t>5</w:t>
      </w:r>
      <w:r>
        <w:rPr>
          <w:rFonts w:hint="eastAsia" w:ascii="方正仿宋_GBK"/>
          <w:snapToGrid w:val="0"/>
          <w:highlight w:val="none"/>
        </w:rPr>
        <w:t>亿美元，增长</w:t>
      </w:r>
      <w:r>
        <w:rPr>
          <w:rFonts w:ascii="方正仿宋_GBK"/>
          <w:snapToGrid w:val="0"/>
          <w:highlight w:val="none"/>
        </w:rPr>
        <w:t>39.37%</w:t>
      </w:r>
      <w:r>
        <w:rPr>
          <w:rFonts w:hint="eastAsia" w:ascii="方正仿宋_GBK"/>
          <w:snapToGrid w:val="0"/>
          <w:highlight w:val="none"/>
        </w:rPr>
        <w:t>，分别超计划目标</w:t>
      </w:r>
      <w:r>
        <w:rPr>
          <w:rFonts w:ascii="方正仿宋_GBK"/>
          <w:snapToGrid w:val="0"/>
          <w:highlight w:val="none"/>
        </w:rPr>
        <w:t>1.4</w:t>
      </w:r>
      <w:r>
        <w:rPr>
          <w:rFonts w:hint="eastAsia" w:ascii="方正仿宋_GBK"/>
          <w:snapToGrid w:val="0"/>
          <w:highlight w:val="none"/>
        </w:rPr>
        <w:t>亿元、</w:t>
      </w:r>
      <w:r>
        <w:rPr>
          <w:rFonts w:ascii="方正仿宋_GBK"/>
          <w:snapToGrid w:val="0"/>
          <w:highlight w:val="none"/>
        </w:rPr>
        <w:t>39.07</w:t>
      </w:r>
      <w:r>
        <w:rPr>
          <w:rFonts w:hint="eastAsia" w:ascii="方正仿宋_GBK"/>
          <w:snapToGrid w:val="0"/>
          <w:highlight w:val="none"/>
        </w:rPr>
        <w:t>个百分点。全体居民人均可支配收入同比增长</w:t>
      </w:r>
      <w:r>
        <w:rPr>
          <w:rFonts w:ascii="方正仿宋_GBK"/>
          <w:snapToGrid w:val="0"/>
          <w:highlight w:val="none"/>
        </w:rPr>
        <w:t>8%</w:t>
      </w:r>
      <w:r>
        <w:rPr>
          <w:rFonts w:hint="eastAsia" w:ascii="方正仿宋_GBK"/>
          <w:snapToGrid w:val="0"/>
          <w:highlight w:val="none"/>
        </w:rPr>
        <w:t>；康养产业增加值占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51%</w:t>
      </w:r>
      <w:r>
        <w:rPr>
          <w:rFonts w:hint="eastAsia" w:ascii="方正仿宋_GBK"/>
          <w:snapToGrid w:val="0"/>
          <w:highlight w:val="none"/>
        </w:rPr>
        <w:t>；民营经济增加值增长</w:t>
      </w:r>
      <w:r>
        <w:rPr>
          <w:rFonts w:ascii="方正仿宋_GBK"/>
          <w:snapToGrid w:val="0"/>
          <w:highlight w:val="none"/>
        </w:rPr>
        <w:t>6%</w:t>
      </w:r>
      <w:r>
        <w:rPr>
          <w:rFonts w:hint="eastAsia" w:ascii="方正仿宋_GBK"/>
          <w:snapToGrid w:val="0"/>
          <w:highlight w:val="none"/>
        </w:rPr>
        <w:t>，占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56.7%</w:t>
      </w:r>
      <w:r>
        <w:rPr>
          <w:rFonts w:hint="eastAsia" w:ascii="方正仿宋_GBK"/>
          <w:snapToGrid w:val="0"/>
          <w:highlight w:val="none"/>
        </w:rPr>
        <w:t>；文化产业增加值占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2%</w:t>
      </w:r>
      <w:r>
        <w:rPr>
          <w:rFonts w:hint="eastAsia" w:ascii="方正仿宋_GBK"/>
          <w:snapToGrid w:val="0"/>
          <w:highlight w:val="none"/>
        </w:rPr>
        <w:t>，均达到计划目标。</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2</w:t>
      </w:r>
      <w:r>
        <w:rPr>
          <w:rFonts w:hint="eastAsia" w:ascii="方正仿宋_GBK"/>
          <w:snapToGrid w:val="0"/>
          <w:highlight w:val="none"/>
        </w:rPr>
        <w:t>项未完成计划目标：一是旅游业增加值现价增速及占</w:t>
      </w:r>
      <w:r>
        <w:rPr>
          <w:rFonts w:ascii="方正仿宋_GBK"/>
          <w:snapToGrid w:val="0"/>
          <w:highlight w:val="none"/>
        </w:rPr>
        <w:t>GDP</w:t>
      </w:r>
      <w:r>
        <w:rPr>
          <w:rFonts w:hint="eastAsia" w:ascii="方正仿宋_GBK"/>
          <w:snapToGrid w:val="0"/>
          <w:highlight w:val="none"/>
        </w:rPr>
        <w:t>比重。受疫情影响，客源市场有所萎缩，游客接待及旅游综合收入增速</w:t>
      </w:r>
      <w:r>
        <w:rPr>
          <w:rFonts w:hint="eastAsia" w:ascii="方正仿宋_GBK"/>
          <w:snapToGrid w:val="0"/>
          <w:highlight w:val="none"/>
          <w:lang w:eastAsia="zh-CN"/>
        </w:rPr>
        <w:t>放缓</w:t>
      </w:r>
      <w:r>
        <w:rPr>
          <w:rFonts w:hint="eastAsia" w:ascii="方正仿宋_GBK"/>
          <w:snapToGrid w:val="0"/>
          <w:highlight w:val="none"/>
        </w:rPr>
        <w:t>，预计旅游业增加值同比增长</w:t>
      </w:r>
      <w:r>
        <w:rPr>
          <w:rFonts w:ascii="方正仿宋_GBK"/>
          <w:snapToGrid w:val="0"/>
          <w:highlight w:val="none"/>
        </w:rPr>
        <w:t>7%</w:t>
      </w:r>
      <w:r>
        <w:rPr>
          <w:rFonts w:hint="eastAsia" w:ascii="方正仿宋_GBK"/>
          <w:snapToGrid w:val="0"/>
          <w:highlight w:val="none"/>
        </w:rPr>
        <w:t>，占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5%</w:t>
      </w:r>
      <w:r>
        <w:rPr>
          <w:rFonts w:hint="eastAsia" w:ascii="方正仿宋_GBK"/>
          <w:snapToGrid w:val="0"/>
          <w:highlight w:val="none"/>
        </w:rPr>
        <w:t>，分别差计划目标</w:t>
      </w:r>
      <w:r>
        <w:rPr>
          <w:rFonts w:ascii="方正仿宋_GBK"/>
          <w:snapToGrid w:val="0"/>
          <w:highlight w:val="none"/>
        </w:rPr>
        <w:t>5</w:t>
      </w:r>
      <w:r>
        <w:rPr>
          <w:rFonts w:hint="eastAsia" w:ascii="方正仿宋_GBK"/>
          <w:snapToGrid w:val="0"/>
          <w:highlight w:val="none"/>
        </w:rPr>
        <w:t>、</w:t>
      </w:r>
      <w:r>
        <w:rPr>
          <w:rFonts w:ascii="方正仿宋_GBK"/>
          <w:snapToGrid w:val="0"/>
          <w:highlight w:val="none"/>
        </w:rPr>
        <w:t>1.3</w:t>
      </w:r>
      <w:r>
        <w:rPr>
          <w:rFonts w:hint="eastAsia" w:ascii="方正仿宋_GBK"/>
          <w:snapToGrid w:val="0"/>
          <w:highlight w:val="none"/>
        </w:rPr>
        <w:t>个百分点。二是全社会固定资产投资增速。受宏观经济下行压力不断加大及疫情影响，水泥、钢材等原材料价格大幅上涨，再加上受土地、资金等要素制约，部分项目建设进度明显放缓，投资增长乏力，预计全年全社会固定资产投资同比下降18</w:t>
      </w:r>
      <w:r>
        <w:rPr>
          <w:rFonts w:ascii="方正仿宋_GBK"/>
          <w:snapToGrid w:val="0"/>
          <w:highlight w:val="none"/>
        </w:rPr>
        <w:t>%左右</w:t>
      </w:r>
      <w:r>
        <w:rPr>
          <w:rFonts w:hint="eastAsia" w:ascii="方正仿宋_GBK"/>
          <w:snapToGrid w:val="0"/>
          <w:highlight w:val="none"/>
        </w:rPr>
        <w:t>，差计划目标26个百分点。</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2. </w:t>
      </w:r>
      <w:r>
        <w:rPr>
          <w:rFonts w:hint="eastAsia" w:ascii="方正仿宋_GBK"/>
          <w:snapToGrid w:val="0"/>
          <w:highlight w:val="none"/>
        </w:rPr>
        <w:t>主要社会指标完成情况（</w:t>
      </w:r>
      <w:r>
        <w:rPr>
          <w:rFonts w:ascii="方正仿宋_GBK"/>
          <w:snapToGrid w:val="0"/>
          <w:highlight w:val="none"/>
        </w:rPr>
        <w:t>15</w:t>
      </w:r>
      <w:r>
        <w:rPr>
          <w:rFonts w:hint="eastAsia" w:ascii="方正仿宋_GBK"/>
          <w:snapToGrid w:val="0"/>
          <w:highlight w:val="none"/>
        </w:rPr>
        <w:t>项）</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1</w:t>
      </w:r>
      <w:r>
        <w:rPr>
          <w:rFonts w:hint="eastAsia" w:ascii="方正仿宋_GBK"/>
          <w:snapToGrid w:val="0"/>
          <w:highlight w:val="none"/>
        </w:rPr>
        <w:t>5项全部完成计划目标：</w:t>
      </w:r>
      <w:r>
        <w:rPr>
          <w:rFonts w:hint="eastAsia" w:ascii="方正仿宋_GBK"/>
          <w:snapToGrid w:val="0"/>
          <w:highlight w:val="none"/>
          <w:lang w:eastAsia="zh-CN"/>
        </w:rPr>
        <w:t>普惠性幼儿园覆盖率</w:t>
      </w:r>
      <w:r>
        <w:rPr>
          <w:rFonts w:hint="eastAsia" w:ascii="方正仿宋_GBK"/>
          <w:snapToGrid w:val="0"/>
          <w:highlight w:val="none"/>
        </w:rPr>
        <w:t>达到</w:t>
      </w:r>
      <w:r>
        <w:rPr>
          <w:rFonts w:ascii="方正仿宋_GBK"/>
          <w:snapToGrid w:val="0"/>
          <w:highlight w:val="none"/>
        </w:rPr>
        <w:t>90.</w:t>
      </w:r>
      <w:r>
        <w:rPr>
          <w:rFonts w:hint="eastAsia" w:ascii="方正仿宋_GBK"/>
          <w:snapToGrid w:val="0"/>
          <w:highlight w:val="none"/>
          <w:lang w:val="en-US" w:eastAsia="zh-CN"/>
        </w:rPr>
        <w:t>58</w:t>
      </w:r>
      <w:r>
        <w:rPr>
          <w:rFonts w:ascii="方正仿宋_GBK"/>
          <w:snapToGrid w:val="0"/>
          <w:highlight w:val="none"/>
        </w:rPr>
        <w:t>%</w:t>
      </w:r>
      <w:r>
        <w:rPr>
          <w:rFonts w:hint="eastAsia" w:ascii="方正仿宋_GBK"/>
          <w:snapToGrid w:val="0"/>
          <w:highlight w:val="none"/>
        </w:rPr>
        <w:t>，超计划目标</w:t>
      </w:r>
      <w:r>
        <w:rPr>
          <w:rFonts w:ascii="方正仿宋_GBK"/>
          <w:snapToGrid w:val="0"/>
          <w:highlight w:val="none"/>
        </w:rPr>
        <w:t>2.</w:t>
      </w:r>
      <w:r>
        <w:rPr>
          <w:rFonts w:hint="eastAsia" w:ascii="方正仿宋_GBK"/>
          <w:snapToGrid w:val="0"/>
          <w:highlight w:val="none"/>
          <w:lang w:val="en-US" w:eastAsia="zh-CN"/>
        </w:rPr>
        <w:t>58</w:t>
      </w:r>
      <w:r>
        <w:rPr>
          <w:rFonts w:hint="eastAsia" w:ascii="方正仿宋_GBK"/>
          <w:snapToGrid w:val="0"/>
          <w:highlight w:val="none"/>
        </w:rPr>
        <w:t>个百分点；万人发明专利拥有量</w:t>
      </w:r>
      <w:r>
        <w:rPr>
          <w:rFonts w:ascii="方正仿宋_GBK"/>
          <w:snapToGrid w:val="0"/>
          <w:highlight w:val="none"/>
        </w:rPr>
        <w:t>3.7</w:t>
      </w:r>
      <w:r>
        <w:rPr>
          <w:rFonts w:hint="eastAsia" w:ascii="方正仿宋_GBK"/>
          <w:snapToGrid w:val="0"/>
          <w:highlight w:val="none"/>
        </w:rPr>
        <w:t>件，超计划目标</w:t>
      </w:r>
      <w:r>
        <w:rPr>
          <w:rFonts w:ascii="方正仿宋_GBK"/>
          <w:snapToGrid w:val="0"/>
          <w:highlight w:val="none"/>
        </w:rPr>
        <w:t>0.2</w:t>
      </w:r>
      <w:r>
        <w:rPr>
          <w:rFonts w:hint="eastAsia" w:ascii="方正仿宋_GBK"/>
          <w:snapToGrid w:val="0"/>
          <w:highlight w:val="none"/>
        </w:rPr>
        <w:t>件。城乡生活垃圾处理率</w:t>
      </w:r>
      <w:r>
        <w:rPr>
          <w:rFonts w:ascii="方正仿宋_GBK"/>
          <w:snapToGrid w:val="0"/>
          <w:highlight w:val="none"/>
        </w:rPr>
        <w:t>100%</w:t>
      </w:r>
      <w:r>
        <w:rPr>
          <w:rFonts w:hint="eastAsia" w:ascii="方正仿宋_GBK"/>
          <w:snapToGrid w:val="0"/>
          <w:highlight w:val="none"/>
        </w:rPr>
        <w:t>，城镇生活污水集中处理率</w:t>
      </w:r>
      <w:r>
        <w:rPr>
          <w:rFonts w:ascii="方正仿宋_GBK"/>
          <w:snapToGrid w:val="0"/>
          <w:highlight w:val="none"/>
        </w:rPr>
        <w:t>96%</w:t>
      </w:r>
      <w:r>
        <w:rPr>
          <w:rFonts w:hint="eastAsia" w:ascii="方正仿宋_GBK"/>
          <w:snapToGrid w:val="0"/>
          <w:highlight w:val="none"/>
        </w:rPr>
        <w:t>，地质灾害防治达标率</w:t>
      </w:r>
      <w:r>
        <w:rPr>
          <w:rFonts w:ascii="方正仿宋_GBK"/>
          <w:snapToGrid w:val="0"/>
          <w:highlight w:val="none"/>
        </w:rPr>
        <w:t>100%</w:t>
      </w:r>
      <w:r>
        <w:rPr>
          <w:rFonts w:hint="eastAsia" w:ascii="方正仿宋_GBK"/>
          <w:snapToGrid w:val="0"/>
          <w:highlight w:val="none"/>
        </w:rPr>
        <w:t>，城市人均绿地面积保持率</w:t>
      </w:r>
      <w:r>
        <w:rPr>
          <w:rFonts w:ascii="方正仿宋_GBK"/>
          <w:snapToGrid w:val="0"/>
          <w:highlight w:val="none"/>
        </w:rPr>
        <w:t>100%</w:t>
      </w:r>
      <w:r>
        <w:rPr>
          <w:rFonts w:hint="eastAsia" w:ascii="方正仿宋_GBK"/>
          <w:snapToGrid w:val="0"/>
          <w:highlight w:val="none"/>
        </w:rPr>
        <w:t>，政府公共体育设施面积开放率</w:t>
      </w:r>
      <w:r>
        <w:rPr>
          <w:rFonts w:ascii="方正仿宋_GBK"/>
          <w:snapToGrid w:val="0"/>
          <w:highlight w:val="none"/>
        </w:rPr>
        <w:t>100%</w:t>
      </w:r>
      <w:r>
        <w:rPr>
          <w:rFonts w:hint="eastAsia" w:ascii="方正仿宋_GBK"/>
          <w:snapToGrid w:val="0"/>
          <w:highlight w:val="none"/>
        </w:rPr>
        <w:t>，森林覆盖率</w:t>
      </w:r>
      <w:r>
        <w:rPr>
          <w:rFonts w:ascii="方正仿宋_GBK"/>
          <w:snapToGrid w:val="0"/>
          <w:highlight w:val="none"/>
        </w:rPr>
        <w:t>62.</w:t>
      </w:r>
      <w:r>
        <w:rPr>
          <w:rFonts w:hint="eastAsia" w:ascii="方正仿宋_GBK"/>
          <w:snapToGrid w:val="0"/>
          <w:highlight w:val="none"/>
          <w:lang w:val="en-US" w:eastAsia="zh-CN"/>
        </w:rPr>
        <w:t>56</w:t>
      </w:r>
      <w:r>
        <w:rPr>
          <w:rFonts w:hint="eastAsia" w:ascii="方正仿宋_GBK"/>
          <w:snapToGrid w:val="0"/>
          <w:highlight w:val="none"/>
        </w:rPr>
        <w:t>％，水功能区水质达标率</w:t>
      </w:r>
      <w:r>
        <w:rPr>
          <w:rFonts w:ascii="方正仿宋_GBK"/>
          <w:snapToGrid w:val="0"/>
          <w:highlight w:val="none"/>
        </w:rPr>
        <w:t>90%</w:t>
      </w:r>
      <w:r>
        <w:rPr>
          <w:rFonts w:hint="eastAsia" w:ascii="方正仿宋_GBK"/>
          <w:snapToGrid w:val="0"/>
          <w:highlight w:val="none"/>
        </w:rPr>
        <w:t>，新增民营经济市场主体</w:t>
      </w:r>
      <w:r>
        <w:rPr>
          <w:rFonts w:ascii="方正仿宋_GBK"/>
          <w:snapToGrid w:val="0"/>
          <w:highlight w:val="none"/>
        </w:rPr>
        <w:t>4500</w:t>
      </w:r>
      <w:r>
        <w:rPr>
          <w:rFonts w:hint="eastAsia" w:ascii="方正仿宋_GBK"/>
          <w:snapToGrid w:val="0"/>
          <w:highlight w:val="none"/>
        </w:rPr>
        <w:t>个，新增城镇就业人员</w:t>
      </w:r>
      <w:r>
        <w:rPr>
          <w:rFonts w:ascii="方正仿宋_GBK"/>
          <w:snapToGrid w:val="0"/>
          <w:highlight w:val="none"/>
        </w:rPr>
        <w:t>4000</w:t>
      </w:r>
      <w:r>
        <w:rPr>
          <w:rFonts w:hint="eastAsia" w:ascii="方正仿宋_GBK"/>
          <w:snapToGrid w:val="0"/>
          <w:highlight w:val="none"/>
        </w:rPr>
        <w:t>人，空气质量优良天数</w:t>
      </w:r>
      <w:r>
        <w:rPr>
          <w:rFonts w:ascii="方正仿宋_GBK"/>
          <w:snapToGrid w:val="0"/>
          <w:highlight w:val="none"/>
        </w:rPr>
        <w:t>349</w:t>
      </w:r>
      <w:r>
        <w:rPr>
          <w:rFonts w:hint="eastAsia" w:ascii="方正仿宋_GBK"/>
          <w:snapToGrid w:val="0"/>
          <w:highlight w:val="none"/>
        </w:rPr>
        <w:t>天，</w:t>
      </w:r>
      <w:r>
        <w:rPr>
          <w:rFonts w:ascii="方正仿宋_GBK"/>
          <w:snapToGrid w:val="0"/>
          <w:highlight w:val="none"/>
        </w:rPr>
        <w:t>R&amp;D</w:t>
      </w:r>
      <w:r>
        <w:rPr>
          <w:rFonts w:hint="eastAsia" w:ascii="方正仿宋_GBK"/>
          <w:snapToGrid w:val="0"/>
          <w:highlight w:val="none"/>
        </w:rPr>
        <w:t>投入占比</w:t>
      </w:r>
      <w:r>
        <w:rPr>
          <w:rFonts w:ascii="方正仿宋_GBK"/>
          <w:snapToGrid w:val="0"/>
          <w:highlight w:val="none"/>
        </w:rPr>
        <w:t>0.</w:t>
      </w:r>
      <w:r>
        <w:rPr>
          <w:rFonts w:hint="eastAsia" w:ascii="方正仿宋_GBK"/>
          <w:snapToGrid w:val="0"/>
          <w:highlight w:val="none"/>
        </w:rPr>
        <w:t>9</w:t>
      </w:r>
      <w:r>
        <w:rPr>
          <w:rFonts w:ascii="方正仿宋_GBK"/>
          <w:snapToGrid w:val="0"/>
          <w:highlight w:val="none"/>
        </w:rPr>
        <w:t>%</w:t>
      </w:r>
      <w:r>
        <w:rPr>
          <w:rFonts w:hint="eastAsia" w:ascii="方正仿宋_GBK"/>
          <w:snapToGrid w:val="0"/>
          <w:highlight w:val="none"/>
        </w:rPr>
        <w:t>，万元地区生产总值能耗降低目标完成市上下达目标，公众对生态环境质量满意程度不低于全市平均水平，均达到计划目标。</w:t>
      </w:r>
    </w:p>
    <w:p>
      <w:pPr>
        <w:snapToGrid w:val="0"/>
        <w:spacing w:line="560" w:lineRule="exact"/>
        <w:ind w:firstLine="632" w:firstLineChars="200"/>
        <w:textAlignment w:val="baseline"/>
        <w:rPr>
          <w:rFonts w:ascii="方正楷体_GBK" w:eastAsia="方正楷体_GBK"/>
          <w:snapToGrid w:val="0"/>
          <w:highlight w:val="none"/>
        </w:rPr>
      </w:pPr>
      <w:r>
        <w:rPr>
          <w:rFonts w:hint="eastAsia" w:ascii="方正楷体_GBK" w:eastAsia="方正楷体_GBK"/>
          <w:snapToGrid w:val="0"/>
          <w:highlight w:val="none"/>
        </w:rPr>
        <w:t>（二）重点行业和领域经济运行情况</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1. </w:t>
      </w:r>
      <w:r>
        <w:rPr>
          <w:rFonts w:hint="eastAsia" w:ascii="方正仿宋_GBK"/>
          <w:snapToGrid w:val="0"/>
          <w:highlight w:val="none"/>
        </w:rPr>
        <w:t>巩固拓展脱贫攻坚成果同乡村振兴有效衔接全面推进。一是牢牢守住“防止返贫”底线。常态化开展防止返贫动态监测帮扶，坚决守住防止规模性返贫和新增致贫底线。持续巩固“两不愁三保障”及饮水安全成果，不断强化产业、就业、消费扶持，脱贫群众增收稳定。二是规划衔接深入推进。科学编制“十四五”有效衔接规划、乡村振兴重点帮扶乡镇和村规划，制定优化乡村振兴暨巩固拓展脱贫攻坚成效考核办法。研究制定乡村振兴政策</w:t>
      </w:r>
      <w:r>
        <w:rPr>
          <w:rFonts w:ascii="方正仿宋_GBK"/>
          <w:snapToGrid w:val="0"/>
          <w:highlight w:val="none"/>
        </w:rPr>
        <w:t>27</w:t>
      </w:r>
      <w:r>
        <w:rPr>
          <w:rFonts w:hint="eastAsia" w:ascii="方正仿宋_GBK"/>
          <w:snapToGrid w:val="0"/>
          <w:highlight w:val="none"/>
        </w:rPr>
        <w:t>条举措。桥头镇总体规划启动实施，“</w:t>
      </w:r>
      <w:r>
        <w:rPr>
          <w:rFonts w:ascii="方正仿宋_GBK"/>
          <w:snapToGrid w:val="0"/>
          <w:highlight w:val="none"/>
        </w:rPr>
        <w:t>1+3+9</w:t>
      </w:r>
      <w:r>
        <w:rPr>
          <w:rFonts w:hint="eastAsia" w:ascii="方正仿宋_GBK"/>
          <w:snapToGrid w:val="0"/>
          <w:highlight w:val="none"/>
        </w:rPr>
        <w:t>”乡村振兴重点帮扶格局基本形成。三是脱贫质效不断提升。统筹推进基础设施条件改善、公共服务水平提升。登记确权扶贫项目资产</w:t>
      </w:r>
      <w:r>
        <w:rPr>
          <w:rFonts w:ascii="方正仿宋_GBK"/>
          <w:snapToGrid w:val="0"/>
          <w:highlight w:val="none"/>
        </w:rPr>
        <w:t>31.79</w:t>
      </w:r>
      <w:r>
        <w:rPr>
          <w:rFonts w:hint="eastAsia" w:ascii="方正仿宋_GBK"/>
          <w:snapToGrid w:val="0"/>
          <w:highlight w:val="none"/>
        </w:rPr>
        <w:t>亿元。整合安排财政涉农资金</w:t>
      </w:r>
      <w:r>
        <w:rPr>
          <w:rFonts w:ascii="方正仿宋_GBK"/>
          <w:snapToGrid w:val="0"/>
          <w:highlight w:val="none"/>
        </w:rPr>
        <w:t>6.85</w:t>
      </w:r>
      <w:r>
        <w:rPr>
          <w:rFonts w:hint="eastAsia" w:ascii="方正仿宋_GBK"/>
          <w:snapToGrid w:val="0"/>
          <w:highlight w:val="none"/>
        </w:rPr>
        <w:t>亿元，实施基础设施、人居环境等项目</w:t>
      </w:r>
      <w:r>
        <w:rPr>
          <w:rFonts w:ascii="方正仿宋_GBK"/>
          <w:snapToGrid w:val="0"/>
          <w:highlight w:val="none"/>
        </w:rPr>
        <w:t>702</w:t>
      </w:r>
      <w:r>
        <w:rPr>
          <w:rFonts w:hint="eastAsia" w:ascii="方正仿宋_GBK"/>
          <w:snapToGrid w:val="0"/>
          <w:highlight w:val="none"/>
        </w:rPr>
        <w:t>个。四是扶贫协作和对口帮扶持续深化。积极争取中核集团、山东淄博、市委宣传部帮扶集团、南岸和綦江等各类社会帮扶资金</w:t>
      </w:r>
      <w:r>
        <w:rPr>
          <w:rFonts w:ascii="方正仿宋_GBK"/>
          <w:snapToGrid w:val="0"/>
          <w:highlight w:val="none"/>
        </w:rPr>
        <w:t>1.18</w:t>
      </w:r>
      <w:r>
        <w:rPr>
          <w:rFonts w:hint="eastAsia" w:ascii="方正仿宋_GBK"/>
          <w:snapToGrid w:val="0"/>
          <w:highlight w:val="none"/>
        </w:rPr>
        <w:t>亿元。</w:t>
      </w:r>
      <w:r>
        <w:rPr>
          <w:rFonts w:ascii="方正仿宋_GBK"/>
          <w:snapToGrid w:val="0"/>
          <w:highlight w:val="none"/>
        </w:rPr>
        <w:t xml:space="preserve"> </w:t>
      </w:r>
    </w:p>
    <w:p>
      <w:pPr>
        <w:snapToGrid w:val="0"/>
        <w:spacing w:line="560" w:lineRule="exact"/>
        <w:ind w:firstLine="632" w:firstLineChars="200"/>
        <w:textAlignment w:val="baseline"/>
        <w:rPr>
          <w:snapToGrid w:val="0"/>
          <w:highlight w:val="none"/>
        </w:rPr>
      </w:pPr>
      <w:r>
        <w:rPr>
          <w:rFonts w:ascii="方正仿宋_GBK"/>
          <w:snapToGrid w:val="0"/>
          <w:highlight w:val="none"/>
        </w:rPr>
        <w:t xml:space="preserve">2. </w:t>
      </w:r>
      <w:r>
        <w:rPr>
          <w:rFonts w:hint="eastAsia" w:ascii="方正仿宋_GBK"/>
          <w:snapToGrid w:val="0"/>
          <w:highlight w:val="none"/>
        </w:rPr>
        <w:t>康养产业体系加快构建。一是现代山地特色高效农业巩固壮大。农业产业结构不断优化，巩固发展以黄连为主的中药材在地面积</w:t>
      </w:r>
      <w:r>
        <w:rPr>
          <w:rFonts w:ascii="方正仿宋_GBK"/>
          <w:snapToGrid w:val="0"/>
          <w:highlight w:val="none"/>
        </w:rPr>
        <w:t>31.2</w:t>
      </w:r>
      <w:r>
        <w:rPr>
          <w:rFonts w:hint="eastAsia" w:ascii="方正仿宋_GBK"/>
          <w:snapToGrid w:val="0"/>
          <w:highlight w:val="none"/>
        </w:rPr>
        <w:t>万亩，以莼菜为主的蔬菜收获面积</w:t>
      </w:r>
      <w:r>
        <w:rPr>
          <w:rFonts w:ascii="方正仿宋_GBK"/>
          <w:snapToGrid w:val="0"/>
          <w:highlight w:val="none"/>
        </w:rPr>
        <w:t>33</w:t>
      </w:r>
      <w:r>
        <w:rPr>
          <w:rFonts w:hint="eastAsia" w:ascii="方正仿宋_GBK"/>
          <w:snapToGrid w:val="0"/>
          <w:highlight w:val="none"/>
        </w:rPr>
        <w:t>万亩，以脆红李为主的水果在地面积</w:t>
      </w:r>
      <w:r>
        <w:rPr>
          <w:rFonts w:ascii="方正仿宋_GBK"/>
          <w:snapToGrid w:val="0"/>
          <w:highlight w:val="none"/>
        </w:rPr>
        <w:t>13.1</w:t>
      </w:r>
      <w:r>
        <w:rPr>
          <w:rFonts w:hint="eastAsia" w:ascii="方正仿宋_GBK"/>
          <w:snapToGrid w:val="0"/>
          <w:highlight w:val="none"/>
        </w:rPr>
        <w:t>万亩，养殖中蜂</w:t>
      </w:r>
      <w:r>
        <w:rPr>
          <w:rFonts w:ascii="方正仿宋_GBK"/>
          <w:snapToGrid w:val="0"/>
          <w:highlight w:val="none"/>
        </w:rPr>
        <w:t>16.2</w:t>
      </w:r>
      <w:r>
        <w:rPr>
          <w:rFonts w:hint="eastAsia" w:ascii="方正仿宋_GBK"/>
          <w:snapToGrid w:val="0"/>
          <w:highlight w:val="none"/>
        </w:rPr>
        <w:t>万群，新增年出栏生猪</w:t>
      </w:r>
      <w:r>
        <w:rPr>
          <w:rFonts w:ascii="方正仿宋_GBK"/>
          <w:snapToGrid w:val="0"/>
          <w:highlight w:val="none"/>
        </w:rPr>
        <w:t>5</w:t>
      </w:r>
      <w:r>
        <w:rPr>
          <w:rFonts w:hint="eastAsia" w:ascii="方正仿宋_GBK"/>
          <w:snapToGrid w:val="0"/>
          <w:highlight w:val="none"/>
        </w:rPr>
        <w:t>万头。农业“三品”建设和精深加工逐步强化，新增全国“名特优新”农产品</w:t>
      </w:r>
      <w:r>
        <w:rPr>
          <w:rFonts w:ascii="方正仿宋_GBK"/>
          <w:snapToGrid w:val="0"/>
          <w:highlight w:val="none"/>
        </w:rPr>
        <w:t>2</w:t>
      </w:r>
      <w:r>
        <w:rPr>
          <w:rFonts w:hint="eastAsia" w:ascii="方正仿宋_GBK"/>
          <w:snapToGrid w:val="0"/>
          <w:highlight w:val="none"/>
        </w:rPr>
        <w:t>个、绿色食品认证</w:t>
      </w:r>
      <w:r>
        <w:rPr>
          <w:rFonts w:ascii="方正仿宋_GBK"/>
          <w:snapToGrid w:val="0"/>
          <w:highlight w:val="none"/>
        </w:rPr>
        <w:t>8</w:t>
      </w:r>
      <w:r>
        <w:rPr>
          <w:rFonts w:hint="eastAsia" w:ascii="方正仿宋_GBK"/>
          <w:snapToGrid w:val="0"/>
          <w:highlight w:val="none"/>
        </w:rPr>
        <w:t>个，新评定市级名牌农产品</w:t>
      </w:r>
      <w:r>
        <w:rPr>
          <w:rFonts w:ascii="方正仿宋_GBK"/>
          <w:snapToGrid w:val="0"/>
          <w:highlight w:val="none"/>
        </w:rPr>
        <w:t>9</w:t>
      </w:r>
      <w:r>
        <w:rPr>
          <w:rFonts w:hint="eastAsia" w:ascii="方正仿宋_GBK"/>
          <w:snapToGrid w:val="0"/>
          <w:highlight w:val="none"/>
        </w:rPr>
        <w:t>个，新建、续建有机</w:t>
      </w:r>
      <w:r>
        <w:rPr>
          <w:rFonts w:hint="eastAsia" w:ascii="方正仿宋_GBK"/>
          <w:snapToGrid w:val="0"/>
          <w:highlight w:val="none"/>
          <w:lang w:eastAsia="zh-CN"/>
        </w:rPr>
        <w:t>农业示范</w:t>
      </w:r>
      <w:r>
        <w:rPr>
          <w:rFonts w:hint="eastAsia" w:ascii="方正仿宋_GBK"/>
          <w:snapToGrid w:val="0"/>
          <w:highlight w:val="none"/>
        </w:rPr>
        <w:t>基地</w:t>
      </w:r>
      <w:r>
        <w:rPr>
          <w:rFonts w:ascii="方正仿宋_GBK"/>
          <w:snapToGrid w:val="0"/>
          <w:highlight w:val="none"/>
        </w:rPr>
        <w:t>4</w:t>
      </w:r>
      <w:r>
        <w:rPr>
          <w:rFonts w:hint="eastAsia" w:ascii="方正仿宋_GBK"/>
          <w:snapToGrid w:val="0"/>
          <w:highlight w:val="none"/>
          <w:lang w:val="en-US" w:eastAsia="zh-CN"/>
        </w:rPr>
        <w:t>1</w:t>
      </w:r>
      <w:r>
        <w:rPr>
          <w:rFonts w:hint="eastAsia" w:ascii="方正仿宋_GBK"/>
          <w:snapToGrid w:val="0"/>
          <w:highlight w:val="none"/>
        </w:rPr>
        <w:t>个。第一产业增加值同比增长</w:t>
      </w:r>
      <w:r>
        <w:rPr>
          <w:rFonts w:ascii="方正仿宋_GBK"/>
          <w:snapToGrid w:val="0"/>
          <w:highlight w:val="none"/>
        </w:rPr>
        <w:t>8.1%</w:t>
      </w:r>
      <w:r>
        <w:rPr>
          <w:rFonts w:hint="eastAsia" w:ascii="方正仿宋_GBK"/>
          <w:snapToGrid w:val="0"/>
          <w:highlight w:val="none"/>
        </w:rPr>
        <w:t>。二是绿色生态工业加快发展。重点项目加快推进，金彰新时代一期、</w:t>
      </w:r>
      <w:r>
        <w:rPr>
          <w:rFonts w:ascii="方正仿宋_GBK"/>
          <w:snapToGrid w:val="0"/>
          <w:highlight w:val="none"/>
        </w:rPr>
        <w:t>B</w:t>
      </w:r>
      <w:r>
        <w:rPr>
          <w:rFonts w:hint="eastAsia" w:ascii="方正仿宋_GBK"/>
          <w:snapToGrid w:val="0"/>
          <w:highlight w:val="none"/>
        </w:rPr>
        <w:t>区标准厂房二期建成投用。规上工业企业培育成效明显，新培育嘉酿啤酒、斯波特等9家规上企业。企业服务精准有效，新签约工业项目</w:t>
      </w:r>
      <w:r>
        <w:rPr>
          <w:rFonts w:ascii="方正仿宋_GBK"/>
          <w:snapToGrid w:val="0"/>
          <w:highlight w:val="none"/>
        </w:rPr>
        <w:t>8</w:t>
      </w:r>
      <w:r>
        <w:rPr>
          <w:rFonts w:hint="eastAsia" w:ascii="方正仿宋_GBK"/>
          <w:snapToGrid w:val="0"/>
          <w:highlight w:val="none"/>
        </w:rPr>
        <w:t>个，解决企业融资需求</w:t>
      </w:r>
      <w:r>
        <w:rPr>
          <w:rFonts w:ascii="方正仿宋_GBK"/>
          <w:snapToGrid w:val="0"/>
          <w:highlight w:val="none"/>
        </w:rPr>
        <w:t>3.48</w:t>
      </w:r>
      <w:r>
        <w:rPr>
          <w:rFonts w:hint="eastAsia" w:ascii="方正仿宋_GBK"/>
          <w:snapToGrid w:val="0"/>
          <w:highlight w:val="none"/>
        </w:rPr>
        <w:t>亿</w:t>
      </w:r>
      <w:r>
        <w:rPr>
          <w:rFonts w:hint="eastAsia"/>
          <w:snapToGrid w:val="0"/>
          <w:highlight w:val="none"/>
        </w:rPr>
        <w:t>元，发放转贷应急周转资金</w:t>
      </w:r>
      <w:r>
        <w:rPr>
          <w:snapToGrid w:val="0"/>
          <w:highlight w:val="none"/>
        </w:rPr>
        <w:t>3292</w:t>
      </w:r>
      <w:r>
        <w:rPr>
          <w:rFonts w:hint="eastAsia"/>
          <w:snapToGrid w:val="0"/>
          <w:highlight w:val="none"/>
        </w:rPr>
        <w:t>万元。预计规上工业增加值同比增长</w:t>
      </w:r>
      <w:r>
        <w:rPr>
          <w:snapToGrid w:val="0"/>
          <w:highlight w:val="none"/>
        </w:rPr>
        <w:t>8.2%</w:t>
      </w:r>
      <w:r>
        <w:rPr>
          <w:rFonts w:hint="eastAsia"/>
          <w:snapToGrid w:val="0"/>
          <w:highlight w:val="none"/>
        </w:rPr>
        <w:t>。三是消费市场快速发展。康德中央大街、上河街等核心商圈功能得到提升优化。企业培育力度加大，新增入库限上商贸企业</w:t>
      </w:r>
      <w:r>
        <w:rPr>
          <w:snapToGrid w:val="0"/>
          <w:highlight w:val="none"/>
        </w:rPr>
        <w:t>20</w:t>
      </w:r>
      <w:r>
        <w:rPr>
          <w:rFonts w:hint="eastAsia"/>
          <w:snapToGrid w:val="0"/>
          <w:highlight w:val="none"/>
        </w:rPr>
        <w:t>家。电子商务、现代物流等行业加速发展，大歇镇电商综合服务中心、石柱电商产业园被纳入全国农村电商教学示范点。渝东南综合物流园开工建设。成功创建市级农商互联示范县，电商交易额</w:t>
      </w:r>
      <w:r>
        <w:rPr>
          <w:snapToGrid w:val="0"/>
          <w:highlight w:val="none"/>
        </w:rPr>
        <w:t>38.2</w:t>
      </w:r>
      <w:r>
        <w:rPr>
          <w:rFonts w:hint="eastAsia"/>
          <w:snapToGrid w:val="0"/>
          <w:highlight w:val="none"/>
        </w:rPr>
        <w:t>亿元，同比增长</w:t>
      </w:r>
      <w:r>
        <w:rPr>
          <w:snapToGrid w:val="0"/>
          <w:highlight w:val="none"/>
        </w:rPr>
        <w:t>14%</w:t>
      </w:r>
      <w:r>
        <w:rPr>
          <w:rFonts w:hint="eastAsia"/>
          <w:snapToGrid w:val="0"/>
          <w:highlight w:val="none"/>
        </w:rPr>
        <w:t>。四是康养休闲旅游业蓬勃发展。成功举办第五届康养大会。秘境黄水、广寒宫、八龙峡漂流等旅游景区开门迎客。桥头镇瓦屋村、冷水镇八龙村入选市级乡村旅游重点村。预计全年接待游客</w:t>
      </w:r>
      <w:r>
        <w:rPr>
          <w:snapToGrid w:val="0"/>
          <w:highlight w:val="none"/>
        </w:rPr>
        <w:t>1715</w:t>
      </w:r>
      <w:r>
        <w:rPr>
          <w:rFonts w:hint="eastAsia"/>
          <w:snapToGrid w:val="0"/>
          <w:highlight w:val="none"/>
        </w:rPr>
        <w:t>万人次，实现旅游综合收入</w:t>
      </w:r>
      <w:r>
        <w:rPr>
          <w:snapToGrid w:val="0"/>
          <w:highlight w:val="none"/>
        </w:rPr>
        <w:t>127.8</w:t>
      </w:r>
      <w:r>
        <w:rPr>
          <w:rFonts w:hint="eastAsia"/>
          <w:snapToGrid w:val="0"/>
          <w:highlight w:val="none"/>
        </w:rPr>
        <w:t>亿元。</w:t>
      </w:r>
    </w:p>
    <w:p>
      <w:pPr>
        <w:snapToGrid w:val="0"/>
        <w:spacing w:line="560" w:lineRule="exact"/>
        <w:ind w:firstLine="632" w:firstLineChars="200"/>
        <w:textAlignment w:val="baseline"/>
        <w:rPr>
          <w:snapToGrid w:val="0"/>
          <w:highlight w:val="none"/>
        </w:rPr>
      </w:pPr>
      <w:r>
        <w:rPr>
          <w:snapToGrid w:val="0"/>
          <w:highlight w:val="none"/>
        </w:rPr>
        <w:t xml:space="preserve">3. </w:t>
      </w:r>
      <w:r>
        <w:rPr>
          <w:rFonts w:hint="eastAsia"/>
          <w:snapToGrid w:val="0"/>
          <w:highlight w:val="none"/>
        </w:rPr>
        <w:t>有效投资不断加大。一是重点项目建设持续加力。</w:t>
      </w:r>
      <w:r>
        <w:rPr>
          <w:snapToGrid w:val="0"/>
          <w:highlight w:val="none"/>
        </w:rPr>
        <w:t>81</w:t>
      </w:r>
      <w:r>
        <w:rPr>
          <w:rFonts w:hint="eastAsia"/>
          <w:snapToGrid w:val="0"/>
          <w:highlight w:val="none"/>
        </w:rPr>
        <w:t>个县级重点项目实现开复工</w:t>
      </w:r>
      <w:r>
        <w:rPr>
          <w:snapToGrid w:val="0"/>
          <w:highlight w:val="none"/>
        </w:rPr>
        <w:t>67</w:t>
      </w:r>
      <w:r>
        <w:rPr>
          <w:rFonts w:hint="eastAsia"/>
          <w:snapToGrid w:val="0"/>
          <w:highlight w:val="none"/>
        </w:rPr>
        <w:t>个，完工</w:t>
      </w:r>
      <w:r>
        <w:rPr>
          <w:snapToGrid w:val="0"/>
          <w:highlight w:val="none"/>
        </w:rPr>
        <w:t>14</w:t>
      </w:r>
      <w:r>
        <w:rPr>
          <w:rFonts w:hint="eastAsia"/>
          <w:snapToGrid w:val="0"/>
          <w:highlight w:val="none"/>
        </w:rPr>
        <w:t>个，完成投资</w:t>
      </w:r>
      <w:r>
        <w:rPr>
          <w:snapToGrid w:val="0"/>
          <w:highlight w:val="none"/>
        </w:rPr>
        <w:t>52.8</w:t>
      </w:r>
      <w:r>
        <w:rPr>
          <w:rFonts w:hint="eastAsia"/>
          <w:snapToGrid w:val="0"/>
          <w:highlight w:val="none"/>
        </w:rPr>
        <w:t>亿元，占全社会固定资产投资的</w:t>
      </w:r>
      <w:r>
        <w:rPr>
          <w:snapToGrid w:val="0"/>
          <w:highlight w:val="none"/>
        </w:rPr>
        <w:t>55.4%</w:t>
      </w:r>
      <w:r>
        <w:rPr>
          <w:rFonts w:hint="eastAsia"/>
          <w:snapToGrid w:val="0"/>
          <w:highlight w:val="none"/>
        </w:rPr>
        <w:t>。加快推进交通项目建设，石黔高速公路全线通车，体育馆至万寿山公路基本建成，广忠黔铁路、万黔高铁、梁忠石高速公路、石彭高速公路前期工作加快推进，石柱通用机场纳入《重庆市民航发展“十四五”规划》。加快推进水利项目建设，开工建设擦耳岩、崔家坪水库</w:t>
      </w:r>
      <w:r>
        <w:rPr>
          <w:rFonts w:hint="eastAsia"/>
          <w:snapToGrid w:val="0"/>
          <w:highlight w:val="none"/>
          <w:lang w:eastAsia="zh-CN"/>
        </w:rPr>
        <w:t>，</w:t>
      </w:r>
      <w:r>
        <w:rPr>
          <w:rFonts w:hint="eastAsia"/>
          <w:snapToGrid w:val="0"/>
          <w:highlight w:val="none"/>
        </w:rPr>
        <w:t>东方红水库完成技术预验收</w:t>
      </w:r>
      <w:r>
        <w:rPr>
          <w:rFonts w:hint="eastAsia"/>
          <w:snapToGrid w:val="0"/>
          <w:highlight w:val="none"/>
          <w:lang w:eastAsia="zh-CN"/>
        </w:rPr>
        <w:t>，</w:t>
      </w:r>
      <w:r>
        <w:rPr>
          <w:rFonts w:hint="eastAsia"/>
          <w:snapToGrid w:val="0"/>
          <w:highlight w:val="none"/>
        </w:rPr>
        <w:t>曹家湾水库下闸蓄水</w:t>
      </w:r>
      <w:r>
        <w:rPr>
          <w:rFonts w:hint="eastAsia"/>
          <w:snapToGrid w:val="0"/>
          <w:highlight w:val="none"/>
          <w:lang w:eastAsia="zh-CN"/>
        </w:rPr>
        <w:t>，</w:t>
      </w:r>
      <w:r>
        <w:rPr>
          <w:rFonts w:hint="eastAsia"/>
          <w:snapToGrid w:val="0"/>
          <w:highlight w:val="none"/>
        </w:rPr>
        <w:t>回龙场水库取得初设批复。加快推进新能源项目建设，石柱万宝</w:t>
      </w:r>
      <w:r>
        <w:rPr>
          <w:snapToGrid w:val="0"/>
          <w:highlight w:val="none"/>
        </w:rPr>
        <w:t>7</w:t>
      </w:r>
      <w:r>
        <w:rPr>
          <w:rFonts w:hint="eastAsia"/>
          <w:snapToGrid w:val="0"/>
          <w:highlight w:val="none"/>
        </w:rPr>
        <w:t>万千瓦风电场全面开建，目前正在吊装风机</w:t>
      </w:r>
      <w:r>
        <w:rPr>
          <w:rFonts w:hint="eastAsia"/>
          <w:snapToGrid w:val="0"/>
          <w:highlight w:val="none"/>
          <w:lang w:eastAsia="zh-CN"/>
        </w:rPr>
        <w:t>，</w:t>
      </w:r>
      <w:r>
        <w:rPr>
          <w:rFonts w:hint="eastAsia"/>
          <w:snapToGrid w:val="0"/>
          <w:highlight w:val="none"/>
        </w:rPr>
        <w:t>七曜山玉龙</w:t>
      </w:r>
      <w:r>
        <w:rPr>
          <w:snapToGrid w:val="0"/>
          <w:highlight w:val="none"/>
        </w:rPr>
        <w:t>7</w:t>
      </w:r>
      <w:r>
        <w:rPr>
          <w:rFonts w:hint="eastAsia"/>
          <w:snapToGrid w:val="0"/>
          <w:highlight w:val="none"/>
        </w:rPr>
        <w:t>万千瓦风电场、应时</w:t>
      </w:r>
      <w:r>
        <w:rPr>
          <w:snapToGrid w:val="0"/>
          <w:highlight w:val="none"/>
        </w:rPr>
        <w:t>2.5</w:t>
      </w:r>
      <w:r>
        <w:rPr>
          <w:rFonts w:hint="eastAsia"/>
          <w:snapToGrid w:val="0"/>
          <w:highlight w:val="none"/>
        </w:rPr>
        <w:t>万千瓦分散式风电项目开工建设。二是立项争资成效显著。完成立项争资</w:t>
      </w:r>
      <w:r>
        <w:rPr>
          <w:snapToGrid w:val="0"/>
          <w:highlight w:val="none"/>
        </w:rPr>
        <w:t>60.0</w:t>
      </w:r>
      <w:r>
        <w:rPr>
          <w:rFonts w:hint="eastAsia"/>
          <w:snapToGrid w:val="0"/>
          <w:highlight w:val="none"/>
        </w:rPr>
        <w:t>亿元，同比增长</w:t>
      </w:r>
      <w:r>
        <w:rPr>
          <w:snapToGrid w:val="0"/>
          <w:highlight w:val="none"/>
        </w:rPr>
        <w:t>8.3%</w:t>
      </w:r>
      <w:r>
        <w:rPr>
          <w:rFonts w:hint="eastAsia"/>
          <w:snapToGrid w:val="0"/>
          <w:highlight w:val="none"/>
        </w:rPr>
        <w:t>。争取并成功发行地方政府专项债券</w:t>
      </w:r>
      <w:r>
        <w:rPr>
          <w:snapToGrid w:val="0"/>
          <w:highlight w:val="none"/>
        </w:rPr>
        <w:t>9</w:t>
      </w:r>
      <w:r>
        <w:rPr>
          <w:rFonts w:hint="eastAsia"/>
          <w:snapToGrid w:val="0"/>
          <w:highlight w:val="none"/>
        </w:rPr>
        <w:t>亿元，一般债券</w:t>
      </w:r>
      <w:r>
        <w:rPr>
          <w:snapToGrid w:val="0"/>
          <w:highlight w:val="none"/>
        </w:rPr>
        <w:t>4</w:t>
      </w:r>
      <w:r>
        <w:rPr>
          <w:rFonts w:hint="eastAsia"/>
          <w:snapToGrid w:val="0"/>
          <w:highlight w:val="none"/>
        </w:rPr>
        <w:t>亿元。三是招商引资持续加强。全力推进精准招商，新签约项目</w:t>
      </w:r>
      <w:r>
        <w:rPr>
          <w:snapToGrid w:val="0"/>
          <w:highlight w:val="none"/>
        </w:rPr>
        <w:t>1</w:t>
      </w:r>
      <w:r>
        <w:rPr>
          <w:rFonts w:hint="eastAsia"/>
          <w:snapToGrid w:val="0"/>
          <w:highlight w:val="none"/>
          <w:lang w:val="en-US" w:eastAsia="zh-CN"/>
        </w:rPr>
        <w:t>8</w:t>
      </w:r>
      <w:r>
        <w:rPr>
          <w:rFonts w:hint="eastAsia"/>
          <w:snapToGrid w:val="0"/>
          <w:highlight w:val="none"/>
        </w:rPr>
        <w:t>个，实现合同引资</w:t>
      </w:r>
      <w:r>
        <w:rPr>
          <w:snapToGrid w:val="0"/>
          <w:highlight w:val="none"/>
        </w:rPr>
        <w:t>87.2</w:t>
      </w:r>
      <w:r>
        <w:rPr>
          <w:rFonts w:hint="eastAsia"/>
          <w:snapToGrid w:val="0"/>
          <w:highlight w:val="none"/>
        </w:rPr>
        <w:t>亿元，到位资金</w:t>
      </w:r>
      <w:r>
        <w:rPr>
          <w:snapToGrid w:val="0"/>
          <w:highlight w:val="none"/>
        </w:rPr>
        <w:t>32.33</w:t>
      </w:r>
      <w:r>
        <w:rPr>
          <w:rFonts w:hint="eastAsia"/>
          <w:snapToGrid w:val="0"/>
          <w:highlight w:val="none"/>
        </w:rPr>
        <w:t>亿元。</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4. </w:t>
      </w:r>
      <w:r>
        <w:rPr>
          <w:rFonts w:hint="eastAsia" w:ascii="方正仿宋_GBK"/>
          <w:snapToGrid w:val="0"/>
          <w:highlight w:val="none"/>
        </w:rPr>
        <w:t>改革开放创新深入推进。一是重点领域改革持续深化。营商环境不断优化，行政许可事项审批提速</w:t>
      </w:r>
      <w:r>
        <w:rPr>
          <w:rFonts w:ascii="方正仿宋_GBK"/>
          <w:snapToGrid w:val="0"/>
          <w:highlight w:val="none"/>
        </w:rPr>
        <w:t>84.5%</w:t>
      </w:r>
      <w:r>
        <w:rPr>
          <w:rFonts w:hint="eastAsia" w:ascii="方正仿宋_GBK"/>
          <w:snapToGrid w:val="0"/>
          <w:highlight w:val="none"/>
        </w:rPr>
        <w:t>。国企改革持续推进，出台国企改革</w:t>
      </w:r>
      <w:r>
        <w:rPr>
          <w:rFonts w:ascii="方正仿宋_GBK"/>
          <w:snapToGrid w:val="0"/>
          <w:highlight w:val="none"/>
        </w:rPr>
        <w:t>49</w:t>
      </w:r>
      <w:r>
        <w:rPr>
          <w:rFonts w:hint="eastAsia" w:ascii="方正仿宋_GBK"/>
          <w:snapToGrid w:val="0"/>
          <w:highlight w:val="none"/>
        </w:rPr>
        <w:t>项具体举措，县属国企市场化转型步伐加快。医药卫生体制改革不断深化，推进“三通”改革，坚持“三医”联动，现代医院管理制度、薪酬制度改革试点有序实施。二是科技创新稳步推进。出台支持科技创新</w:t>
      </w:r>
      <w:r>
        <w:rPr>
          <w:rFonts w:ascii="方正仿宋_GBK"/>
          <w:snapToGrid w:val="0"/>
          <w:highlight w:val="none"/>
        </w:rPr>
        <w:t>28</w:t>
      </w:r>
      <w:r>
        <w:rPr>
          <w:rFonts w:hint="eastAsia" w:ascii="方正仿宋_GBK"/>
          <w:snapToGrid w:val="0"/>
          <w:highlight w:val="none"/>
        </w:rPr>
        <w:t>条政策措施，万人发明专利拥有量</w:t>
      </w:r>
      <w:r>
        <w:rPr>
          <w:rFonts w:ascii="方正仿宋_GBK"/>
          <w:snapToGrid w:val="0"/>
          <w:highlight w:val="none"/>
        </w:rPr>
        <w:t>3.7</w:t>
      </w:r>
      <w:r>
        <w:rPr>
          <w:rFonts w:hint="eastAsia" w:ascii="方正仿宋_GBK"/>
          <w:snapToGrid w:val="0"/>
          <w:highlight w:val="none"/>
        </w:rPr>
        <w:t>件，研发投入占</w:t>
      </w:r>
      <w:r>
        <w:rPr>
          <w:rFonts w:ascii="方正仿宋_GBK"/>
          <w:snapToGrid w:val="0"/>
          <w:highlight w:val="none"/>
        </w:rPr>
        <w:t>GDP</w:t>
      </w:r>
      <w:r>
        <w:rPr>
          <w:rFonts w:hint="eastAsia" w:ascii="方正仿宋_GBK"/>
          <w:snapToGrid w:val="0"/>
          <w:highlight w:val="none"/>
        </w:rPr>
        <w:t>比重达到</w:t>
      </w:r>
      <w:r>
        <w:rPr>
          <w:rFonts w:ascii="方正仿宋_GBK"/>
          <w:snapToGrid w:val="0"/>
          <w:highlight w:val="none"/>
        </w:rPr>
        <w:t>0.</w:t>
      </w:r>
      <w:r>
        <w:rPr>
          <w:rFonts w:hint="eastAsia" w:ascii="方正仿宋_GBK"/>
          <w:snapToGrid w:val="0"/>
          <w:highlight w:val="none"/>
        </w:rPr>
        <w:t>9</w:t>
      </w:r>
      <w:r>
        <w:rPr>
          <w:rFonts w:ascii="方正仿宋_GBK"/>
          <w:snapToGrid w:val="0"/>
          <w:highlight w:val="none"/>
        </w:rPr>
        <w:t>%</w:t>
      </w:r>
      <w:r>
        <w:rPr>
          <w:rFonts w:hint="eastAsia" w:ascii="方正仿宋_GBK"/>
          <w:snapToGrid w:val="0"/>
          <w:highlight w:val="none"/>
        </w:rPr>
        <w:t>。新培育高新技术企业</w:t>
      </w:r>
      <w:r>
        <w:rPr>
          <w:rFonts w:ascii="方正仿宋_GBK"/>
          <w:snapToGrid w:val="0"/>
          <w:highlight w:val="none"/>
        </w:rPr>
        <w:t>2</w:t>
      </w:r>
      <w:r>
        <w:rPr>
          <w:rFonts w:hint="eastAsia" w:ascii="方正仿宋_GBK"/>
          <w:snapToGrid w:val="0"/>
          <w:highlight w:val="none"/>
        </w:rPr>
        <w:t>家，市级科技企业</w:t>
      </w:r>
      <w:r>
        <w:rPr>
          <w:rFonts w:ascii="方正仿宋_GBK"/>
          <w:snapToGrid w:val="0"/>
          <w:highlight w:val="none"/>
        </w:rPr>
        <w:t>20</w:t>
      </w:r>
      <w:r>
        <w:rPr>
          <w:rFonts w:hint="eastAsia" w:ascii="方正仿宋_GBK"/>
          <w:snapToGrid w:val="0"/>
          <w:highlight w:val="none"/>
        </w:rPr>
        <w:t>家。三是开放水平不断提高。谭妹子公司纳入全市首批“中新（重庆）农产品出海帮扶项目”。新增外贸企业</w:t>
      </w:r>
      <w:r>
        <w:rPr>
          <w:rFonts w:ascii="方正仿宋_GBK"/>
          <w:snapToGrid w:val="0"/>
          <w:highlight w:val="none"/>
        </w:rPr>
        <w:t>3</w:t>
      </w:r>
      <w:r>
        <w:rPr>
          <w:rFonts w:hint="eastAsia" w:ascii="方正仿宋_GBK"/>
          <w:snapToGrid w:val="0"/>
          <w:highlight w:val="none"/>
        </w:rPr>
        <w:t>家。预计实现外贸进出口总额</w:t>
      </w:r>
      <w:r>
        <w:rPr>
          <w:rFonts w:ascii="方正仿宋_GBK"/>
          <w:snapToGrid w:val="0"/>
          <w:highlight w:val="none"/>
        </w:rPr>
        <w:t>5</w:t>
      </w:r>
      <w:r>
        <w:rPr>
          <w:rFonts w:hint="eastAsia" w:ascii="方正仿宋_GBK"/>
          <w:snapToGrid w:val="0"/>
          <w:highlight w:val="none"/>
        </w:rPr>
        <w:t>亿美元，同比增长</w:t>
      </w:r>
      <w:r>
        <w:rPr>
          <w:rFonts w:ascii="方正仿宋_GBK"/>
          <w:snapToGrid w:val="0"/>
          <w:highlight w:val="none"/>
        </w:rPr>
        <w:t>39.37%</w:t>
      </w:r>
      <w:r>
        <w:rPr>
          <w:rFonts w:hint="eastAsia" w:ascii="方正仿宋_GBK"/>
          <w:snapToGrid w:val="0"/>
          <w:highlight w:val="none"/>
        </w:rPr>
        <w:t>。</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5. </w:t>
      </w:r>
      <w:r>
        <w:rPr>
          <w:rFonts w:hint="eastAsia" w:ascii="方正仿宋_GBK"/>
          <w:snapToGrid w:val="0"/>
          <w:highlight w:val="none"/>
        </w:rPr>
        <w:t>城乡面貌焕然一新。一是城市更新有序推进。建成七星桥、玉带大桥等一批市政设施，县医院、高中城、体育馆、中医院等人行过街设施建成投用。改造老旧小区</w:t>
      </w:r>
      <w:r>
        <w:rPr>
          <w:rFonts w:ascii="方正仿宋_GBK"/>
          <w:snapToGrid w:val="0"/>
          <w:highlight w:val="none"/>
        </w:rPr>
        <w:t>9</w:t>
      </w:r>
      <w:r>
        <w:rPr>
          <w:rFonts w:hint="eastAsia" w:ascii="方正仿宋_GBK"/>
          <w:snapToGrid w:val="0"/>
          <w:highlight w:val="none"/>
        </w:rPr>
        <w:t>个、棚户区</w:t>
      </w:r>
      <w:r>
        <w:rPr>
          <w:rFonts w:ascii="方正仿宋_GBK"/>
          <w:snapToGrid w:val="0"/>
          <w:highlight w:val="none"/>
        </w:rPr>
        <w:t>1.2</w:t>
      </w:r>
      <w:r>
        <w:rPr>
          <w:rFonts w:hint="eastAsia" w:ascii="方正仿宋_GBK"/>
          <w:snapToGrid w:val="0"/>
          <w:highlight w:val="none"/>
        </w:rPr>
        <w:t>万平方米。建成太白岩、龙嘴等城市公园。实施街头绿地提质项目</w:t>
      </w:r>
      <w:r>
        <w:rPr>
          <w:rFonts w:ascii="方正仿宋_GBK"/>
          <w:snapToGrid w:val="0"/>
          <w:highlight w:val="none"/>
        </w:rPr>
        <w:t>8</w:t>
      </w:r>
      <w:r>
        <w:rPr>
          <w:rFonts w:hint="eastAsia" w:ascii="方正仿宋_GBK"/>
          <w:snapToGrid w:val="0"/>
          <w:highlight w:val="none"/>
        </w:rPr>
        <w:t>个，新增绿地面积</w:t>
      </w:r>
      <w:r>
        <w:rPr>
          <w:rFonts w:ascii="方正仿宋_GBK"/>
          <w:snapToGrid w:val="0"/>
          <w:highlight w:val="none"/>
        </w:rPr>
        <w:t>7.99</w:t>
      </w:r>
      <w:r>
        <w:rPr>
          <w:rFonts w:hint="eastAsia" w:ascii="方正仿宋_GBK"/>
          <w:snapToGrid w:val="0"/>
          <w:highlight w:val="none"/>
        </w:rPr>
        <w:t>公顷。获得“国家园林县城”授牌。二是乡村建设大力实施。新建高标准农田</w:t>
      </w:r>
      <w:r>
        <w:rPr>
          <w:rFonts w:ascii="方正仿宋_GBK"/>
          <w:snapToGrid w:val="0"/>
          <w:highlight w:val="none"/>
        </w:rPr>
        <w:t>2.74</w:t>
      </w:r>
      <w:r>
        <w:rPr>
          <w:rFonts w:hint="eastAsia" w:ascii="方正仿宋_GBK"/>
          <w:snapToGrid w:val="0"/>
          <w:highlight w:val="none"/>
        </w:rPr>
        <w:t>万亩、产业便道</w:t>
      </w:r>
      <w:r>
        <w:rPr>
          <w:rFonts w:ascii="方正仿宋_GBK"/>
          <w:snapToGrid w:val="0"/>
          <w:highlight w:val="none"/>
        </w:rPr>
        <w:t>60</w:t>
      </w:r>
      <w:r>
        <w:rPr>
          <w:rFonts w:hint="eastAsia" w:ascii="方正仿宋_GBK"/>
          <w:snapToGrid w:val="0"/>
          <w:highlight w:val="none"/>
        </w:rPr>
        <w:t>公里，新增节水灌溉面积</w:t>
      </w:r>
      <w:r>
        <w:rPr>
          <w:rFonts w:ascii="方正仿宋_GBK"/>
          <w:snapToGrid w:val="0"/>
          <w:highlight w:val="none"/>
        </w:rPr>
        <w:t>1.0</w:t>
      </w:r>
      <w:r>
        <w:rPr>
          <w:rFonts w:hint="eastAsia" w:ascii="方正仿宋_GBK"/>
          <w:snapToGrid w:val="0"/>
          <w:highlight w:val="none"/>
        </w:rPr>
        <w:t>万亩。建成“四好农村路”</w:t>
      </w:r>
      <w:r>
        <w:rPr>
          <w:rFonts w:ascii="方正仿宋_GBK"/>
          <w:snapToGrid w:val="0"/>
          <w:highlight w:val="none"/>
        </w:rPr>
        <w:t>235</w:t>
      </w:r>
      <w:r>
        <w:rPr>
          <w:rFonts w:hint="eastAsia" w:ascii="方正仿宋_GBK"/>
          <w:snapToGrid w:val="0"/>
          <w:highlight w:val="none"/>
        </w:rPr>
        <w:t>公里、“安保工程”</w:t>
      </w:r>
      <w:r>
        <w:rPr>
          <w:rFonts w:ascii="方正仿宋_GBK"/>
          <w:snapToGrid w:val="0"/>
          <w:highlight w:val="none"/>
        </w:rPr>
        <w:t>100</w:t>
      </w:r>
      <w:r>
        <w:rPr>
          <w:rFonts w:hint="eastAsia" w:ascii="方正仿宋_GBK"/>
          <w:snapToGrid w:val="0"/>
          <w:highlight w:val="none"/>
        </w:rPr>
        <w:t>公里。新增市级传统村落</w:t>
      </w:r>
      <w:r>
        <w:rPr>
          <w:rFonts w:ascii="方正仿宋_GBK"/>
          <w:snapToGrid w:val="0"/>
          <w:highlight w:val="none"/>
        </w:rPr>
        <w:t>4</w:t>
      </w:r>
      <w:r>
        <w:rPr>
          <w:rFonts w:hint="eastAsia" w:ascii="方正仿宋_GBK"/>
          <w:snapToGrid w:val="0"/>
          <w:highlight w:val="none"/>
        </w:rPr>
        <w:t>个。</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6. </w:t>
      </w:r>
      <w:r>
        <w:rPr>
          <w:rFonts w:hint="eastAsia" w:ascii="方正仿宋_GBK"/>
          <w:snapToGrid w:val="0"/>
          <w:highlight w:val="none"/>
        </w:rPr>
        <w:t>生态环境持续改善。一是污染防治攻坚战成效显著。集中式饮用水水源地水质达标率</w:t>
      </w:r>
      <w:r>
        <w:rPr>
          <w:rFonts w:ascii="方正仿宋_GBK"/>
          <w:snapToGrid w:val="0"/>
          <w:highlight w:val="none"/>
        </w:rPr>
        <w:t>100%</w:t>
      </w:r>
      <w:r>
        <w:rPr>
          <w:rFonts w:hint="eastAsia" w:ascii="方正仿宋_GBK"/>
          <w:snapToGrid w:val="0"/>
          <w:highlight w:val="none"/>
        </w:rPr>
        <w:t>。完成</w:t>
      </w:r>
      <w:r>
        <w:rPr>
          <w:rFonts w:ascii="方正仿宋_GBK"/>
          <w:snapToGrid w:val="0"/>
          <w:highlight w:val="none"/>
        </w:rPr>
        <w:t>191</w:t>
      </w:r>
      <w:r>
        <w:rPr>
          <w:rFonts w:hint="eastAsia" w:ascii="方正仿宋_GBK"/>
          <w:snapToGrid w:val="0"/>
          <w:highlight w:val="none"/>
        </w:rPr>
        <w:t>家涉气中小微“散乱污”企业综合整治，空气质量优良率达到</w:t>
      </w:r>
      <w:r>
        <w:rPr>
          <w:rFonts w:ascii="方正仿宋_GBK"/>
          <w:snapToGrid w:val="0"/>
          <w:highlight w:val="none"/>
        </w:rPr>
        <w:t>95%</w:t>
      </w:r>
      <w:r>
        <w:rPr>
          <w:rFonts w:hint="eastAsia" w:ascii="方正仿宋_GBK"/>
          <w:snapToGrid w:val="0"/>
          <w:highlight w:val="none"/>
        </w:rPr>
        <w:t>。土壤环境质量保持稳定。声环境质量全面达标。二是生态修复持续推进。森林“四乱”整治成效明显。“两岸青山·千里林带”建设扎实推进，完成营造林</w:t>
      </w:r>
      <w:r>
        <w:rPr>
          <w:rFonts w:ascii="方正仿宋_GBK"/>
          <w:snapToGrid w:val="0"/>
          <w:highlight w:val="none"/>
        </w:rPr>
        <w:t>15.66</w:t>
      </w:r>
      <w:r>
        <w:rPr>
          <w:rFonts w:hint="eastAsia" w:ascii="方正仿宋_GBK"/>
          <w:snapToGrid w:val="0"/>
          <w:highlight w:val="none"/>
        </w:rPr>
        <w:t>万亩、退耕还林整改提升</w:t>
      </w:r>
      <w:r>
        <w:rPr>
          <w:rFonts w:ascii="方正仿宋_GBK"/>
          <w:snapToGrid w:val="0"/>
          <w:highlight w:val="none"/>
        </w:rPr>
        <w:t>16.8</w:t>
      </w:r>
      <w:r>
        <w:rPr>
          <w:rFonts w:hint="eastAsia" w:ascii="方正仿宋_GBK"/>
          <w:snapToGrid w:val="0"/>
          <w:highlight w:val="none"/>
        </w:rPr>
        <w:t>万亩。治理水土流失</w:t>
      </w:r>
      <w:r>
        <w:rPr>
          <w:rFonts w:ascii="方正仿宋_GBK"/>
          <w:snapToGrid w:val="0"/>
          <w:highlight w:val="none"/>
        </w:rPr>
        <w:t>39.8</w:t>
      </w:r>
      <w:r>
        <w:rPr>
          <w:rFonts w:hint="eastAsia" w:ascii="方正仿宋_GBK"/>
          <w:snapToGrid w:val="0"/>
          <w:highlight w:val="none"/>
        </w:rPr>
        <w:t>平方公里，修复矿山</w:t>
      </w:r>
      <w:r>
        <w:rPr>
          <w:rFonts w:ascii="方正仿宋_GBK"/>
          <w:snapToGrid w:val="0"/>
          <w:highlight w:val="none"/>
        </w:rPr>
        <w:t>15</w:t>
      </w:r>
      <w:r>
        <w:rPr>
          <w:rFonts w:hint="eastAsia" w:ascii="方正仿宋_GBK"/>
          <w:snapToGrid w:val="0"/>
          <w:highlight w:val="none"/>
        </w:rPr>
        <w:t>公顷。三是绿色低碳循环发展稳步推进。与南岸区签订横向生态补偿协议，成交金额2.3亿元。大唐火电成功创建市级“能效领跑者”，西南水泥完成碳排放超量交易</w:t>
      </w:r>
      <w:r>
        <w:rPr>
          <w:rFonts w:ascii="方正仿宋_GBK"/>
          <w:snapToGrid w:val="0"/>
          <w:highlight w:val="none"/>
        </w:rPr>
        <w:t>15.25</w:t>
      </w:r>
      <w:r>
        <w:rPr>
          <w:rFonts w:hint="eastAsia" w:ascii="方正仿宋_GBK"/>
          <w:snapToGrid w:val="0"/>
          <w:highlight w:val="none"/>
        </w:rPr>
        <w:t>吨。深入开展垃圾分类示范县和示范村社创建</w:t>
      </w:r>
      <w:r>
        <w:rPr>
          <w:rFonts w:hint="eastAsia" w:ascii="方正仿宋_GBK"/>
          <w:snapToGrid w:val="0"/>
          <w:highlight w:val="none"/>
          <w:lang w:eastAsia="zh-CN"/>
        </w:rPr>
        <w:t>，</w:t>
      </w:r>
      <w:r>
        <w:rPr>
          <w:rFonts w:hint="eastAsia" w:ascii="方正仿宋_GBK"/>
          <w:snapToGrid w:val="0"/>
          <w:highlight w:val="none"/>
        </w:rPr>
        <w:t>建成市级生活垃圾示范村</w:t>
      </w:r>
      <w:r>
        <w:rPr>
          <w:rFonts w:ascii="方正仿宋_GBK"/>
          <w:snapToGrid w:val="0"/>
          <w:highlight w:val="none"/>
        </w:rPr>
        <w:t>134</w:t>
      </w:r>
      <w:r>
        <w:rPr>
          <w:rFonts w:hint="eastAsia" w:ascii="方正仿宋_GBK"/>
          <w:snapToGrid w:val="0"/>
          <w:highlight w:val="none"/>
        </w:rPr>
        <w:t>个。创建市级绿色工厂</w:t>
      </w:r>
      <w:r>
        <w:rPr>
          <w:rFonts w:ascii="方正仿宋_GBK"/>
          <w:snapToGrid w:val="0"/>
          <w:highlight w:val="none"/>
        </w:rPr>
        <w:t>1</w:t>
      </w:r>
      <w:r>
        <w:rPr>
          <w:rFonts w:hint="eastAsia" w:ascii="方正仿宋_GBK"/>
          <w:snapToGrid w:val="0"/>
          <w:highlight w:val="none"/>
        </w:rPr>
        <w:t>家。</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 xml:space="preserve">7. </w:t>
      </w:r>
      <w:r>
        <w:rPr>
          <w:rFonts w:hint="eastAsia" w:ascii="方正仿宋_GBK"/>
          <w:snapToGrid w:val="0"/>
          <w:highlight w:val="none"/>
        </w:rPr>
        <w:t>民生福祉大幅增进。一是重点民生实事落实有效。棚户区改造、发展普惠性学前教育等</w:t>
      </w:r>
      <w:r>
        <w:rPr>
          <w:rFonts w:ascii="方正仿宋_GBK"/>
          <w:snapToGrid w:val="0"/>
          <w:highlight w:val="none"/>
        </w:rPr>
        <w:t>52</w:t>
      </w:r>
      <w:r>
        <w:rPr>
          <w:rFonts w:hint="eastAsia" w:ascii="方正仿宋_GBK"/>
          <w:snapToGrid w:val="0"/>
          <w:highlight w:val="none"/>
        </w:rPr>
        <w:t>件重点民生实事总体完成。二是就业创业形式稳定。新增城镇就业</w:t>
      </w:r>
      <w:r>
        <w:rPr>
          <w:rFonts w:ascii="方正仿宋_GBK"/>
          <w:snapToGrid w:val="0"/>
          <w:highlight w:val="none"/>
        </w:rPr>
        <w:t>4000</w:t>
      </w:r>
      <w:r>
        <w:rPr>
          <w:rFonts w:hint="eastAsia" w:ascii="方正仿宋_GBK"/>
          <w:snapToGrid w:val="0"/>
          <w:highlight w:val="none"/>
        </w:rPr>
        <w:t>人，发放创业担保贷款</w:t>
      </w:r>
      <w:r>
        <w:rPr>
          <w:rFonts w:ascii="方正仿宋_GBK"/>
          <w:snapToGrid w:val="0"/>
          <w:highlight w:val="none"/>
        </w:rPr>
        <w:t>1.35</w:t>
      </w:r>
      <w:r>
        <w:rPr>
          <w:rFonts w:hint="eastAsia" w:ascii="方正仿宋_GBK"/>
          <w:snapToGrid w:val="0"/>
          <w:highlight w:val="none"/>
        </w:rPr>
        <w:t>亿元。三是社会保障不断强化。基本养老、医疗保险参保率稳定在</w:t>
      </w:r>
      <w:r>
        <w:rPr>
          <w:rFonts w:ascii="方正仿宋_GBK"/>
          <w:snapToGrid w:val="0"/>
          <w:highlight w:val="none"/>
        </w:rPr>
        <w:t>95%</w:t>
      </w:r>
      <w:r>
        <w:rPr>
          <w:rFonts w:hint="eastAsia" w:ascii="方正仿宋_GBK"/>
          <w:snapToGrid w:val="0"/>
          <w:highlight w:val="none"/>
        </w:rPr>
        <w:t>以上。发放社会救助金</w:t>
      </w:r>
      <w:r>
        <w:rPr>
          <w:rFonts w:ascii="方正仿宋_GBK"/>
          <w:snapToGrid w:val="0"/>
          <w:highlight w:val="none"/>
        </w:rPr>
        <w:t>1.2</w:t>
      </w:r>
      <w:r>
        <w:rPr>
          <w:rFonts w:hint="eastAsia" w:ascii="方正仿宋_GBK"/>
          <w:snapToGrid w:val="0"/>
          <w:highlight w:val="none"/>
        </w:rPr>
        <w:t>亿元。四是教育教学质量显著提升。</w:t>
      </w:r>
      <w:r>
        <w:rPr>
          <w:rFonts w:hint="eastAsia" w:ascii="方正仿宋_GBK"/>
          <w:snapToGrid w:val="0"/>
          <w:highlight w:val="none"/>
          <w:lang w:eastAsia="zh-CN"/>
        </w:rPr>
        <w:t>普惠性幼儿园覆盖率</w:t>
      </w:r>
      <w:r>
        <w:rPr>
          <w:rFonts w:hint="eastAsia" w:ascii="方正仿宋_GBK"/>
          <w:snapToGrid w:val="0"/>
          <w:highlight w:val="none"/>
        </w:rPr>
        <w:t>达到</w:t>
      </w:r>
      <w:r>
        <w:rPr>
          <w:rFonts w:ascii="方正仿宋_GBK"/>
          <w:snapToGrid w:val="0"/>
          <w:highlight w:val="none"/>
        </w:rPr>
        <w:t>90.</w:t>
      </w:r>
      <w:r>
        <w:rPr>
          <w:rFonts w:hint="eastAsia" w:ascii="方正仿宋_GBK"/>
          <w:snapToGrid w:val="0"/>
          <w:highlight w:val="none"/>
          <w:lang w:val="en-US" w:eastAsia="zh-CN"/>
        </w:rPr>
        <w:t>58</w:t>
      </w:r>
      <w:r>
        <w:rPr>
          <w:rFonts w:ascii="方正仿宋_GBK"/>
          <w:snapToGrid w:val="0"/>
          <w:highlight w:val="none"/>
        </w:rPr>
        <w:t>%</w:t>
      </w:r>
      <w:r>
        <w:rPr>
          <w:rFonts w:hint="eastAsia" w:ascii="方正仿宋_GBK"/>
          <w:snapToGrid w:val="0"/>
          <w:highlight w:val="none"/>
          <w:lang w:eastAsia="zh-CN"/>
        </w:rPr>
        <w:t>，</w:t>
      </w:r>
      <w:r>
        <w:rPr>
          <w:rFonts w:hint="eastAsia" w:ascii="方正仿宋_GBK"/>
          <w:snapToGrid w:val="0"/>
          <w:highlight w:val="none"/>
        </w:rPr>
        <w:t>义务教育阶段学生入学率、巩固率保持</w:t>
      </w:r>
      <w:r>
        <w:rPr>
          <w:rFonts w:ascii="方正仿宋_GBK"/>
          <w:snapToGrid w:val="0"/>
          <w:highlight w:val="none"/>
        </w:rPr>
        <w:t>100%</w:t>
      </w:r>
      <w:r>
        <w:rPr>
          <w:rFonts w:hint="eastAsia" w:ascii="方正仿宋_GBK"/>
          <w:snapToGrid w:val="0"/>
          <w:highlight w:val="none"/>
        </w:rPr>
        <w:t>。建成市级智慧课堂</w:t>
      </w:r>
      <w:r>
        <w:rPr>
          <w:rFonts w:ascii="方正仿宋_GBK"/>
          <w:snapToGrid w:val="0"/>
          <w:highlight w:val="none"/>
        </w:rPr>
        <w:t>12</w:t>
      </w:r>
      <w:r>
        <w:rPr>
          <w:rFonts w:hint="eastAsia" w:ascii="方正仿宋_GBK"/>
          <w:snapToGrid w:val="0"/>
          <w:highlight w:val="none"/>
        </w:rPr>
        <w:t>间。南宾中学应急避险迁建工程建设有序推进。“双减”政策落实有效。五是公共文化服务更加完善。县文化馆获评国家一级馆。万人拥有“三馆一中心”建筑面积达</w:t>
      </w:r>
      <w:r>
        <w:rPr>
          <w:rFonts w:ascii="方正仿宋_GBK"/>
          <w:snapToGrid w:val="0"/>
          <w:highlight w:val="none"/>
        </w:rPr>
        <w:t>663.66</w:t>
      </w:r>
      <w:r>
        <w:rPr>
          <w:rFonts w:hint="eastAsia" w:ascii="方正仿宋_GBK"/>
          <w:snapToGrid w:val="0"/>
          <w:highlight w:val="none"/>
        </w:rPr>
        <w:t>㎡</w:t>
      </w:r>
      <w:r>
        <w:rPr>
          <w:rFonts w:ascii="方正仿宋_GBK"/>
          <w:snapToGrid w:val="0"/>
          <w:highlight w:val="none"/>
        </w:rPr>
        <w:t>/</w:t>
      </w:r>
      <w:r>
        <w:rPr>
          <w:rFonts w:hint="eastAsia" w:ascii="方正仿宋_GBK"/>
          <w:snapToGrid w:val="0"/>
          <w:highlight w:val="none"/>
        </w:rPr>
        <w:t>万人。拥有县级及以上非物质文化遗产保护项目</w:t>
      </w:r>
      <w:r>
        <w:rPr>
          <w:rFonts w:ascii="方正仿宋_GBK"/>
          <w:snapToGrid w:val="0"/>
          <w:highlight w:val="none"/>
        </w:rPr>
        <w:t>136</w:t>
      </w:r>
      <w:r>
        <w:rPr>
          <w:rFonts w:hint="eastAsia" w:ascii="方正仿宋_GBK"/>
          <w:snapToGrid w:val="0"/>
          <w:highlight w:val="none"/>
        </w:rPr>
        <w:t>个。广播、电视综合覆盖率均达</w:t>
      </w:r>
      <w:r>
        <w:rPr>
          <w:rFonts w:ascii="方正仿宋_GBK"/>
          <w:snapToGrid w:val="0"/>
          <w:highlight w:val="none"/>
        </w:rPr>
        <w:t>100%</w:t>
      </w:r>
      <w:r>
        <w:rPr>
          <w:rFonts w:hint="eastAsia" w:ascii="方正仿宋_GBK"/>
          <w:snapToGrid w:val="0"/>
          <w:highlight w:val="none"/>
        </w:rPr>
        <w:t>。六是医疗卫生条件不断改善。“三通”改革试点成效显著。南宾街道卫生服务中心、县中医院感染病区实验室建成投用，县域内就诊率达到</w:t>
      </w:r>
      <w:r>
        <w:rPr>
          <w:rFonts w:ascii="方正仿宋_GBK"/>
          <w:snapToGrid w:val="0"/>
          <w:highlight w:val="none"/>
        </w:rPr>
        <w:t>91%</w:t>
      </w:r>
      <w:r>
        <w:rPr>
          <w:rFonts w:hint="eastAsia" w:ascii="方正仿宋_GBK"/>
          <w:snapToGrid w:val="0"/>
          <w:highlight w:val="none"/>
        </w:rPr>
        <w:t>。</w:t>
      </w:r>
    </w:p>
    <w:p>
      <w:pPr>
        <w:snapToGrid w:val="0"/>
        <w:spacing w:line="560" w:lineRule="exact"/>
        <w:ind w:firstLine="632" w:firstLineChars="200"/>
        <w:textAlignment w:val="baseline"/>
        <w:rPr>
          <w:rFonts w:ascii="方正仿宋_GBK" w:hAnsi="仿宋"/>
          <w:color w:val="000000"/>
          <w:highlight w:val="none"/>
        </w:rPr>
      </w:pPr>
      <w:r>
        <w:rPr>
          <w:rFonts w:hint="eastAsia" w:ascii="方正仿宋_GBK"/>
          <w:snapToGrid w:val="0"/>
          <w:highlight w:val="none"/>
        </w:rPr>
        <w:t>各位代表，在总结成绩的同时，我们也清醒地认识到，我县经济社会发展依然存在一些突出问题和困难，主要是：我县经济总量不大，内生动力不足，发展质量不高；产业、生态、区位等优势发挥不够充分，工业支撑不够；康养产业发展聚焦突破不够；消费潜力挖掘不够，新业态、新动力培育不足；基础设施、生态环保、民生领域还有不少“短板”。面对困难和问题，我们将高度重视，采取有力措施，切实加以解决。</w:t>
      </w:r>
    </w:p>
    <w:p>
      <w:pPr>
        <w:snapToGrid w:val="0"/>
        <w:spacing w:line="560" w:lineRule="exact"/>
        <w:ind w:firstLine="632" w:firstLineChars="200"/>
        <w:textAlignment w:val="baseline"/>
        <w:rPr>
          <w:rFonts w:ascii="方正黑体_GBK" w:hAnsi="方正黑体_GBK" w:eastAsia="方正黑体_GBK"/>
          <w:color w:val="000000"/>
          <w:highlight w:val="none"/>
        </w:rPr>
      </w:pPr>
      <w:r>
        <w:rPr>
          <w:rFonts w:hint="eastAsia" w:ascii="方正黑体_GBK" w:hAnsi="方正黑体_GBK" w:eastAsia="方正黑体_GBK" w:cs="方正黑体_GBK"/>
          <w:color w:val="000000"/>
          <w:highlight w:val="none"/>
        </w:rPr>
        <w:t>二、</w:t>
      </w:r>
      <w:r>
        <w:rPr>
          <w:rFonts w:ascii="方正黑体_GBK" w:hAnsi="方正黑体_GBK" w:eastAsia="方正黑体_GBK" w:cs="方正黑体_GBK"/>
          <w:color w:val="000000"/>
          <w:highlight w:val="none"/>
        </w:rPr>
        <w:t>2022</w:t>
      </w:r>
      <w:r>
        <w:rPr>
          <w:rFonts w:hint="eastAsia" w:ascii="方正黑体_GBK" w:hAnsi="方正黑体_GBK" w:eastAsia="方正黑体_GBK" w:cs="方正黑体_GBK"/>
          <w:color w:val="000000"/>
          <w:highlight w:val="none"/>
        </w:rPr>
        <w:t>年国民经济和社会发展计划总体考虑</w:t>
      </w:r>
    </w:p>
    <w:p>
      <w:pPr>
        <w:snapToGrid w:val="0"/>
        <w:spacing w:line="560" w:lineRule="exact"/>
        <w:ind w:firstLine="632" w:firstLineChars="200"/>
        <w:textAlignment w:val="baseline"/>
        <w:rPr>
          <w:rFonts w:ascii="方正仿宋_GBK"/>
          <w:snapToGrid w:val="0"/>
          <w:highlight w:val="none"/>
        </w:rPr>
      </w:pPr>
      <w:r>
        <w:rPr>
          <w:rFonts w:ascii="方正仿宋_GBK"/>
          <w:snapToGrid w:val="0"/>
          <w:highlight w:val="none"/>
        </w:rPr>
        <w:t>2022</w:t>
      </w:r>
      <w:r>
        <w:rPr>
          <w:rFonts w:hint="eastAsia" w:ascii="方正仿宋_GBK"/>
          <w:snapToGrid w:val="0"/>
          <w:highlight w:val="none"/>
        </w:rPr>
        <w:t>年是新一届政府开局之年，是实施“十四五”规划关键之年，做好全年经济社会发展各项工作意义深远。我们将以习近平新时代中国特色社会主义思想、习近平总书记对重庆提出的系列重要指示要求和亲临石柱视察重要指示精神为指引，深入贯彻党的十九大和十九届二中、三中、四中、五中、六中全会和中央、全市经济工作会议精神，统筹推进“五位一体”总体布局，协调推进“四个全面”战略布局，立足新发展阶段，贯彻新发展理念，构建新发展格局，坚持稳中求进工作总基调，聚焦“全域康养、绿色崛起”发展主题，聚力“风情土家·康养石柱”价值定位，大力发展康养产业，全力打造康养经济，加快建设全国生态康养胜地，统筹抓好疫情防控和经济社会发展各项工作，更好统筹发展和安全，确保经济健康发展和社会安全稳定，以优异成绩迎接党的二十大</w:t>
      </w:r>
      <w:r>
        <w:rPr>
          <w:rFonts w:hint="eastAsia" w:ascii="方正仿宋_GBK"/>
          <w:snapToGrid w:val="0"/>
          <w:highlight w:val="none"/>
          <w:lang w:eastAsia="zh-CN"/>
        </w:rPr>
        <w:t>胜利</w:t>
      </w:r>
      <w:r>
        <w:rPr>
          <w:rFonts w:hint="eastAsia" w:ascii="方正仿宋_GBK"/>
          <w:snapToGrid w:val="0"/>
          <w:highlight w:val="none"/>
        </w:rPr>
        <w:t>召开。</w:t>
      </w:r>
    </w:p>
    <w:p>
      <w:pPr>
        <w:snapToGrid w:val="0"/>
        <w:spacing w:line="560" w:lineRule="exact"/>
        <w:ind w:firstLine="632" w:firstLineChars="200"/>
        <w:textAlignment w:val="baseline"/>
        <w:rPr>
          <w:rFonts w:ascii="方正仿宋_GBK"/>
          <w:snapToGrid w:val="0"/>
          <w:highlight w:val="none"/>
        </w:rPr>
      </w:pPr>
      <w:r>
        <w:rPr>
          <w:rFonts w:hint="eastAsia" w:ascii="方正仿宋_GBK"/>
          <w:snapToGrid w:val="0"/>
          <w:highlight w:val="none"/>
        </w:rPr>
        <w:t>按照上述总体要求，依据</w:t>
      </w:r>
      <w:r>
        <w:rPr>
          <w:rFonts w:ascii="方正仿宋_GBK"/>
          <w:snapToGrid w:val="0"/>
          <w:highlight w:val="none"/>
        </w:rPr>
        <w:t>2021</w:t>
      </w:r>
      <w:r>
        <w:rPr>
          <w:rFonts w:hint="eastAsia" w:ascii="方正仿宋_GBK"/>
          <w:snapToGrid w:val="0"/>
          <w:highlight w:val="none"/>
        </w:rPr>
        <w:t>年主要指标完成情况，综合分析明年经济社会发展环境，结合县情实际和发展需要，提出</w:t>
      </w:r>
      <w:r>
        <w:rPr>
          <w:rFonts w:ascii="方正仿宋_GBK"/>
          <w:snapToGrid w:val="0"/>
          <w:highlight w:val="none"/>
        </w:rPr>
        <w:t>2022</w:t>
      </w:r>
      <w:r>
        <w:rPr>
          <w:rFonts w:hint="eastAsia" w:ascii="方正仿宋_GBK"/>
          <w:snapToGrid w:val="0"/>
          <w:highlight w:val="none"/>
        </w:rPr>
        <w:t>年全县</w:t>
      </w:r>
      <w:r>
        <w:rPr>
          <w:rFonts w:ascii="方正仿宋_GBK"/>
          <w:snapToGrid w:val="0"/>
          <w:highlight w:val="none"/>
        </w:rPr>
        <w:t>26</w:t>
      </w:r>
      <w:r>
        <w:rPr>
          <w:rFonts w:hint="eastAsia" w:ascii="方正仿宋_GBK"/>
          <w:snapToGrid w:val="0"/>
          <w:highlight w:val="none"/>
        </w:rPr>
        <w:t>项主要经济社会发展指标预期目标建议（详见附件）。</w:t>
      </w:r>
    </w:p>
    <w:p>
      <w:pPr>
        <w:snapToGrid w:val="0"/>
        <w:spacing w:line="560" w:lineRule="exact"/>
        <w:ind w:firstLine="632" w:firstLineChars="200"/>
        <w:textAlignment w:val="baseline"/>
        <w:rPr>
          <w:rFonts w:ascii="方正仿宋_GBK"/>
          <w:snapToGrid w:val="0"/>
          <w:highlight w:val="none"/>
        </w:rPr>
      </w:pPr>
      <w:r>
        <w:rPr>
          <w:rFonts w:hint="eastAsia" w:ascii="方正仿宋_GBK"/>
          <w:snapToGrid w:val="0"/>
          <w:highlight w:val="none"/>
        </w:rPr>
        <w:t>主要经济指标目标建议（</w:t>
      </w:r>
      <w:r>
        <w:rPr>
          <w:rFonts w:ascii="方正仿宋_GBK"/>
          <w:snapToGrid w:val="0"/>
          <w:highlight w:val="none"/>
        </w:rPr>
        <w:t>11</w:t>
      </w:r>
      <w:r>
        <w:rPr>
          <w:rFonts w:hint="eastAsia" w:ascii="方正仿宋_GBK"/>
          <w:snapToGrid w:val="0"/>
          <w:highlight w:val="none"/>
        </w:rPr>
        <w:t>项）：地区生产总值增长</w:t>
      </w:r>
      <w:r>
        <w:rPr>
          <w:rFonts w:ascii="方正仿宋_GBK"/>
          <w:snapToGrid w:val="0"/>
          <w:highlight w:val="none"/>
        </w:rPr>
        <w:t>7%</w:t>
      </w:r>
      <w:r>
        <w:rPr>
          <w:rFonts w:hint="eastAsia" w:ascii="方正仿宋_GBK"/>
          <w:snapToGrid w:val="0"/>
          <w:highlight w:val="none"/>
        </w:rPr>
        <w:t>；全社会固定资产投资增长</w:t>
      </w:r>
      <w:r>
        <w:rPr>
          <w:rFonts w:ascii="方正仿宋_GBK"/>
          <w:snapToGrid w:val="0"/>
          <w:highlight w:val="none"/>
        </w:rPr>
        <w:t>8%</w:t>
      </w:r>
      <w:r>
        <w:rPr>
          <w:rFonts w:hint="eastAsia" w:ascii="方正仿宋_GBK"/>
          <w:snapToGrid w:val="0"/>
          <w:highlight w:val="none"/>
        </w:rPr>
        <w:t>；规上工业产值增长</w:t>
      </w:r>
      <w:r>
        <w:rPr>
          <w:rFonts w:ascii="方正仿宋_GBK"/>
          <w:snapToGrid w:val="0"/>
          <w:highlight w:val="none"/>
        </w:rPr>
        <w:t>18%</w:t>
      </w:r>
      <w:r>
        <w:rPr>
          <w:rFonts w:hint="eastAsia" w:ascii="方正仿宋_GBK"/>
          <w:snapToGrid w:val="0"/>
          <w:highlight w:val="none"/>
        </w:rPr>
        <w:t>；社会消费品零售总额增长</w:t>
      </w:r>
      <w:r>
        <w:rPr>
          <w:rFonts w:ascii="方正仿宋_GBK"/>
          <w:snapToGrid w:val="0"/>
          <w:highlight w:val="none"/>
        </w:rPr>
        <w:t>8%</w:t>
      </w:r>
      <w:r>
        <w:rPr>
          <w:rFonts w:hint="eastAsia" w:ascii="方正仿宋_GBK"/>
          <w:snapToGrid w:val="0"/>
          <w:highlight w:val="none"/>
        </w:rPr>
        <w:t>左右；公共财政预算收入同比增长</w:t>
      </w:r>
      <w:r>
        <w:rPr>
          <w:rFonts w:ascii="方正仿宋_GBK"/>
          <w:snapToGrid w:val="0"/>
          <w:highlight w:val="none"/>
        </w:rPr>
        <w:t>5%</w:t>
      </w:r>
      <w:r>
        <w:rPr>
          <w:rFonts w:hint="eastAsia" w:ascii="方正仿宋_GBK"/>
          <w:snapToGrid w:val="0"/>
          <w:highlight w:val="none"/>
        </w:rPr>
        <w:t>；全体居民人均可支配收入增长</w:t>
      </w:r>
      <w:r>
        <w:rPr>
          <w:rFonts w:ascii="方正仿宋_GBK"/>
          <w:snapToGrid w:val="0"/>
          <w:highlight w:val="none"/>
        </w:rPr>
        <w:t>8%</w:t>
      </w:r>
      <w:r>
        <w:rPr>
          <w:rFonts w:hint="eastAsia" w:ascii="方正仿宋_GBK"/>
          <w:snapToGrid w:val="0"/>
          <w:highlight w:val="none"/>
        </w:rPr>
        <w:t>；旅游业增加值现价增长</w:t>
      </w:r>
      <w:r>
        <w:rPr>
          <w:rFonts w:ascii="方正仿宋_GBK"/>
          <w:snapToGrid w:val="0"/>
          <w:highlight w:val="none"/>
        </w:rPr>
        <w:t>7%</w:t>
      </w:r>
      <w:r>
        <w:rPr>
          <w:rFonts w:hint="eastAsia" w:ascii="方正仿宋_GBK"/>
          <w:snapToGrid w:val="0"/>
          <w:highlight w:val="none"/>
        </w:rPr>
        <w:t>，占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5.1%</w:t>
      </w:r>
      <w:r>
        <w:rPr>
          <w:rFonts w:hint="eastAsia" w:ascii="方正仿宋_GBK"/>
          <w:snapToGrid w:val="0"/>
          <w:highlight w:val="none"/>
        </w:rPr>
        <w:t>；康养经济占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51.5%</w:t>
      </w:r>
      <w:r>
        <w:rPr>
          <w:rFonts w:hint="eastAsia" w:ascii="方正仿宋_GBK"/>
          <w:snapToGrid w:val="0"/>
          <w:highlight w:val="none"/>
        </w:rPr>
        <w:t>；民营经济增加值增长</w:t>
      </w:r>
      <w:r>
        <w:rPr>
          <w:rFonts w:ascii="方正仿宋_GBK"/>
          <w:snapToGrid w:val="0"/>
          <w:highlight w:val="none"/>
        </w:rPr>
        <w:t>8%</w:t>
      </w:r>
      <w:r>
        <w:rPr>
          <w:rFonts w:hint="eastAsia" w:ascii="方正仿宋_GBK"/>
          <w:snapToGrid w:val="0"/>
          <w:highlight w:val="none"/>
        </w:rPr>
        <w:t>，占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57%</w:t>
      </w:r>
      <w:r>
        <w:rPr>
          <w:rFonts w:hint="eastAsia" w:ascii="方正仿宋_GBK"/>
          <w:snapToGrid w:val="0"/>
          <w:highlight w:val="none"/>
        </w:rPr>
        <w:t>；文化产业增加值占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2%</w:t>
      </w:r>
      <w:r>
        <w:rPr>
          <w:rFonts w:hint="eastAsia" w:ascii="方正仿宋_GBK"/>
          <w:snapToGrid w:val="0"/>
          <w:highlight w:val="none"/>
        </w:rPr>
        <w:t>；进出口总额</w:t>
      </w:r>
      <w:r>
        <w:rPr>
          <w:rFonts w:ascii="方正仿宋_GBK"/>
          <w:snapToGrid w:val="0"/>
          <w:highlight w:val="none"/>
        </w:rPr>
        <w:t>5.5</w:t>
      </w:r>
      <w:r>
        <w:rPr>
          <w:rFonts w:hint="eastAsia" w:ascii="方正仿宋_GBK"/>
          <w:snapToGrid w:val="0"/>
          <w:highlight w:val="none"/>
        </w:rPr>
        <w:t>亿美元，同比增长</w:t>
      </w:r>
      <w:r>
        <w:rPr>
          <w:rFonts w:ascii="方正仿宋_GBK"/>
          <w:snapToGrid w:val="0"/>
          <w:highlight w:val="none"/>
        </w:rPr>
        <w:t>10%</w:t>
      </w:r>
      <w:r>
        <w:rPr>
          <w:rFonts w:hint="eastAsia" w:ascii="方正仿宋_GBK"/>
          <w:snapToGrid w:val="0"/>
          <w:highlight w:val="none"/>
        </w:rPr>
        <w:t>。</w:t>
      </w:r>
    </w:p>
    <w:p>
      <w:pPr>
        <w:snapToGrid w:val="0"/>
        <w:spacing w:line="560" w:lineRule="exact"/>
        <w:ind w:firstLine="632" w:firstLineChars="200"/>
        <w:textAlignment w:val="baseline"/>
        <w:rPr>
          <w:rFonts w:ascii="方正仿宋_GBK" w:hAnsi="仿宋"/>
          <w:color w:val="000000"/>
          <w:highlight w:val="none"/>
        </w:rPr>
      </w:pPr>
      <w:r>
        <w:rPr>
          <w:rFonts w:hint="eastAsia" w:ascii="方正仿宋_GBK"/>
          <w:snapToGrid w:val="0"/>
          <w:highlight w:val="none"/>
        </w:rPr>
        <w:t>主要社会指标目标建议（</w:t>
      </w:r>
      <w:r>
        <w:rPr>
          <w:rFonts w:ascii="方正仿宋_GBK"/>
          <w:snapToGrid w:val="0"/>
          <w:highlight w:val="none"/>
        </w:rPr>
        <w:t>15</w:t>
      </w:r>
      <w:r>
        <w:rPr>
          <w:rFonts w:hint="eastAsia" w:ascii="方正仿宋_GBK"/>
          <w:snapToGrid w:val="0"/>
          <w:highlight w:val="none"/>
        </w:rPr>
        <w:t>项）：城乡生活垃圾集中处理率保持</w:t>
      </w:r>
      <w:r>
        <w:rPr>
          <w:rFonts w:ascii="方正仿宋_GBK"/>
          <w:snapToGrid w:val="0"/>
          <w:highlight w:val="none"/>
        </w:rPr>
        <w:t>100%</w:t>
      </w:r>
      <w:r>
        <w:rPr>
          <w:rFonts w:hint="eastAsia" w:ascii="方正仿宋_GBK"/>
          <w:snapToGrid w:val="0"/>
          <w:highlight w:val="none"/>
        </w:rPr>
        <w:t>；城镇生活污水集中处理率</w:t>
      </w:r>
      <w:r>
        <w:rPr>
          <w:rFonts w:ascii="方正仿宋_GBK"/>
          <w:snapToGrid w:val="0"/>
          <w:highlight w:val="none"/>
        </w:rPr>
        <w:t>96%</w:t>
      </w:r>
      <w:r>
        <w:rPr>
          <w:rFonts w:hint="eastAsia" w:ascii="方正仿宋_GBK"/>
          <w:snapToGrid w:val="0"/>
          <w:highlight w:val="none"/>
        </w:rPr>
        <w:t>；水功能区水质达标率不低于市上下达目标；地质灾害防治达标率</w:t>
      </w:r>
      <w:r>
        <w:rPr>
          <w:rFonts w:ascii="方正仿宋_GBK"/>
          <w:snapToGrid w:val="0"/>
          <w:highlight w:val="none"/>
        </w:rPr>
        <w:t>100%</w:t>
      </w:r>
      <w:r>
        <w:rPr>
          <w:rFonts w:hint="eastAsia" w:ascii="方正仿宋_GBK"/>
          <w:snapToGrid w:val="0"/>
          <w:highlight w:val="none"/>
        </w:rPr>
        <w:t>；城市人均绿地面积保持率</w:t>
      </w:r>
      <w:r>
        <w:rPr>
          <w:rFonts w:ascii="方正仿宋_GBK"/>
          <w:snapToGrid w:val="0"/>
          <w:highlight w:val="none"/>
        </w:rPr>
        <w:t>100%</w:t>
      </w:r>
      <w:r>
        <w:rPr>
          <w:rFonts w:hint="eastAsia" w:ascii="方正仿宋_GBK"/>
          <w:snapToGrid w:val="0"/>
          <w:highlight w:val="none"/>
        </w:rPr>
        <w:t>；万元地区生产总值能耗降低目标完成市上下达目标；万人发明专利拥有量</w:t>
      </w:r>
      <w:r>
        <w:rPr>
          <w:rFonts w:ascii="方正仿宋_GBK"/>
          <w:snapToGrid w:val="0"/>
          <w:highlight w:val="none"/>
        </w:rPr>
        <w:t>3.95</w:t>
      </w:r>
      <w:r>
        <w:rPr>
          <w:rFonts w:hint="eastAsia" w:ascii="方正仿宋_GBK"/>
          <w:snapToGrid w:val="0"/>
          <w:highlight w:val="none"/>
        </w:rPr>
        <w:t>件；新增民营经济市场主体</w:t>
      </w:r>
      <w:r>
        <w:rPr>
          <w:rFonts w:ascii="方正仿宋_GBK"/>
          <w:snapToGrid w:val="0"/>
          <w:highlight w:val="none"/>
        </w:rPr>
        <w:t>4500</w:t>
      </w:r>
      <w:r>
        <w:rPr>
          <w:rFonts w:hint="eastAsia" w:ascii="方正仿宋_GBK"/>
          <w:snapToGrid w:val="0"/>
          <w:highlight w:val="none"/>
        </w:rPr>
        <w:t>家；</w:t>
      </w:r>
      <w:r>
        <w:rPr>
          <w:rFonts w:ascii="方正仿宋_GBK"/>
          <w:snapToGrid w:val="0"/>
          <w:highlight w:val="none"/>
        </w:rPr>
        <w:t>R&amp;D</w:t>
      </w:r>
      <w:r>
        <w:rPr>
          <w:rFonts w:hint="eastAsia" w:ascii="方正仿宋_GBK"/>
          <w:snapToGrid w:val="0"/>
          <w:highlight w:val="none"/>
        </w:rPr>
        <w:t>投入占</w:t>
      </w:r>
      <w:r>
        <w:rPr>
          <w:rFonts w:ascii="方正仿宋_GBK"/>
          <w:snapToGrid w:val="0"/>
          <w:highlight w:val="none"/>
        </w:rPr>
        <w:t>GDP</w:t>
      </w:r>
      <w:r>
        <w:rPr>
          <w:rFonts w:hint="eastAsia" w:ascii="方正仿宋_GBK"/>
          <w:snapToGrid w:val="0"/>
          <w:highlight w:val="none"/>
        </w:rPr>
        <w:t>比重不低于</w:t>
      </w:r>
      <w:r>
        <w:rPr>
          <w:rFonts w:ascii="方正仿宋_GBK"/>
          <w:snapToGrid w:val="0"/>
          <w:highlight w:val="none"/>
        </w:rPr>
        <w:t>0.</w:t>
      </w:r>
      <w:r>
        <w:rPr>
          <w:rFonts w:hint="eastAsia" w:ascii="方正仿宋_GBK"/>
          <w:snapToGrid w:val="0"/>
          <w:highlight w:val="none"/>
        </w:rPr>
        <w:t>9</w:t>
      </w:r>
      <w:r>
        <w:rPr>
          <w:rFonts w:ascii="方正仿宋_GBK"/>
          <w:snapToGrid w:val="0"/>
          <w:highlight w:val="none"/>
        </w:rPr>
        <w:t>%</w:t>
      </w:r>
      <w:r>
        <w:rPr>
          <w:rFonts w:hint="eastAsia" w:ascii="方正仿宋_GBK"/>
          <w:snapToGrid w:val="0"/>
          <w:highlight w:val="none"/>
        </w:rPr>
        <w:t>；</w:t>
      </w:r>
      <w:r>
        <w:rPr>
          <w:rFonts w:hint="eastAsia" w:ascii="方正仿宋_GBK"/>
          <w:snapToGrid w:val="0"/>
          <w:highlight w:val="none"/>
          <w:lang w:eastAsia="zh-CN"/>
        </w:rPr>
        <w:t>普惠性幼儿园覆盖率</w:t>
      </w:r>
      <w:r>
        <w:rPr>
          <w:rFonts w:hint="eastAsia" w:ascii="方正仿宋_GBK"/>
          <w:snapToGrid w:val="0"/>
          <w:highlight w:val="none"/>
        </w:rPr>
        <w:t>达到</w:t>
      </w:r>
      <w:r>
        <w:rPr>
          <w:rFonts w:ascii="方正仿宋_GBK"/>
          <w:snapToGrid w:val="0"/>
          <w:highlight w:val="none"/>
        </w:rPr>
        <w:t>92%</w:t>
      </w:r>
      <w:r>
        <w:rPr>
          <w:rFonts w:hint="eastAsia" w:ascii="方正仿宋_GBK"/>
          <w:snapToGrid w:val="0"/>
          <w:highlight w:val="none"/>
        </w:rPr>
        <w:t>；政府公共体育设施面积开放率保持在</w:t>
      </w:r>
      <w:r>
        <w:rPr>
          <w:rFonts w:ascii="方正仿宋_GBK"/>
          <w:snapToGrid w:val="0"/>
          <w:highlight w:val="none"/>
        </w:rPr>
        <w:t>100%</w:t>
      </w:r>
      <w:r>
        <w:rPr>
          <w:rFonts w:hint="eastAsia" w:ascii="方正仿宋_GBK"/>
          <w:snapToGrid w:val="0"/>
          <w:highlight w:val="none"/>
        </w:rPr>
        <w:t>；森林覆盖率达到</w:t>
      </w:r>
      <w:r>
        <w:rPr>
          <w:rFonts w:ascii="方正仿宋_GBK"/>
          <w:snapToGrid w:val="0"/>
          <w:highlight w:val="none"/>
        </w:rPr>
        <w:t>63%</w:t>
      </w:r>
      <w:r>
        <w:rPr>
          <w:rFonts w:hint="eastAsia" w:ascii="方正仿宋_GBK"/>
          <w:snapToGrid w:val="0"/>
          <w:highlight w:val="none"/>
        </w:rPr>
        <w:t>；县城空气质量优良率不低于市上下达目标；新增城镇就业人员</w:t>
      </w:r>
      <w:r>
        <w:rPr>
          <w:rFonts w:ascii="方正仿宋_GBK"/>
          <w:snapToGrid w:val="0"/>
          <w:highlight w:val="none"/>
        </w:rPr>
        <w:t>3000</w:t>
      </w:r>
      <w:r>
        <w:rPr>
          <w:rFonts w:hint="eastAsia" w:ascii="方正仿宋_GBK"/>
          <w:snapToGrid w:val="0"/>
          <w:highlight w:val="none"/>
        </w:rPr>
        <w:t>人；公众对生态环境质量满意程度不低于全市平均水平。</w:t>
      </w:r>
    </w:p>
    <w:p>
      <w:pPr>
        <w:snapToGrid w:val="0"/>
        <w:spacing w:line="560" w:lineRule="exact"/>
        <w:ind w:firstLine="632" w:firstLineChars="200"/>
        <w:textAlignment w:val="baseline"/>
        <w:rPr>
          <w:rFonts w:ascii="方正黑体_GBK" w:hAnsi="方正黑体_GBK" w:eastAsia="方正黑体_GBK"/>
          <w:color w:val="000000"/>
          <w:highlight w:val="none"/>
        </w:rPr>
      </w:pPr>
      <w:r>
        <w:rPr>
          <w:rFonts w:hint="eastAsia" w:ascii="方正黑体_GBK" w:hAnsi="方正黑体_GBK" w:eastAsia="方正黑体_GBK" w:cs="方正黑体_GBK"/>
          <w:color w:val="000000"/>
          <w:highlight w:val="none"/>
        </w:rPr>
        <w:t>三、</w:t>
      </w:r>
      <w:r>
        <w:rPr>
          <w:rFonts w:ascii="方正黑体_GBK" w:hAnsi="方正黑体_GBK" w:eastAsia="方正黑体_GBK" w:cs="方正黑体_GBK"/>
          <w:color w:val="000000"/>
          <w:highlight w:val="none"/>
        </w:rPr>
        <w:t>2022</w:t>
      </w:r>
      <w:r>
        <w:rPr>
          <w:rFonts w:hint="eastAsia" w:ascii="方正黑体_GBK" w:hAnsi="方正黑体_GBK" w:eastAsia="方正黑体_GBK" w:cs="方正黑体_GBK"/>
          <w:color w:val="000000"/>
          <w:highlight w:val="none"/>
        </w:rPr>
        <w:t>年全县经济社会发展的重点措施</w:t>
      </w:r>
    </w:p>
    <w:p>
      <w:pPr>
        <w:snapToGrid w:val="0"/>
        <w:spacing w:line="560" w:lineRule="exact"/>
        <w:ind w:firstLine="632" w:firstLineChars="200"/>
        <w:textAlignment w:val="baseline"/>
        <w:rPr>
          <w:rFonts w:ascii="方正仿宋_GBK"/>
          <w:snapToGrid w:val="0"/>
          <w:highlight w:val="none"/>
        </w:rPr>
      </w:pPr>
      <w:r>
        <w:rPr>
          <w:rFonts w:hint="eastAsia" w:ascii="方正楷体_GBK" w:eastAsia="方正楷体_GBK"/>
          <w:snapToGrid w:val="0"/>
          <w:highlight w:val="none"/>
        </w:rPr>
        <w:t>（一）大力发展生态康养产业。</w:t>
      </w:r>
      <w:r>
        <w:rPr>
          <w:rFonts w:hint="eastAsia" w:ascii="方正仿宋_GBK"/>
          <w:snapToGrid w:val="0"/>
          <w:highlight w:val="none"/>
        </w:rPr>
        <w:t>一是不断提高特色农业效益。持续巩固以黄连为主的中药材、以莼菜为主的绿色果蔬、以辣椒为主的调味品产业，因地制宜发展特色种养业。积极推进市级现代农业产业园创建，加快推动石柱黄连产业研究院、教育部黄连开发与利用工程中心“石柱分中心”、重庆市山地农业科技创新中心建设。着力推进品种优化、品质提升、品牌打造，新建莼菜良种繁育基地</w:t>
      </w:r>
      <w:r>
        <w:rPr>
          <w:rFonts w:ascii="方正仿宋_GBK"/>
          <w:snapToGrid w:val="0"/>
          <w:highlight w:val="none"/>
        </w:rPr>
        <w:t>1</w:t>
      </w:r>
      <w:r>
        <w:rPr>
          <w:rFonts w:hint="eastAsia" w:ascii="方正仿宋_GBK"/>
          <w:snapToGrid w:val="0"/>
          <w:highlight w:val="none"/>
        </w:rPr>
        <w:t>个、中药材良种繁育基地</w:t>
      </w:r>
      <w:r>
        <w:rPr>
          <w:rFonts w:ascii="方正仿宋_GBK"/>
          <w:snapToGrid w:val="0"/>
          <w:highlight w:val="none"/>
        </w:rPr>
        <w:t>200</w:t>
      </w:r>
      <w:r>
        <w:rPr>
          <w:rFonts w:hint="eastAsia" w:ascii="方正仿宋_GBK"/>
          <w:snapToGrid w:val="0"/>
          <w:highlight w:val="none"/>
        </w:rPr>
        <w:t>亩，新建绿色有机农产品基地</w:t>
      </w:r>
      <w:r>
        <w:rPr>
          <w:rFonts w:ascii="方正仿宋_GBK"/>
          <w:snapToGrid w:val="0"/>
          <w:highlight w:val="none"/>
        </w:rPr>
        <w:t>1</w:t>
      </w:r>
      <w:r>
        <w:rPr>
          <w:rFonts w:hint="eastAsia" w:ascii="方正仿宋_GBK"/>
          <w:snapToGrid w:val="0"/>
          <w:highlight w:val="none"/>
        </w:rPr>
        <w:t>万亩以上，新增绿色有机、全国“名特优新”等品牌农产品</w:t>
      </w:r>
      <w:r>
        <w:rPr>
          <w:rFonts w:ascii="方正仿宋_GBK"/>
          <w:snapToGrid w:val="0"/>
          <w:highlight w:val="none"/>
        </w:rPr>
        <w:t>15</w:t>
      </w:r>
      <w:r>
        <w:rPr>
          <w:rFonts w:hint="eastAsia" w:ascii="方正仿宋_GBK"/>
          <w:snapToGrid w:val="0"/>
          <w:highlight w:val="none"/>
        </w:rPr>
        <w:t>个以上。全力提升农产品加工水平，实现农产品加工产值</w:t>
      </w:r>
      <w:r>
        <w:rPr>
          <w:rFonts w:ascii="方正仿宋_GBK"/>
          <w:snapToGrid w:val="0"/>
          <w:highlight w:val="none"/>
        </w:rPr>
        <w:t>11</w:t>
      </w:r>
      <w:r>
        <w:rPr>
          <w:rFonts w:hint="eastAsia" w:ascii="方正仿宋_GBK"/>
          <w:snapToGrid w:val="0"/>
          <w:highlight w:val="none"/>
        </w:rPr>
        <w:t>亿元。二是提质增效绿色生态工业。全力推动分散式风力资源开发利用、朝盛科技园等项目如期落地开建；加快康养消费品产业园、方斗山绿色新型建材产业园建设；全面推进辣椒精深加工、生态透水砖等项目建成投产。支持大唐火电、西南水泥等重点用能企业实施综合能效提升。持续优化企业环境，加快推动园区道路、标准厂房及配套设施建设，建成工业大道、智慧仓储物流项目。新培育规上工业企业</w:t>
      </w:r>
      <w:r>
        <w:rPr>
          <w:rFonts w:ascii="方正仿宋_GBK"/>
          <w:snapToGrid w:val="0"/>
          <w:highlight w:val="none"/>
        </w:rPr>
        <w:t>5</w:t>
      </w:r>
      <w:r>
        <w:rPr>
          <w:rFonts w:hint="eastAsia" w:ascii="方正仿宋_GBK"/>
          <w:snapToGrid w:val="0"/>
          <w:highlight w:val="none"/>
        </w:rPr>
        <w:t>家，规上工业增加值增长</w:t>
      </w:r>
      <w:r>
        <w:rPr>
          <w:rFonts w:ascii="方正仿宋_GBK"/>
          <w:snapToGrid w:val="0"/>
          <w:highlight w:val="none"/>
        </w:rPr>
        <w:t>12%</w:t>
      </w:r>
      <w:r>
        <w:rPr>
          <w:rFonts w:hint="eastAsia" w:ascii="方正仿宋_GBK"/>
          <w:snapToGrid w:val="0"/>
          <w:highlight w:val="none"/>
        </w:rPr>
        <w:t>。三是持续深化文旅融合发展。成功创建黄水国家级旅游度假区。加快创建万寿山国家</w:t>
      </w:r>
      <w:r>
        <w:rPr>
          <w:rFonts w:ascii="方正仿宋_GBK"/>
          <w:snapToGrid w:val="0"/>
          <w:highlight w:val="none"/>
        </w:rPr>
        <w:t>5A</w:t>
      </w:r>
      <w:r>
        <w:rPr>
          <w:rFonts w:hint="eastAsia" w:ascii="方正仿宋_GBK"/>
          <w:snapToGrid w:val="0"/>
          <w:highlight w:val="none"/>
        </w:rPr>
        <w:t>级景区。提速推进冷水特色康养小镇、石龙文旅等文旅项目建设。办好由民革中央、重庆市政府、重庆市政协联合主办的首届中国（重庆）康养大会。开发以秦良玉文化为核心的特色文创产品。全年接待游客</w:t>
      </w:r>
      <w:r>
        <w:rPr>
          <w:rFonts w:ascii="方正仿宋_GBK"/>
          <w:snapToGrid w:val="0"/>
          <w:highlight w:val="none"/>
        </w:rPr>
        <w:t>1800</w:t>
      </w:r>
      <w:r>
        <w:rPr>
          <w:rFonts w:hint="eastAsia" w:ascii="方正仿宋_GBK"/>
          <w:snapToGrid w:val="0"/>
          <w:highlight w:val="none"/>
        </w:rPr>
        <w:t>万人次，创综合收入</w:t>
      </w:r>
      <w:r>
        <w:rPr>
          <w:rFonts w:ascii="方正仿宋_GBK"/>
          <w:snapToGrid w:val="0"/>
          <w:highlight w:val="none"/>
        </w:rPr>
        <w:t>135</w:t>
      </w:r>
      <w:r>
        <w:rPr>
          <w:rFonts w:hint="eastAsia" w:ascii="方正仿宋_GBK"/>
          <w:snapToGrid w:val="0"/>
          <w:highlight w:val="none"/>
        </w:rPr>
        <w:t>亿元。</w:t>
      </w:r>
    </w:p>
    <w:p>
      <w:pPr>
        <w:snapToGrid w:val="0"/>
        <w:spacing w:line="560" w:lineRule="exact"/>
        <w:ind w:firstLine="632" w:firstLineChars="200"/>
        <w:textAlignment w:val="baseline"/>
        <w:rPr>
          <w:rFonts w:ascii="方正仿宋_GBK"/>
          <w:snapToGrid w:val="0"/>
          <w:highlight w:val="none"/>
        </w:rPr>
      </w:pPr>
      <w:r>
        <w:rPr>
          <w:rFonts w:hint="eastAsia" w:ascii="方正楷体_GBK" w:eastAsia="方正楷体_GBK"/>
          <w:snapToGrid w:val="0"/>
          <w:highlight w:val="none"/>
        </w:rPr>
        <w:t>（二）加快推进创新驱动发展。</w:t>
      </w:r>
      <w:r>
        <w:rPr>
          <w:rFonts w:hint="eastAsia" w:ascii="方正仿宋_GBK"/>
          <w:snapToGrid w:val="0"/>
          <w:highlight w:val="none"/>
        </w:rPr>
        <w:t>一是提高科技创新水平。加快推进国家创新型县建设。强化知识产权保护，加快知识产权成果转化运用，申报专利</w:t>
      </w:r>
      <w:r>
        <w:rPr>
          <w:rFonts w:ascii="方正仿宋_GBK"/>
          <w:snapToGrid w:val="0"/>
          <w:highlight w:val="none"/>
        </w:rPr>
        <w:t>100</w:t>
      </w:r>
      <w:r>
        <w:rPr>
          <w:rFonts w:hint="eastAsia" w:ascii="方正仿宋_GBK"/>
          <w:snapToGrid w:val="0"/>
          <w:highlight w:val="none"/>
        </w:rPr>
        <w:t>件，引进有效发明专利</w:t>
      </w:r>
      <w:r>
        <w:rPr>
          <w:rFonts w:ascii="方正仿宋_GBK"/>
          <w:snapToGrid w:val="0"/>
          <w:highlight w:val="none"/>
        </w:rPr>
        <w:t>15</w:t>
      </w:r>
      <w:r>
        <w:rPr>
          <w:rFonts w:hint="eastAsia" w:ascii="方正仿宋_GBK"/>
          <w:snapToGrid w:val="0"/>
          <w:highlight w:val="none"/>
        </w:rPr>
        <w:t>件。加快培育创新主体，培育国家高新技术企业</w:t>
      </w:r>
      <w:r>
        <w:rPr>
          <w:rFonts w:ascii="方正仿宋_GBK"/>
          <w:snapToGrid w:val="0"/>
          <w:highlight w:val="none"/>
        </w:rPr>
        <w:t>1</w:t>
      </w:r>
      <w:r>
        <w:rPr>
          <w:rFonts w:hint="eastAsia" w:ascii="方正仿宋_GBK"/>
          <w:snapToGrid w:val="0"/>
          <w:highlight w:val="none"/>
        </w:rPr>
        <w:t>家、市级科技型企业</w:t>
      </w:r>
      <w:r>
        <w:rPr>
          <w:rFonts w:ascii="方正仿宋_GBK"/>
          <w:snapToGrid w:val="0"/>
          <w:highlight w:val="none"/>
        </w:rPr>
        <w:t>5</w:t>
      </w:r>
      <w:r>
        <w:rPr>
          <w:rFonts w:hint="eastAsia" w:ascii="方正仿宋_GBK"/>
          <w:snapToGrid w:val="0"/>
          <w:highlight w:val="none"/>
        </w:rPr>
        <w:t>家、市级企业技术中心</w:t>
      </w:r>
      <w:r>
        <w:rPr>
          <w:rFonts w:ascii="方正仿宋_GBK"/>
          <w:snapToGrid w:val="0"/>
          <w:highlight w:val="none"/>
        </w:rPr>
        <w:t>1</w:t>
      </w:r>
      <w:r>
        <w:rPr>
          <w:rFonts w:hint="eastAsia" w:ascii="方正仿宋_GBK"/>
          <w:snapToGrid w:val="0"/>
          <w:highlight w:val="none"/>
        </w:rPr>
        <w:t>个。全社会研发投入占</w:t>
      </w:r>
      <w:r>
        <w:rPr>
          <w:rFonts w:ascii="方正仿宋_GBK"/>
          <w:snapToGrid w:val="0"/>
          <w:highlight w:val="none"/>
        </w:rPr>
        <w:t>GDP</w:t>
      </w:r>
      <w:r>
        <w:rPr>
          <w:rFonts w:hint="eastAsia" w:ascii="方正仿宋_GBK"/>
          <w:snapToGrid w:val="0"/>
          <w:highlight w:val="none"/>
        </w:rPr>
        <w:t>比重</w:t>
      </w:r>
      <w:r>
        <w:rPr>
          <w:rFonts w:ascii="方正仿宋_GBK"/>
          <w:snapToGrid w:val="0"/>
          <w:highlight w:val="none"/>
        </w:rPr>
        <w:t>0.</w:t>
      </w:r>
      <w:r>
        <w:rPr>
          <w:rFonts w:hint="eastAsia" w:ascii="方正仿宋_GBK"/>
          <w:snapToGrid w:val="0"/>
          <w:highlight w:val="none"/>
        </w:rPr>
        <w:t>9</w:t>
      </w:r>
      <w:r>
        <w:rPr>
          <w:rFonts w:ascii="方正仿宋_GBK"/>
          <w:snapToGrid w:val="0"/>
          <w:highlight w:val="none"/>
        </w:rPr>
        <w:t>%</w:t>
      </w:r>
      <w:r>
        <w:rPr>
          <w:rFonts w:hint="eastAsia" w:ascii="方正仿宋_GBK"/>
          <w:snapToGrid w:val="0"/>
          <w:highlight w:val="none"/>
          <w:lang w:eastAsia="zh-CN"/>
        </w:rPr>
        <w:t>以上</w:t>
      </w:r>
      <w:r>
        <w:rPr>
          <w:rFonts w:hint="eastAsia" w:ascii="方正仿宋_GBK"/>
          <w:snapToGrid w:val="0"/>
          <w:highlight w:val="none"/>
        </w:rPr>
        <w:t>。二是推动“智慧石柱”建设。重点推进“雪亮工程”和智能交通二期项目建设，建成“智慧石柱”城市大脑平台。全力推动“数字农业·数字乡村”战略，扎实推进县域光网改造，新建及改扩建4G基站55个、5G基站200个，打造县级智慧农业示范基地2个。三是强化创新平台和人才建设。大力实施“人才强县”战略，加强与西南大学、重庆市农科院等高校院所合作，搭建科技创新平台。引进市级科技特派员和“三区人才”</w:t>
      </w:r>
      <w:r>
        <w:rPr>
          <w:rFonts w:ascii="方正仿宋_GBK"/>
          <w:snapToGrid w:val="0"/>
          <w:highlight w:val="none"/>
        </w:rPr>
        <w:t>50</w:t>
      </w:r>
      <w:r>
        <w:rPr>
          <w:rFonts w:hint="eastAsia" w:ascii="方正仿宋_GBK"/>
          <w:snapToGrid w:val="0"/>
          <w:highlight w:val="none"/>
        </w:rPr>
        <w:t>名以上。</w:t>
      </w:r>
    </w:p>
    <w:p>
      <w:pPr>
        <w:snapToGrid w:val="0"/>
        <w:spacing w:line="560" w:lineRule="exact"/>
        <w:ind w:firstLine="632" w:firstLineChars="200"/>
        <w:textAlignment w:val="baseline"/>
        <w:rPr>
          <w:rFonts w:ascii="方正仿宋_GBK"/>
          <w:snapToGrid w:val="0"/>
          <w:highlight w:val="none"/>
        </w:rPr>
      </w:pPr>
      <w:r>
        <w:rPr>
          <w:rFonts w:hint="eastAsia" w:ascii="方正楷体_GBK" w:eastAsia="方正楷体_GBK"/>
          <w:snapToGrid w:val="0"/>
          <w:highlight w:val="none"/>
        </w:rPr>
        <w:t>（三）全力扩大投资消费。</w:t>
      </w:r>
      <w:r>
        <w:rPr>
          <w:rFonts w:hint="eastAsia" w:ascii="方正仿宋_GBK"/>
          <w:snapToGrid w:val="0"/>
          <w:highlight w:val="none"/>
        </w:rPr>
        <w:t>一是加快推进重点项目建设。续建和新开工</w:t>
      </w:r>
      <w:r>
        <w:rPr>
          <w:rFonts w:ascii="方正仿宋_GBK"/>
          <w:snapToGrid w:val="0"/>
          <w:highlight w:val="none"/>
        </w:rPr>
        <w:t>100</w:t>
      </w:r>
      <w:r>
        <w:rPr>
          <w:rFonts w:hint="eastAsia" w:ascii="方正仿宋_GBK"/>
          <w:snapToGrid w:val="0"/>
          <w:highlight w:val="none"/>
        </w:rPr>
        <w:t>个年度重点项目，带动固定资产投资同比增长</w:t>
      </w:r>
      <w:r>
        <w:rPr>
          <w:rFonts w:ascii="方正仿宋_GBK"/>
          <w:snapToGrid w:val="0"/>
          <w:highlight w:val="none"/>
        </w:rPr>
        <w:t>8%</w:t>
      </w:r>
      <w:r>
        <w:rPr>
          <w:rFonts w:hint="eastAsia" w:ascii="方正仿宋_GBK"/>
          <w:snapToGrid w:val="0"/>
          <w:highlight w:val="none"/>
        </w:rPr>
        <w:t>。全面建设七曜山玉龙风电、丰石高速石柱西互通至南宾工业园</w:t>
      </w:r>
      <w:r>
        <w:rPr>
          <w:rFonts w:ascii="方正仿宋_GBK"/>
          <w:snapToGrid w:val="0"/>
          <w:highlight w:val="none"/>
        </w:rPr>
        <w:t>B</w:t>
      </w:r>
      <w:r>
        <w:rPr>
          <w:rFonts w:hint="eastAsia" w:ascii="方正仿宋_GBK"/>
          <w:snapToGrid w:val="0"/>
          <w:highlight w:val="none"/>
        </w:rPr>
        <w:t>区连接道路等项目；提速推进渝利铁路沙子客运站至冷水公路、渝东南综合物流园—智慧仓储物流等项目建设；开工建设石柱县城市更新基础设施</w:t>
      </w:r>
      <w:r>
        <w:rPr>
          <w:rFonts w:ascii="方正仿宋_GBK"/>
          <w:snapToGrid w:val="0"/>
          <w:highlight w:val="none"/>
        </w:rPr>
        <w:t>PPP</w:t>
      </w:r>
      <w:r>
        <w:rPr>
          <w:rFonts w:hint="eastAsia" w:ascii="方正仿宋_GBK"/>
          <w:snapToGrid w:val="0"/>
          <w:highlight w:val="none"/>
        </w:rPr>
        <w:t>项目、回龙场水库项目等。二是持续加大招商引资力度。围绕新能源、装备制造、核医疗健康等领域，大力引进中核集团全产业链优势企业</w:t>
      </w:r>
      <w:r>
        <w:rPr>
          <w:rFonts w:ascii="方正仿宋_GBK"/>
          <w:snapToGrid w:val="0"/>
          <w:highlight w:val="none"/>
        </w:rPr>
        <w:t>2</w:t>
      </w:r>
      <w:r>
        <w:rPr>
          <w:rFonts w:hint="eastAsia" w:ascii="方正仿宋_GBK"/>
          <w:snapToGrid w:val="0"/>
          <w:highlight w:val="none"/>
        </w:rPr>
        <w:t>家以上。大力招引黄连、莼菜、辣椒等本地传统特色产业化项目，打通农业全产业链。大力招引农文旅融合发展项目，提高农村土地资源等要素配置效率，激发乡村投资活力。加快推动水资源、清洁能源和再生资源开发利用等项目落地。优化招商引资政策，严格执行“招、接、建、管、服”全流程招商机制，实现到位资金</w:t>
      </w:r>
      <w:r>
        <w:rPr>
          <w:rFonts w:hint="eastAsia" w:ascii="方正仿宋_GBK"/>
          <w:snapToGrid w:val="0"/>
          <w:highlight w:val="none"/>
          <w:lang w:val="en-US" w:eastAsia="zh-CN"/>
        </w:rPr>
        <w:t>5</w:t>
      </w:r>
      <w:r>
        <w:rPr>
          <w:rFonts w:ascii="方正仿宋_GBK"/>
          <w:snapToGrid w:val="0"/>
          <w:highlight w:val="none"/>
        </w:rPr>
        <w:t>0</w:t>
      </w:r>
      <w:r>
        <w:rPr>
          <w:rFonts w:hint="eastAsia" w:ascii="方正仿宋_GBK"/>
          <w:snapToGrid w:val="0"/>
          <w:highlight w:val="none"/>
        </w:rPr>
        <w:t>亿元</w:t>
      </w:r>
      <w:r>
        <w:rPr>
          <w:rFonts w:hint="eastAsia" w:ascii="方正仿宋_GBK"/>
          <w:snapToGrid w:val="0"/>
          <w:highlight w:val="none"/>
          <w:lang w:eastAsia="zh-CN"/>
        </w:rPr>
        <w:t>以上</w:t>
      </w:r>
      <w:r>
        <w:rPr>
          <w:rFonts w:hint="eastAsia" w:ascii="方正仿宋_GBK"/>
          <w:snapToGrid w:val="0"/>
          <w:highlight w:val="none"/>
        </w:rPr>
        <w:t>。三是全面促进消费升级。持续升级</w:t>
      </w:r>
      <w:r>
        <w:rPr>
          <w:rFonts w:hint="eastAsia" w:ascii="方正仿宋_GBK"/>
          <w:snapToGrid w:val="0"/>
          <w:highlight w:val="none"/>
          <w:lang w:eastAsia="zh-CN"/>
        </w:rPr>
        <w:t>龙河两岸</w:t>
      </w:r>
      <w:r>
        <w:rPr>
          <w:rFonts w:hint="eastAsia" w:ascii="方正仿宋_GBK"/>
          <w:snapToGrid w:val="0"/>
          <w:highlight w:val="none"/>
        </w:rPr>
        <w:t>景观休闲消费带、康德中央大街休闲购物消费核心商圈，打造消费聚集区。做大做强五方国际、家居建材等专业市场，培育引进限上商贸企业</w:t>
      </w:r>
      <w:r>
        <w:rPr>
          <w:rFonts w:ascii="方正仿宋_GBK"/>
          <w:snapToGrid w:val="0"/>
          <w:highlight w:val="none"/>
        </w:rPr>
        <w:t>30</w:t>
      </w:r>
      <w:r>
        <w:rPr>
          <w:rFonts w:hint="eastAsia" w:ascii="方正仿宋_GBK"/>
          <w:snapToGrid w:val="0"/>
          <w:highlight w:val="none"/>
        </w:rPr>
        <w:t>家以上。大力促进汽车消费、家电消费等传统消费提升，培育壮大智能消费、信息消费等消费新业态新模式。实施“数商兴农”行动，培育百万级网店</w:t>
      </w:r>
      <w:r>
        <w:rPr>
          <w:rFonts w:ascii="方正仿宋_GBK"/>
          <w:snapToGrid w:val="0"/>
          <w:highlight w:val="none"/>
        </w:rPr>
        <w:t>50</w:t>
      </w:r>
      <w:r>
        <w:rPr>
          <w:rFonts w:hint="eastAsia" w:ascii="方正仿宋_GBK"/>
          <w:snapToGrid w:val="0"/>
          <w:highlight w:val="none"/>
        </w:rPr>
        <w:t>家以上，新培育亿元级电商企业</w:t>
      </w:r>
      <w:r>
        <w:rPr>
          <w:rFonts w:ascii="方正仿宋_GBK"/>
          <w:snapToGrid w:val="0"/>
          <w:highlight w:val="none"/>
        </w:rPr>
        <w:t>1</w:t>
      </w:r>
      <w:r>
        <w:rPr>
          <w:rFonts w:hint="eastAsia" w:ascii="方正仿宋_GBK"/>
          <w:snapToGrid w:val="0"/>
          <w:highlight w:val="none"/>
        </w:rPr>
        <w:t>家、千万级</w:t>
      </w:r>
      <w:r>
        <w:rPr>
          <w:rFonts w:ascii="方正仿宋_GBK"/>
          <w:snapToGrid w:val="0"/>
          <w:highlight w:val="none"/>
        </w:rPr>
        <w:t>3</w:t>
      </w:r>
      <w:r>
        <w:rPr>
          <w:rFonts w:hint="eastAsia" w:ascii="方正仿宋_GBK"/>
          <w:snapToGrid w:val="0"/>
          <w:highlight w:val="none"/>
        </w:rPr>
        <w:t>家，实现电商交易额</w:t>
      </w:r>
      <w:r>
        <w:rPr>
          <w:rFonts w:ascii="方正仿宋_GBK"/>
          <w:snapToGrid w:val="0"/>
          <w:highlight w:val="none"/>
        </w:rPr>
        <w:t>41</w:t>
      </w:r>
      <w:r>
        <w:rPr>
          <w:rFonts w:hint="eastAsia" w:ascii="方正仿宋_GBK"/>
          <w:snapToGrid w:val="0"/>
          <w:highlight w:val="none"/>
        </w:rPr>
        <w:t>亿元以上。</w:t>
      </w:r>
    </w:p>
    <w:p>
      <w:pPr>
        <w:snapToGrid w:val="0"/>
        <w:spacing w:line="560" w:lineRule="exact"/>
        <w:ind w:firstLine="632" w:firstLineChars="200"/>
        <w:textAlignment w:val="baseline"/>
        <w:rPr>
          <w:rFonts w:ascii="方正仿宋_GBK"/>
          <w:snapToGrid w:val="0"/>
          <w:highlight w:val="none"/>
        </w:rPr>
      </w:pPr>
      <w:r>
        <w:rPr>
          <w:rFonts w:hint="eastAsia" w:ascii="方正楷体_GBK" w:eastAsia="方正楷体_GBK"/>
          <w:snapToGrid w:val="0"/>
          <w:highlight w:val="none"/>
        </w:rPr>
        <w:t>（四）持续深化改革开放。</w:t>
      </w:r>
      <w:r>
        <w:rPr>
          <w:rFonts w:hint="eastAsia" w:ascii="方正仿宋_GBK"/>
          <w:snapToGrid w:val="0"/>
          <w:highlight w:val="none"/>
        </w:rPr>
        <w:t>一是深化重点领域改革。持续优化营商环境，深化“放管服”改革，深入推动“互联网</w:t>
      </w:r>
      <w:r>
        <w:rPr>
          <w:rFonts w:ascii="方正仿宋_GBK"/>
          <w:snapToGrid w:val="0"/>
          <w:highlight w:val="none"/>
        </w:rPr>
        <w:t>+</w:t>
      </w:r>
      <w:r>
        <w:rPr>
          <w:rFonts w:hint="eastAsia" w:ascii="方正仿宋_GBK"/>
          <w:snapToGrid w:val="0"/>
          <w:highlight w:val="none"/>
        </w:rPr>
        <w:t>政务服务”，确保政务服务全程网办比例达到</w:t>
      </w:r>
      <w:r>
        <w:rPr>
          <w:rFonts w:ascii="方正仿宋_GBK"/>
          <w:snapToGrid w:val="0"/>
          <w:highlight w:val="none"/>
        </w:rPr>
        <w:t>85%</w:t>
      </w:r>
      <w:r>
        <w:rPr>
          <w:rFonts w:hint="eastAsia" w:ascii="方正仿宋_GBK"/>
          <w:snapToGrid w:val="0"/>
          <w:highlight w:val="none"/>
        </w:rPr>
        <w:t>以上。强化财税金融体制改革，全面落实减税降费政策，对接落实“两岸”地区革命老区所在区县地方级收入全留政策，强化税源培植和税收征管，深化投融资体制改革。抓实国企改革三年行动，深入推进国有企业市场化改革、混合所有制改革。二是积极融入和服务成渝地区双城经济圈建设和市域“一区两群”协调发展。积极融入成渝地区双城经济圈建设，围绕《关于贯彻落实成渝地区双城经济圈建设规划纲要的实施意见》和市</w:t>
      </w:r>
      <w:r>
        <w:rPr>
          <w:rFonts w:ascii="方正仿宋_GBK"/>
          <w:snapToGrid w:val="0"/>
          <w:highlight w:val="none"/>
        </w:rPr>
        <w:t>2022</w:t>
      </w:r>
      <w:r>
        <w:rPr>
          <w:rFonts w:hint="eastAsia" w:ascii="方正仿宋_GBK"/>
          <w:snapToGrid w:val="0"/>
          <w:highlight w:val="none"/>
        </w:rPr>
        <w:t>年推动成渝地区双城经济圈建设的计划，实质性加强和华蓥、内江等市县合作。加快融入市域“一区两群”协调发展，高水平打造“三峡库心·长江盆景”，加快推动水上交通枢纽等</w:t>
      </w:r>
      <w:r>
        <w:rPr>
          <w:rFonts w:ascii="方正仿宋_GBK"/>
          <w:snapToGrid w:val="0"/>
          <w:highlight w:val="none"/>
        </w:rPr>
        <w:t>17</w:t>
      </w:r>
      <w:r>
        <w:rPr>
          <w:rFonts w:hint="eastAsia" w:ascii="方正仿宋_GBK"/>
          <w:snapToGrid w:val="0"/>
          <w:highlight w:val="none"/>
        </w:rPr>
        <w:t>个项目。三是不断提升对外开放水平。持续推广运用海关贸易“单一窗口”功能，加大与重庆海关、黔江海关的对接力度，畅通企业产品出海关口。培育外向型经济增长点，以谭妹子“中新（重庆）农产品出海帮扶项目”为着力点，深入推动中新贸易合作，推动黄连、莼菜、辣椒等农产品纳入中新贸易合作产品。力争全年新培育外贸企业</w:t>
      </w:r>
      <w:r>
        <w:rPr>
          <w:rFonts w:ascii="方正仿宋_GBK"/>
          <w:snapToGrid w:val="0"/>
          <w:highlight w:val="none"/>
        </w:rPr>
        <w:t>3</w:t>
      </w:r>
      <w:r>
        <w:rPr>
          <w:rFonts w:hint="eastAsia" w:ascii="方正仿宋_GBK"/>
          <w:snapToGrid w:val="0"/>
          <w:highlight w:val="none"/>
        </w:rPr>
        <w:t>家，实现外贸年进出口总额</w:t>
      </w:r>
      <w:r>
        <w:rPr>
          <w:rFonts w:ascii="方正仿宋_GBK"/>
          <w:snapToGrid w:val="0"/>
          <w:highlight w:val="none"/>
        </w:rPr>
        <w:t>5.5</w:t>
      </w:r>
      <w:r>
        <w:rPr>
          <w:rFonts w:hint="eastAsia" w:ascii="方正仿宋_GBK"/>
          <w:snapToGrid w:val="0"/>
          <w:highlight w:val="none"/>
        </w:rPr>
        <w:t>亿美元，同比增长</w:t>
      </w:r>
      <w:r>
        <w:rPr>
          <w:rFonts w:ascii="方正仿宋_GBK"/>
          <w:snapToGrid w:val="0"/>
          <w:highlight w:val="none"/>
        </w:rPr>
        <w:t>10%</w:t>
      </w:r>
      <w:r>
        <w:rPr>
          <w:rFonts w:hint="eastAsia" w:ascii="方正仿宋_GBK"/>
          <w:snapToGrid w:val="0"/>
          <w:highlight w:val="none"/>
        </w:rPr>
        <w:t>。</w:t>
      </w:r>
    </w:p>
    <w:p>
      <w:pPr>
        <w:snapToGrid w:val="0"/>
        <w:spacing w:line="560" w:lineRule="exact"/>
        <w:ind w:firstLine="632" w:firstLineChars="200"/>
        <w:textAlignment w:val="baseline"/>
        <w:rPr>
          <w:rFonts w:ascii="方正仿宋_GBK"/>
          <w:snapToGrid w:val="0"/>
          <w:highlight w:val="none"/>
        </w:rPr>
      </w:pPr>
      <w:r>
        <w:rPr>
          <w:rFonts w:hint="eastAsia" w:ascii="方正楷体_GBK" w:eastAsia="方正楷体_GBK"/>
          <w:snapToGrid w:val="0"/>
          <w:highlight w:val="none"/>
        </w:rPr>
        <w:t>（五）统筹推进城乡融合发展。</w:t>
      </w:r>
      <w:r>
        <w:rPr>
          <w:rFonts w:hint="eastAsia" w:ascii="方正仿宋_GBK"/>
          <w:snapToGrid w:val="0"/>
          <w:highlight w:val="none"/>
        </w:rPr>
        <w:t>一是全力推进城市提质。科学编制《石柱县国土空间总体规划》。启动黄水、西沱国土空间规划编制。适时开展村庄规划修编。完成“坡坎崖”美化绿化三年行动目标任务。加快推进县城供水管网改扩建工程、下路水厂建设、双庆水厂改造等项目。有序推进垃圾分类“八进”主题活动。积极推进石柱县垃圾转运站及环卫基地、下路等</w:t>
      </w:r>
      <w:r>
        <w:rPr>
          <w:rFonts w:ascii="方正仿宋_GBK"/>
          <w:snapToGrid w:val="0"/>
          <w:highlight w:val="none"/>
        </w:rPr>
        <w:t>10</w:t>
      </w:r>
      <w:r>
        <w:rPr>
          <w:rFonts w:hint="eastAsia" w:ascii="方正仿宋_GBK"/>
          <w:snapToGrid w:val="0"/>
          <w:highlight w:val="none"/>
        </w:rPr>
        <w:t>个乡镇（街道）生活垃圾中转站项目。实施县城灯饰景观提升工程。强化“蓝顶棚”治理，整治违章建筑。稳步推进房地产开发，力争新开工</w:t>
      </w:r>
      <w:r>
        <w:rPr>
          <w:rFonts w:ascii="方正仿宋_GBK"/>
          <w:snapToGrid w:val="0"/>
          <w:highlight w:val="none"/>
        </w:rPr>
        <w:t>50</w:t>
      </w:r>
      <w:r>
        <w:rPr>
          <w:rFonts w:hint="eastAsia" w:ascii="方正仿宋_GBK"/>
          <w:snapToGrid w:val="0"/>
          <w:highlight w:val="none"/>
        </w:rPr>
        <w:t>万方，建成</w:t>
      </w:r>
      <w:r>
        <w:rPr>
          <w:rFonts w:ascii="方正仿宋_GBK"/>
          <w:snapToGrid w:val="0"/>
          <w:highlight w:val="none"/>
        </w:rPr>
        <w:t>50</w:t>
      </w:r>
      <w:r>
        <w:rPr>
          <w:rFonts w:hint="eastAsia" w:ascii="方正仿宋_GBK"/>
          <w:snapToGrid w:val="0"/>
          <w:highlight w:val="none"/>
        </w:rPr>
        <w:t>万方。完成棚户区改造</w:t>
      </w:r>
      <w:r>
        <w:rPr>
          <w:rFonts w:ascii="方正仿宋_GBK"/>
          <w:snapToGrid w:val="0"/>
          <w:highlight w:val="none"/>
        </w:rPr>
        <w:t>442</w:t>
      </w:r>
      <w:r>
        <w:rPr>
          <w:rFonts w:hint="eastAsia" w:ascii="方正仿宋_GBK"/>
          <w:snapToGrid w:val="0"/>
          <w:highlight w:val="none"/>
        </w:rPr>
        <w:t>户、老旧小区改造项目</w:t>
      </w:r>
      <w:r>
        <w:rPr>
          <w:rFonts w:ascii="方正仿宋_GBK"/>
          <w:snapToGrid w:val="0"/>
          <w:highlight w:val="none"/>
        </w:rPr>
        <w:t>5</w:t>
      </w:r>
      <w:r>
        <w:rPr>
          <w:rFonts w:hint="eastAsia" w:ascii="方正仿宋_GBK"/>
          <w:snapToGrid w:val="0"/>
          <w:highlight w:val="none"/>
        </w:rPr>
        <w:t>个。二是全力推进乡村振兴。持续巩固“两不愁三保障”及饮水安全</w:t>
      </w:r>
      <w:r>
        <w:rPr>
          <w:rFonts w:hint="eastAsia" w:ascii="方正仿宋_GBK"/>
          <w:snapToGrid w:val="0"/>
          <w:highlight w:val="none"/>
          <w:lang w:eastAsia="zh-CN"/>
        </w:rPr>
        <w:t>成果，坚决守住不发生规模性返贫底线。</w:t>
      </w:r>
      <w:r>
        <w:rPr>
          <w:rFonts w:hint="eastAsia" w:ascii="方正仿宋_GBK"/>
          <w:snapToGrid w:val="0"/>
          <w:highlight w:val="none"/>
        </w:rPr>
        <w:t>推进农村供水保障“一改三提”工作。加快推动脱贫质效巩固提升，加强涉农资金整合管理，建立巩固拓展脱贫攻坚成果项目库。大力发展乡村产业，巩固利益联结机制，促进农户稳定增收。健全用工信息平台，保障脱贫人口稳岗就业。持续做好易地扶贫搬迁后续扶持工作，强化后续产业支撑和就业保障。全面落实东西部协作、中央单位定点帮扶、市委宣传部帮扶集团帮扶和南岸区、綦江区对口帮扶等工作。加快推进以中益乡为重点的乡村振兴示范带</w:t>
      </w:r>
      <w:r>
        <w:rPr>
          <w:rFonts w:hint="eastAsia" w:ascii="方正仿宋_GBK"/>
          <w:snapToGrid w:val="0"/>
          <w:highlight w:val="none"/>
          <w:lang w:eastAsia="zh-CN"/>
        </w:rPr>
        <w:t>、以西沱镇为重点的沿江乡村振兴示范片</w:t>
      </w:r>
      <w:r>
        <w:rPr>
          <w:rFonts w:hint="eastAsia" w:ascii="方正仿宋_GBK"/>
          <w:snapToGrid w:val="0"/>
          <w:highlight w:val="none"/>
        </w:rPr>
        <w:t>建设。推进实施桥头镇乡村振兴重点帮扶总体规划，促进悦崃镇、鱼池镇、石家乡县级重点帮扶乡镇协同发展，提升西沱镇南坪村等</w:t>
      </w:r>
      <w:r>
        <w:rPr>
          <w:rFonts w:ascii="方正仿宋_GBK"/>
          <w:snapToGrid w:val="0"/>
          <w:highlight w:val="none"/>
        </w:rPr>
        <w:t>9</w:t>
      </w:r>
      <w:r>
        <w:rPr>
          <w:rFonts w:hint="eastAsia" w:ascii="方正仿宋_GBK"/>
          <w:snapToGrid w:val="0"/>
          <w:highlight w:val="none"/>
        </w:rPr>
        <w:t>个县级重点帮扶村发展能力。积极推进其他乡镇、村（社区）“五个振兴”工作。三是切实抓好生态文明建设。深入打好污染防治攻坚战，河流出境断面水质全面达标，完成县城污水处理厂三期、黄水镇第一污水处理厂二期建设。空气质量优良率稳定在</w:t>
      </w:r>
      <w:r>
        <w:rPr>
          <w:rFonts w:ascii="方正仿宋_GBK"/>
          <w:snapToGrid w:val="0"/>
          <w:highlight w:val="none"/>
        </w:rPr>
        <w:t>95%</w:t>
      </w:r>
      <w:r>
        <w:rPr>
          <w:rFonts w:hint="eastAsia" w:ascii="方正仿宋_GBK"/>
          <w:snapToGrid w:val="0"/>
          <w:highlight w:val="none"/>
        </w:rPr>
        <w:t>以上。不断强化生态保护修复，全面深化“林长制”。推进</w:t>
      </w:r>
      <w:r>
        <w:rPr>
          <w:rFonts w:ascii="方正仿宋_GBK"/>
          <w:snapToGrid w:val="0"/>
          <w:highlight w:val="none"/>
        </w:rPr>
        <w:t>16.8</w:t>
      </w:r>
      <w:r>
        <w:rPr>
          <w:rFonts w:hint="eastAsia" w:ascii="方正仿宋_GBK"/>
          <w:snapToGrid w:val="0"/>
          <w:highlight w:val="none"/>
        </w:rPr>
        <w:t>万亩退耕还林整改提升，完成营造林</w:t>
      </w:r>
      <w:r>
        <w:rPr>
          <w:rFonts w:ascii="方正仿宋_GBK"/>
          <w:snapToGrid w:val="0"/>
          <w:highlight w:val="none"/>
        </w:rPr>
        <w:t>18.6</w:t>
      </w:r>
      <w:r>
        <w:rPr>
          <w:rFonts w:hint="eastAsia" w:ascii="方正仿宋_GBK"/>
          <w:snapToGrid w:val="0"/>
          <w:highlight w:val="none"/>
        </w:rPr>
        <w:t>万亩，森林覆盖率达到</w:t>
      </w:r>
      <w:r>
        <w:rPr>
          <w:rFonts w:ascii="方正仿宋_GBK"/>
          <w:snapToGrid w:val="0"/>
          <w:highlight w:val="none"/>
        </w:rPr>
        <w:t>63%</w:t>
      </w:r>
      <w:r>
        <w:rPr>
          <w:rFonts w:hint="eastAsia" w:ascii="方正仿宋_GBK"/>
          <w:snapToGrid w:val="0"/>
          <w:highlight w:val="none"/>
        </w:rPr>
        <w:t>。完成</w:t>
      </w:r>
      <w:r>
        <w:rPr>
          <w:rFonts w:ascii="方正仿宋_GBK"/>
          <w:snapToGrid w:val="0"/>
          <w:highlight w:val="none"/>
        </w:rPr>
        <w:t>1.6</w:t>
      </w:r>
      <w:r>
        <w:rPr>
          <w:rFonts w:hint="eastAsia" w:ascii="方正仿宋_GBK"/>
          <w:snapToGrid w:val="0"/>
          <w:highlight w:val="none"/>
        </w:rPr>
        <w:t>万亩石漠化综合治理、20平方公里水土流失治理及</w:t>
      </w:r>
      <w:r>
        <w:rPr>
          <w:rFonts w:ascii="方正仿宋_GBK"/>
          <w:snapToGrid w:val="0"/>
          <w:highlight w:val="none"/>
        </w:rPr>
        <w:t>15</w:t>
      </w:r>
      <w:r>
        <w:rPr>
          <w:rFonts w:hint="eastAsia" w:ascii="方正仿宋_GBK"/>
          <w:snapToGrid w:val="0"/>
          <w:highlight w:val="none"/>
        </w:rPr>
        <w:t>公顷矿山生态修复。大力推动绿色发展，完成市上下达二氧化碳排放强度控制目标和能耗双控年度目标。深入实施生活垃圾分类三年行动计划。开展国家生态文明示范县创建。</w:t>
      </w:r>
    </w:p>
    <w:p>
      <w:pPr>
        <w:snapToGrid w:val="0"/>
        <w:spacing w:line="560" w:lineRule="exact"/>
        <w:ind w:firstLine="632" w:firstLineChars="200"/>
        <w:textAlignment w:val="baseline"/>
        <w:rPr>
          <w:rFonts w:ascii="方正仿宋_GBK" w:hAnsi="仿宋"/>
          <w:color w:val="000000"/>
          <w:highlight w:val="none"/>
        </w:rPr>
      </w:pPr>
      <w:r>
        <w:rPr>
          <w:rFonts w:hint="eastAsia" w:ascii="方正楷体_GBK" w:eastAsia="方正楷体_GBK"/>
          <w:snapToGrid w:val="0"/>
          <w:highlight w:val="none"/>
        </w:rPr>
        <w:t>（六）着力保障和改善社会民生。</w:t>
      </w:r>
      <w:r>
        <w:rPr>
          <w:rFonts w:hint="eastAsia" w:ascii="方正仿宋_GBK"/>
          <w:snapToGrid w:val="0"/>
          <w:highlight w:val="none"/>
        </w:rPr>
        <w:t>一是不断提升教育质量。持续做好控辍保学、送教上门、教育扶贫、教育资助等工作，保持义务教育阶段学生入学率、巩固率、贫困学生资助率达</w:t>
      </w:r>
      <w:r>
        <w:rPr>
          <w:rFonts w:ascii="方正仿宋_GBK"/>
          <w:snapToGrid w:val="0"/>
          <w:highlight w:val="none"/>
        </w:rPr>
        <w:t>100%</w:t>
      </w:r>
      <w:r>
        <w:rPr>
          <w:rFonts w:hint="eastAsia" w:ascii="方正仿宋_GBK"/>
          <w:snapToGrid w:val="0"/>
          <w:highlight w:val="none"/>
        </w:rPr>
        <w:t>。</w:t>
      </w:r>
      <w:r>
        <w:rPr>
          <w:rFonts w:hint="eastAsia" w:ascii="方正仿宋_GBK"/>
          <w:snapToGrid w:val="0"/>
          <w:highlight w:val="none"/>
          <w:lang w:eastAsia="zh-CN"/>
        </w:rPr>
        <w:t>普惠性幼儿园覆盖率</w:t>
      </w:r>
      <w:r>
        <w:rPr>
          <w:rFonts w:hint="eastAsia" w:ascii="方正仿宋_GBK"/>
          <w:snapToGrid w:val="0"/>
          <w:highlight w:val="none"/>
        </w:rPr>
        <w:t>达到</w:t>
      </w:r>
      <w:r>
        <w:rPr>
          <w:rFonts w:ascii="方正仿宋_GBK"/>
          <w:snapToGrid w:val="0"/>
          <w:highlight w:val="none"/>
        </w:rPr>
        <w:t>92%</w:t>
      </w:r>
      <w:r>
        <w:rPr>
          <w:rFonts w:hint="eastAsia" w:ascii="方正仿宋_GBK"/>
          <w:snapToGrid w:val="0"/>
          <w:highlight w:val="none"/>
        </w:rPr>
        <w:t>。做好大学生生源地助学贷款，力争大学生生源地贷款突破</w:t>
      </w:r>
      <w:r>
        <w:rPr>
          <w:rFonts w:ascii="方正仿宋_GBK"/>
          <w:snapToGrid w:val="0"/>
          <w:highlight w:val="none"/>
        </w:rPr>
        <w:t>4000</w:t>
      </w:r>
      <w:r>
        <w:rPr>
          <w:rFonts w:hint="eastAsia" w:ascii="方正仿宋_GBK"/>
          <w:snapToGrid w:val="0"/>
          <w:highlight w:val="none"/>
        </w:rPr>
        <w:t>万元。落实营养改善计划，实现农村义务教育学生和农村学前儿童营养改善计划全覆盖。启动重庆智慧康养职业技术学院建设。联合中核集团举办特色高职院校。完成南宾中学应急避险迁建项目教学楼主体工程建设。启动西沱云梯街幼儿园建设。持续落实“双减”政策。二是全面提升医疗水平。强化重大疫情预警监测、应急响应、应急救治等公共卫生体系建设。持续推进疫苗接种，不断巩固疫情防控成果。推进全国慢性病综合防控示范区创建、县人民医院三级综合医院创建。启动全民健康信息系统建设、县中医院三级中医院创建。完成</w:t>
      </w:r>
      <w:r>
        <w:rPr>
          <w:rFonts w:ascii="方正仿宋_GBK"/>
          <w:snapToGrid w:val="0"/>
          <w:highlight w:val="none"/>
        </w:rPr>
        <w:t>1</w:t>
      </w:r>
      <w:r>
        <w:rPr>
          <w:rFonts w:hint="eastAsia" w:ascii="方正仿宋_GBK"/>
          <w:snapToGrid w:val="0"/>
          <w:highlight w:val="none"/>
        </w:rPr>
        <w:t>个国家级、</w:t>
      </w:r>
      <w:r>
        <w:rPr>
          <w:rFonts w:ascii="方正仿宋_GBK"/>
          <w:snapToGrid w:val="0"/>
          <w:highlight w:val="none"/>
        </w:rPr>
        <w:t>1</w:t>
      </w:r>
      <w:r>
        <w:rPr>
          <w:rFonts w:hint="eastAsia" w:ascii="方正仿宋_GBK"/>
          <w:snapToGrid w:val="0"/>
          <w:highlight w:val="none"/>
        </w:rPr>
        <w:t>个市级卫生乡镇和</w:t>
      </w:r>
      <w:r>
        <w:rPr>
          <w:rFonts w:ascii="方正仿宋_GBK"/>
          <w:snapToGrid w:val="0"/>
          <w:highlight w:val="none"/>
        </w:rPr>
        <w:t>2</w:t>
      </w:r>
      <w:r>
        <w:rPr>
          <w:rFonts w:hint="eastAsia" w:ascii="方正仿宋_GBK"/>
          <w:snapToGrid w:val="0"/>
          <w:highlight w:val="none"/>
        </w:rPr>
        <w:t>家甲级、</w:t>
      </w:r>
      <w:r>
        <w:rPr>
          <w:rFonts w:ascii="方正仿宋_GBK"/>
          <w:snapToGrid w:val="0"/>
          <w:highlight w:val="none"/>
        </w:rPr>
        <w:t>10</w:t>
      </w:r>
      <w:r>
        <w:rPr>
          <w:rFonts w:hint="eastAsia" w:ascii="方正仿宋_GBK"/>
          <w:snapToGrid w:val="0"/>
          <w:highlight w:val="none"/>
        </w:rPr>
        <w:t>家乙级基层医疗卫生机构创建。全面落实“三孩政策”。深化医药卫生体制改革，深入推进中医药传承创新发展。三是加强就业和社会保障。持续抓好重点群体就业，新增城镇就业</w:t>
      </w:r>
      <w:r>
        <w:rPr>
          <w:rFonts w:ascii="方正仿宋_GBK"/>
          <w:snapToGrid w:val="0"/>
          <w:highlight w:val="none"/>
        </w:rPr>
        <w:t>3000</w:t>
      </w:r>
      <w:r>
        <w:rPr>
          <w:rFonts w:hint="eastAsia" w:ascii="方正仿宋_GBK"/>
          <w:snapToGrid w:val="0"/>
          <w:highlight w:val="none"/>
        </w:rPr>
        <w:t>人，发放创业担保贷款</w:t>
      </w:r>
      <w:r>
        <w:rPr>
          <w:rFonts w:ascii="方正仿宋_GBK"/>
          <w:snapToGrid w:val="0"/>
          <w:highlight w:val="none"/>
        </w:rPr>
        <w:t>5000</w:t>
      </w:r>
      <w:r>
        <w:rPr>
          <w:rFonts w:hint="eastAsia" w:ascii="方正仿宋_GBK"/>
          <w:snapToGrid w:val="0"/>
          <w:highlight w:val="none"/>
        </w:rPr>
        <w:t>万元以上。推动跨省异地就业费用直接结算定点医药机构扩面。完善城乡居民医疗、养老保险制度，确保城乡居民养老保险、医疗保险参保率均稳定在</w:t>
      </w:r>
      <w:r>
        <w:rPr>
          <w:rFonts w:ascii="方正仿宋_GBK"/>
          <w:snapToGrid w:val="0"/>
          <w:highlight w:val="none"/>
        </w:rPr>
        <w:t>95%</w:t>
      </w:r>
      <w:r>
        <w:rPr>
          <w:rFonts w:hint="eastAsia" w:ascii="方正仿宋_GBK"/>
          <w:snapToGrid w:val="0"/>
          <w:highlight w:val="none"/>
        </w:rPr>
        <w:t>以上。创建智慧养老服务平台，实施农村敬老院升级改造项目。全力推进城市社区便民服务中心建设。持续抓好低保、残疾人、妇女儿童、慈善、老龄、退役军人、红十字会、爱国卫生等工作。四是统筹抓好社会安全稳定工作。扎实开展安全生产大排查大整治大执法，防范化解城镇燃气、长输管道、非煤矿山、道路交通、建设施工、高楼消防等领域安全隐患，加强应急管理和防灾减灾能力建设，坚决遏制较大及以上事故。持续巩固扫黑除恶专项斗争成果，防范打击各类违法犯罪，开展信访突出问题专项治理，提高社会治理水平。严防政府债务风险、金融风险，抓好信访、房地产等重点领域风险防范化解。</w:t>
      </w:r>
    </w:p>
    <w:p>
      <w:pPr>
        <w:pStyle w:val="2"/>
        <w:textAlignment w:val="baseline"/>
        <w:rPr>
          <w:rFonts w:ascii="方正仿宋_GBK" w:eastAsia="方正仿宋_GBK"/>
          <w:highlight w:val="none"/>
        </w:rPr>
      </w:pPr>
    </w:p>
    <w:p>
      <w:pPr>
        <w:snapToGrid w:val="0"/>
        <w:spacing w:line="560" w:lineRule="exact"/>
        <w:ind w:firstLine="652" w:firstLineChars="200"/>
        <w:textAlignment w:val="baseline"/>
        <w:rPr>
          <w:rFonts w:hint="eastAsia" w:ascii="方正仿宋_GBK" w:hAnsi="仿宋" w:cs="方正仿宋_GBK"/>
          <w:color w:val="000000"/>
          <w:sz w:val="33"/>
          <w:szCs w:val="33"/>
          <w:highlight w:val="none"/>
        </w:rPr>
        <w:sectPr>
          <w:headerReference r:id="rId3" w:type="default"/>
          <w:footerReference r:id="rId4" w:type="default"/>
          <w:footerReference r:id="rId5" w:type="even"/>
          <w:pgSz w:w="11907" w:h="16840"/>
          <w:pgMar w:top="2098" w:right="1531" w:bottom="1985" w:left="1531" w:header="851" w:footer="1474" w:gutter="0"/>
          <w:pgNumType w:fmt="numberInDash" w:start="1"/>
          <w:cols w:space="425" w:num="1"/>
          <w:docGrid w:type="linesAndChars" w:linePitch="560" w:charSpace="-842"/>
        </w:sectPr>
      </w:pPr>
    </w:p>
    <w:p>
      <w:pPr>
        <w:snapToGrid w:val="0"/>
        <w:spacing w:line="560" w:lineRule="exact"/>
        <w:ind w:firstLine="652" w:firstLineChars="200"/>
        <w:textAlignment w:val="baseline"/>
        <w:rPr>
          <w:rFonts w:ascii="方正仿宋_GBK" w:hAnsi="仿宋" w:cs="方正仿宋_GBK"/>
          <w:color w:val="000000"/>
          <w:sz w:val="33"/>
          <w:szCs w:val="33"/>
          <w:highlight w:val="none"/>
        </w:rPr>
      </w:pPr>
      <w:r>
        <w:rPr>
          <w:rFonts w:hint="eastAsia" w:ascii="方正仿宋_GBK" w:hAnsi="仿宋" w:cs="方正仿宋_GBK"/>
          <w:color w:val="000000"/>
          <w:sz w:val="33"/>
          <w:szCs w:val="33"/>
          <w:highlight w:val="none"/>
        </w:rPr>
        <w:t>附件：国民经济和社会发展计划指标</w:t>
      </w:r>
      <w:r>
        <w:rPr>
          <w:rFonts w:ascii="方正仿宋_GBK" w:hAnsi="仿宋" w:cs="方正仿宋_GBK"/>
          <w:color w:val="000000"/>
          <w:sz w:val="33"/>
          <w:szCs w:val="33"/>
          <w:highlight w:val="none"/>
        </w:rPr>
        <w:t>2021</w:t>
      </w:r>
      <w:r>
        <w:rPr>
          <w:rFonts w:hint="eastAsia" w:ascii="方正仿宋_GBK" w:hAnsi="仿宋" w:cs="方正仿宋_GBK"/>
          <w:color w:val="000000"/>
          <w:sz w:val="33"/>
          <w:szCs w:val="33"/>
          <w:highlight w:val="none"/>
        </w:rPr>
        <w:t>年完成情况</w:t>
      </w:r>
    </w:p>
    <w:p>
      <w:pPr>
        <w:snapToGrid w:val="0"/>
        <w:spacing w:line="560" w:lineRule="exact"/>
        <w:ind w:firstLine="1630" w:firstLineChars="500"/>
        <w:textAlignment w:val="baseline"/>
        <w:rPr>
          <w:rFonts w:ascii="方正仿宋_GBK"/>
          <w:color w:val="000000"/>
          <w:sz w:val="33"/>
          <w:szCs w:val="33"/>
          <w:highlight w:val="none"/>
        </w:rPr>
      </w:pPr>
      <w:r>
        <w:rPr>
          <w:rFonts w:hint="eastAsia" w:ascii="方正仿宋_GBK" w:hAnsi="仿宋" w:cs="方正仿宋_GBK"/>
          <w:color w:val="000000"/>
          <w:sz w:val="33"/>
          <w:szCs w:val="33"/>
          <w:highlight w:val="none"/>
        </w:rPr>
        <w:t>及</w:t>
      </w:r>
      <w:r>
        <w:rPr>
          <w:rFonts w:ascii="方正仿宋_GBK" w:hAnsi="仿宋" w:cs="方正仿宋_GBK"/>
          <w:color w:val="000000"/>
          <w:sz w:val="33"/>
          <w:szCs w:val="33"/>
          <w:highlight w:val="none"/>
        </w:rPr>
        <w:t>2022</w:t>
      </w:r>
      <w:r>
        <w:rPr>
          <w:rFonts w:hint="eastAsia" w:ascii="方正仿宋_GBK" w:hAnsi="仿宋" w:cs="方正仿宋_GBK"/>
          <w:color w:val="000000"/>
          <w:sz w:val="33"/>
          <w:szCs w:val="33"/>
          <w:highlight w:val="none"/>
        </w:rPr>
        <w:t>年计划目标</w:t>
      </w:r>
    </w:p>
    <w:p>
      <w:pPr>
        <w:snapToGrid w:val="0"/>
        <w:spacing w:line="240" w:lineRule="atLeast"/>
        <w:textAlignment w:val="baseline"/>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pStyle w:val="8"/>
        <w:rPr>
          <w:rFonts w:ascii="方正仿宋_GBK"/>
          <w:color w:val="000000"/>
          <w:sz w:val="28"/>
          <w:szCs w:val="28"/>
          <w:highlight w:val="none"/>
        </w:rPr>
      </w:pPr>
    </w:p>
    <w:p>
      <w:pPr>
        <w:snapToGrid w:val="0"/>
        <w:spacing w:line="240" w:lineRule="atLeast"/>
        <w:textAlignment w:val="baseline"/>
        <w:rPr>
          <w:rFonts w:ascii="方正仿宋_GBK"/>
          <w:color w:val="000000"/>
          <w:sz w:val="28"/>
          <w:szCs w:val="28"/>
          <w:highlight w:val="none"/>
        </w:rPr>
      </w:pPr>
    </w:p>
    <w:p>
      <w:pPr>
        <w:pStyle w:val="2"/>
        <w:rPr>
          <w:rFonts w:ascii="方正仿宋_GBK"/>
          <w:color w:val="000000"/>
          <w:sz w:val="28"/>
          <w:szCs w:val="28"/>
          <w:highlight w:val="none"/>
        </w:rPr>
      </w:pPr>
    </w:p>
    <w:p>
      <w:pPr>
        <w:pStyle w:val="2"/>
        <w:rPr>
          <w:rFonts w:ascii="方正仿宋_GBK"/>
          <w:color w:val="000000"/>
          <w:sz w:val="28"/>
          <w:szCs w:val="28"/>
          <w:highlight w:val="none"/>
        </w:rPr>
      </w:pPr>
    </w:p>
    <w:p>
      <w:pPr>
        <w:pStyle w:val="8"/>
        <w:rPr>
          <w:highlight w:val="none"/>
        </w:rPr>
      </w:pPr>
    </w:p>
    <w:p>
      <w:pPr>
        <w:snapToGrid w:val="0"/>
        <w:spacing w:after="156" w:line="560" w:lineRule="exact"/>
        <w:jc w:val="left"/>
        <w:textAlignment w:val="baseline"/>
        <w:rPr>
          <w:rFonts w:ascii="方正黑体_GBK" w:hAnsi="宋体" w:eastAsia="方正黑体_GBK"/>
          <w:color w:val="000000"/>
          <w:highlight w:val="none"/>
        </w:rPr>
      </w:pPr>
      <w:r>
        <w:rPr>
          <w:rFonts w:hint="eastAsia" w:ascii="方正黑体_GBK" w:hAnsi="宋体" w:eastAsia="方正黑体_GBK" w:cs="方正黑体_GBK"/>
          <w:color w:val="000000"/>
          <w:highlight w:val="none"/>
        </w:rPr>
        <w:t>附件</w:t>
      </w:r>
    </w:p>
    <w:p>
      <w:pPr>
        <w:pStyle w:val="2"/>
        <w:spacing w:line="560" w:lineRule="exact"/>
        <w:textAlignment w:val="baseline"/>
        <w:rPr>
          <w:highlight w:val="none"/>
        </w:rPr>
      </w:pPr>
    </w:p>
    <w:p>
      <w:pPr>
        <w:pStyle w:val="2"/>
        <w:spacing w:after="0" w:line="560" w:lineRule="exact"/>
        <w:jc w:val="center"/>
        <w:textAlignment w:val="baseline"/>
        <w:rPr>
          <w:rFonts w:ascii="方正小标宋_GBK" w:hAnsi="方正小标宋_GBK" w:eastAsia="方正小标宋_GBK"/>
          <w:sz w:val="44"/>
          <w:szCs w:val="44"/>
          <w:highlight w:val="none"/>
        </w:rPr>
      </w:pPr>
      <w:r>
        <w:rPr>
          <w:rFonts w:hint="eastAsia" w:ascii="方正小标宋_GBK" w:hAnsi="方正小标宋_GBK" w:eastAsia="方正小标宋_GBK" w:cs="方正小标宋_GBK"/>
          <w:sz w:val="44"/>
          <w:szCs w:val="44"/>
          <w:highlight w:val="none"/>
        </w:rPr>
        <w:t>国民经济和社会发展计划指标</w:t>
      </w:r>
      <w:r>
        <w:rPr>
          <w:rFonts w:ascii="方正小标宋_GBK" w:hAnsi="方正小标宋_GBK" w:eastAsia="方正小标宋_GBK" w:cs="方正小标宋_GBK"/>
          <w:sz w:val="44"/>
          <w:szCs w:val="44"/>
          <w:highlight w:val="none"/>
        </w:rPr>
        <w:t>2021</w:t>
      </w:r>
      <w:r>
        <w:rPr>
          <w:rFonts w:hint="eastAsia" w:ascii="方正小标宋_GBK" w:hAnsi="方正小标宋_GBK" w:eastAsia="方正小标宋_GBK" w:cs="方正小标宋_GBK"/>
          <w:sz w:val="44"/>
          <w:szCs w:val="44"/>
          <w:highlight w:val="none"/>
        </w:rPr>
        <w:t>年完成</w:t>
      </w:r>
    </w:p>
    <w:p>
      <w:pPr>
        <w:pStyle w:val="2"/>
        <w:spacing w:after="0" w:line="560" w:lineRule="exact"/>
        <w:jc w:val="center"/>
        <w:textAlignment w:val="baseline"/>
        <w:rPr>
          <w:rFonts w:ascii="方正小标宋_GBK" w:hAnsi="方正小标宋_GBK" w:eastAsia="方正小标宋_GBK"/>
          <w:sz w:val="44"/>
          <w:szCs w:val="44"/>
          <w:highlight w:val="none"/>
        </w:rPr>
      </w:pPr>
      <w:r>
        <w:rPr>
          <w:rFonts w:hint="eastAsia" w:ascii="方正小标宋_GBK" w:hAnsi="方正小标宋_GBK" w:eastAsia="方正小标宋_GBK" w:cs="方正小标宋_GBK"/>
          <w:sz w:val="44"/>
          <w:szCs w:val="44"/>
          <w:highlight w:val="none"/>
        </w:rPr>
        <w:t>情况及</w:t>
      </w:r>
      <w:r>
        <w:rPr>
          <w:rFonts w:ascii="方正小标宋_GBK" w:hAnsi="方正小标宋_GBK" w:eastAsia="方正小标宋_GBK" w:cs="方正小标宋_GBK"/>
          <w:sz w:val="44"/>
          <w:szCs w:val="44"/>
          <w:highlight w:val="none"/>
        </w:rPr>
        <w:t>2022</w:t>
      </w:r>
      <w:r>
        <w:rPr>
          <w:rFonts w:hint="eastAsia" w:ascii="方正小标宋_GBK" w:hAnsi="方正小标宋_GBK" w:eastAsia="方正小标宋_GBK" w:cs="方正小标宋_GBK"/>
          <w:sz w:val="44"/>
          <w:szCs w:val="44"/>
          <w:highlight w:val="none"/>
        </w:rPr>
        <w:t>年计划目标</w:t>
      </w:r>
    </w:p>
    <w:p>
      <w:pPr>
        <w:pStyle w:val="3"/>
        <w:textAlignment w:val="baseline"/>
        <w:rPr>
          <w:highlight w:val="none"/>
        </w:rPr>
      </w:pP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gridCol w:w="1440"/>
        <w:gridCol w:w="162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608" w:type="dxa"/>
            <w:vAlign w:val="center"/>
          </w:tcPr>
          <w:p>
            <w:pPr>
              <w:pStyle w:val="3"/>
              <w:jc w:val="center"/>
              <w:textAlignment w:val="baseline"/>
              <w:rPr>
                <w:rFonts w:ascii="方正黑体_GBK" w:eastAsia="方正黑体_GBK" w:cs="Calibri"/>
                <w:highlight w:val="none"/>
              </w:rPr>
            </w:pPr>
            <w:r>
              <w:rPr>
                <w:rFonts w:hint="eastAsia" w:ascii="方正黑体_GBK" w:eastAsia="方正黑体_GBK" w:cs="方正仿宋_GBK"/>
                <w:kern w:val="0"/>
                <w:highlight w:val="none"/>
              </w:rPr>
              <w:t>指标名称</w:t>
            </w:r>
          </w:p>
        </w:tc>
        <w:tc>
          <w:tcPr>
            <w:tcW w:w="1440" w:type="dxa"/>
            <w:vAlign w:val="center"/>
          </w:tcPr>
          <w:p>
            <w:pPr>
              <w:snapToGrid w:val="0"/>
              <w:spacing w:line="400" w:lineRule="exact"/>
              <w:jc w:val="center"/>
              <w:textAlignment w:val="baseline"/>
              <w:rPr>
                <w:rFonts w:ascii="方正黑体_GBK" w:hAnsi="方正小标宋_GBK" w:eastAsia="方正黑体_GBK" w:cs="Calibri"/>
                <w:color w:val="000000"/>
                <w:kern w:val="0"/>
                <w:sz w:val="24"/>
                <w:szCs w:val="24"/>
                <w:highlight w:val="none"/>
              </w:rPr>
            </w:pPr>
            <w:r>
              <w:rPr>
                <w:rFonts w:ascii="方正黑体_GBK" w:hAnsi="方正小标宋_GBK" w:eastAsia="方正黑体_GBK" w:cs="方正黑体_GBK"/>
                <w:color w:val="000000"/>
                <w:kern w:val="0"/>
                <w:sz w:val="24"/>
                <w:szCs w:val="24"/>
                <w:highlight w:val="none"/>
              </w:rPr>
              <w:t>2021</w:t>
            </w:r>
            <w:r>
              <w:rPr>
                <w:rFonts w:hint="eastAsia" w:ascii="方正黑体_GBK" w:hAnsi="方正小标宋_GBK" w:eastAsia="方正黑体_GBK" w:cs="方正黑体_GBK"/>
                <w:color w:val="000000"/>
                <w:kern w:val="0"/>
                <w:sz w:val="24"/>
                <w:szCs w:val="24"/>
                <w:highlight w:val="none"/>
              </w:rPr>
              <w:t>年</w:t>
            </w:r>
          </w:p>
          <w:p>
            <w:pPr>
              <w:snapToGrid w:val="0"/>
              <w:spacing w:line="400" w:lineRule="exact"/>
              <w:jc w:val="center"/>
              <w:textAlignment w:val="baseline"/>
              <w:rPr>
                <w:rFonts w:ascii="方正黑体_GBK" w:hAnsi="方正小标宋_GBK" w:eastAsia="方正黑体_GBK" w:cs="Calibri"/>
                <w:color w:val="000000"/>
                <w:kern w:val="0"/>
                <w:sz w:val="24"/>
                <w:szCs w:val="24"/>
                <w:highlight w:val="none"/>
              </w:rPr>
            </w:pPr>
            <w:r>
              <w:rPr>
                <w:rFonts w:hint="eastAsia" w:ascii="方正黑体_GBK" w:hAnsi="方正小标宋_GBK" w:eastAsia="方正黑体_GBK" w:cs="方正黑体_GBK"/>
                <w:color w:val="000000"/>
                <w:kern w:val="0"/>
                <w:sz w:val="24"/>
                <w:szCs w:val="24"/>
                <w:highlight w:val="none"/>
              </w:rPr>
              <w:t>计划目标</w:t>
            </w:r>
          </w:p>
        </w:tc>
        <w:tc>
          <w:tcPr>
            <w:tcW w:w="1620" w:type="dxa"/>
            <w:vAlign w:val="center"/>
          </w:tcPr>
          <w:p>
            <w:pPr>
              <w:snapToGrid w:val="0"/>
              <w:spacing w:line="400" w:lineRule="exact"/>
              <w:jc w:val="center"/>
              <w:textAlignment w:val="baseline"/>
              <w:rPr>
                <w:rFonts w:ascii="方正黑体_GBK" w:hAnsi="方正小标宋_GBK" w:eastAsia="方正黑体_GBK" w:cs="Calibri"/>
                <w:color w:val="000000"/>
                <w:kern w:val="0"/>
                <w:sz w:val="24"/>
                <w:szCs w:val="24"/>
                <w:highlight w:val="none"/>
              </w:rPr>
            </w:pPr>
            <w:r>
              <w:rPr>
                <w:rFonts w:ascii="方正黑体_GBK" w:hAnsi="方正小标宋_GBK" w:eastAsia="方正黑体_GBK" w:cs="方正黑体_GBK"/>
                <w:color w:val="000000"/>
                <w:kern w:val="0"/>
                <w:sz w:val="24"/>
                <w:szCs w:val="24"/>
                <w:highlight w:val="none"/>
              </w:rPr>
              <w:t>2021</w:t>
            </w:r>
            <w:r>
              <w:rPr>
                <w:rFonts w:hint="eastAsia" w:ascii="方正黑体_GBK" w:hAnsi="方正小标宋_GBK" w:eastAsia="方正黑体_GBK" w:cs="方正黑体_GBK"/>
                <w:color w:val="000000"/>
                <w:kern w:val="0"/>
                <w:sz w:val="24"/>
                <w:szCs w:val="24"/>
                <w:highlight w:val="none"/>
              </w:rPr>
              <w:t>年预计完成情况</w:t>
            </w:r>
          </w:p>
        </w:tc>
        <w:tc>
          <w:tcPr>
            <w:tcW w:w="1393" w:type="dxa"/>
            <w:vAlign w:val="center"/>
          </w:tcPr>
          <w:p>
            <w:pPr>
              <w:snapToGrid w:val="0"/>
              <w:spacing w:line="400" w:lineRule="exact"/>
              <w:jc w:val="center"/>
              <w:textAlignment w:val="baseline"/>
              <w:rPr>
                <w:rFonts w:ascii="方正黑体_GBK" w:hAnsi="方正小标宋_GBK" w:eastAsia="方正黑体_GBK" w:cs="Calibri"/>
                <w:color w:val="000000"/>
                <w:kern w:val="0"/>
                <w:sz w:val="24"/>
                <w:szCs w:val="24"/>
                <w:highlight w:val="none"/>
              </w:rPr>
            </w:pPr>
            <w:r>
              <w:rPr>
                <w:rFonts w:ascii="方正黑体_GBK" w:hAnsi="方正小标宋_GBK" w:eastAsia="方正黑体_GBK" w:cs="方正黑体_GBK"/>
                <w:color w:val="000000"/>
                <w:kern w:val="0"/>
                <w:sz w:val="24"/>
                <w:szCs w:val="24"/>
                <w:highlight w:val="none"/>
              </w:rPr>
              <w:t>2022</w:t>
            </w:r>
            <w:r>
              <w:rPr>
                <w:rFonts w:hint="eastAsia" w:ascii="方正黑体_GBK" w:hAnsi="方正小标宋_GBK" w:eastAsia="方正黑体_GBK" w:cs="方正黑体_GBK"/>
                <w:color w:val="000000"/>
                <w:kern w:val="0"/>
                <w:sz w:val="24"/>
                <w:szCs w:val="24"/>
                <w:highlight w:val="none"/>
              </w:rPr>
              <w:t>年</w:t>
            </w:r>
          </w:p>
          <w:p>
            <w:pPr>
              <w:snapToGrid w:val="0"/>
              <w:spacing w:line="400" w:lineRule="exact"/>
              <w:jc w:val="center"/>
              <w:textAlignment w:val="baseline"/>
              <w:rPr>
                <w:rFonts w:ascii="方正黑体_GBK" w:hAnsi="方正小标宋_GBK" w:eastAsia="方正黑体_GBK" w:cs="Calibri"/>
                <w:color w:val="000000"/>
                <w:kern w:val="0"/>
                <w:sz w:val="24"/>
                <w:szCs w:val="24"/>
                <w:highlight w:val="none"/>
              </w:rPr>
            </w:pPr>
            <w:r>
              <w:rPr>
                <w:rFonts w:hint="eastAsia" w:ascii="方正黑体_GBK" w:hAnsi="方正小标宋_GBK" w:eastAsia="方正黑体_GBK" w:cs="方正黑体_GBK"/>
                <w:color w:val="000000"/>
                <w:kern w:val="0"/>
                <w:sz w:val="24"/>
                <w:szCs w:val="24"/>
                <w:highlight w:val="none"/>
              </w:rPr>
              <w:t>计划目标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pStyle w:val="3"/>
              <w:textAlignment w:val="baseline"/>
              <w:rPr>
                <w:rFonts w:ascii="方正仿宋_GBK" w:cs="Calibri"/>
                <w:highlight w:val="none"/>
              </w:rPr>
            </w:pPr>
            <w:r>
              <w:rPr>
                <w:rFonts w:hint="eastAsia" w:ascii="方正仿宋_GBK" w:cs="方正仿宋_GBK"/>
                <w:kern w:val="0"/>
                <w:highlight w:val="none"/>
              </w:rPr>
              <w:t>一、主要经济指标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1.地区生产总值增速（%）</w:t>
            </w:r>
          </w:p>
        </w:tc>
        <w:tc>
          <w:tcPr>
            <w:tcW w:w="144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6左右</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2.规上工业增加值增速（%）</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8.2</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8.2</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ind w:firstLine="166" w:firstLineChars="70"/>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规上工业产值增速（%）</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11.2</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12.6</w:t>
            </w:r>
          </w:p>
        </w:tc>
        <w:tc>
          <w:tcPr>
            <w:tcW w:w="1393" w:type="dxa"/>
            <w:vAlign w:val="center"/>
          </w:tcPr>
          <w:p>
            <w:pPr>
              <w:snapToGrid w:val="0"/>
              <w:spacing w:line="440" w:lineRule="exact"/>
              <w:jc w:val="center"/>
              <w:textAlignment w:val="baseline"/>
              <w:rPr>
                <w:rFonts w:ascii="方正仿宋_GBK" w:hAnsi="方正小标宋_GBK" w:cs="方正仿宋_GBK"/>
                <w:color w:val="000000"/>
                <w:kern w:val="0"/>
                <w:sz w:val="24"/>
                <w:szCs w:val="24"/>
                <w:highlight w:val="none"/>
              </w:rPr>
            </w:pPr>
            <w:r>
              <w:rPr>
                <w:rFonts w:hint="eastAsia" w:ascii="方正仿宋_GBK" w:hAnsi="方正小标宋_GBK" w:cs="方正仿宋_GBK"/>
                <w:color w:val="000000"/>
                <w:kern w:val="0"/>
                <w:sz w:val="24"/>
                <w:szCs w:val="24"/>
                <w:highlight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3.</w:t>
            </w:r>
            <w:r>
              <w:rPr>
                <w:rFonts w:hint="eastAsia" w:ascii="方正仿宋_GBK" w:hAnsi="仿宋" w:cs="方正仿宋_GBK"/>
                <w:color w:val="000000"/>
                <w:spacing w:val="-6"/>
                <w:kern w:val="0"/>
                <w:sz w:val="24"/>
                <w:szCs w:val="24"/>
                <w:highlight w:val="none"/>
              </w:rPr>
              <w:t>旅游业增加值现价增速及占GDP比重（%）</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12.0/6.3</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7/5</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4.全社会固定资产投资增速（%）</w:t>
            </w:r>
          </w:p>
        </w:tc>
        <w:tc>
          <w:tcPr>
            <w:tcW w:w="144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8左右</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-18左右</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5.社会消费品零售总额增速（%）</w:t>
            </w:r>
          </w:p>
        </w:tc>
        <w:tc>
          <w:tcPr>
            <w:tcW w:w="144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8左右</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6.公共财政预算收入同口径同比增速（%）</w:t>
            </w:r>
          </w:p>
        </w:tc>
        <w:tc>
          <w:tcPr>
            <w:tcW w:w="144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3左右</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5.6</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spacing w:val="-4"/>
                <w:kern w:val="22"/>
                <w:sz w:val="24"/>
                <w:szCs w:val="24"/>
                <w:highlight w:val="none"/>
              </w:rPr>
            </w:pPr>
            <w:r>
              <w:rPr>
                <w:rFonts w:hint="eastAsia" w:ascii="方正仿宋_GBK" w:hAnsi="仿宋" w:cs="方正仿宋_GBK"/>
                <w:color w:val="000000"/>
                <w:kern w:val="0"/>
                <w:sz w:val="24"/>
                <w:szCs w:val="24"/>
                <w:highlight w:val="none"/>
              </w:rPr>
              <w:t>7.</w:t>
            </w:r>
            <w:r>
              <w:rPr>
                <w:rFonts w:hint="eastAsia" w:ascii="方正仿宋_GBK" w:hAnsi="仿宋" w:cs="方正仿宋_GBK"/>
                <w:color w:val="000000"/>
                <w:spacing w:val="-4"/>
                <w:kern w:val="22"/>
                <w:sz w:val="24"/>
                <w:szCs w:val="24"/>
                <w:highlight w:val="none"/>
              </w:rPr>
              <w:t>全体居民人均可支配收入绝对值和增速（元/%）</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27397/8</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27346/8</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29533/8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8.康养产业增加值占GDP比重（%）</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51</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51</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9.民营经济增加值增速及占GDP比重（%）</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6/56.7</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6/56.7</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10.文化产业增加值占GDP比重（%）</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2</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2</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11.进出口总额及增速（亿美元/%）</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3.6/0.3</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5/39.37</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4"/>
            <w:vAlign w:val="center"/>
          </w:tcPr>
          <w:p>
            <w:pPr>
              <w:snapToGrid w:val="0"/>
              <w:spacing w:line="440" w:lineRule="exact"/>
              <w:textAlignment w:val="baseline"/>
              <w:rPr>
                <w:rFonts w:ascii="方正仿宋_GBK" w:hAnsi="仿宋" w:cs="Calibri"/>
                <w:color w:val="000000"/>
                <w:kern w:val="0"/>
                <w:sz w:val="24"/>
                <w:szCs w:val="24"/>
                <w:highlight w:val="none"/>
              </w:rPr>
            </w:pPr>
            <w:r>
              <w:rPr>
                <w:rFonts w:hint="eastAsia" w:ascii="方正仿宋_GBK" w:hAnsi="方正黑体_GBK" w:cs="方正仿宋_GBK"/>
                <w:color w:val="000000"/>
                <w:kern w:val="0"/>
                <w:sz w:val="24"/>
                <w:szCs w:val="24"/>
                <w:highlight w:val="none"/>
              </w:rPr>
              <w:t>二、主要社会指标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1.城乡生活垃圾集中处理率（%）</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2.城镇生活污水集中处理率（%）</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96</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96</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3.水功能区水质达标率（%）</w:t>
            </w:r>
          </w:p>
        </w:tc>
        <w:tc>
          <w:tcPr>
            <w:tcW w:w="1440" w:type="dxa"/>
            <w:vAlign w:val="center"/>
          </w:tcPr>
          <w:p>
            <w:pPr>
              <w:snapToGrid w:val="0"/>
              <w:spacing w:line="36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不低于市上下达目标（88%）</w:t>
            </w:r>
          </w:p>
        </w:tc>
        <w:tc>
          <w:tcPr>
            <w:tcW w:w="1620" w:type="dxa"/>
            <w:vAlign w:val="center"/>
          </w:tcPr>
          <w:p>
            <w:pPr>
              <w:snapToGrid w:val="0"/>
              <w:spacing w:line="36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90</w:t>
            </w:r>
          </w:p>
        </w:tc>
        <w:tc>
          <w:tcPr>
            <w:tcW w:w="1393" w:type="dxa"/>
            <w:vAlign w:val="center"/>
          </w:tcPr>
          <w:p>
            <w:pPr>
              <w:snapToGrid w:val="0"/>
              <w:spacing w:line="36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不低于市上下达目标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4.地质灾害防治达标率（%）</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5.城市人均绿地面积保持率（%）</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6.万元地区生产总值能耗降低目标（降低到吨标煤/万元）</w:t>
            </w:r>
          </w:p>
        </w:tc>
        <w:tc>
          <w:tcPr>
            <w:tcW w:w="144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不低于市上下达目标（0.437吨标煤/万元）</w:t>
            </w:r>
          </w:p>
        </w:tc>
        <w:tc>
          <w:tcPr>
            <w:tcW w:w="162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完成市上下达目标</w:t>
            </w:r>
          </w:p>
        </w:tc>
        <w:tc>
          <w:tcPr>
            <w:tcW w:w="1393"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完成市上下达目标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7.万人发明专利拥有量（件）</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3.5</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3.7</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8.新增民营经济市场主体（个）</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4500</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4500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9.R&amp;D投入占比（%）</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0.9</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0.9</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不低于0.9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10.</w:t>
            </w:r>
            <w:r>
              <w:rPr>
                <w:rFonts w:hint="eastAsia" w:ascii="方正仿宋_GBK" w:hAnsi="仿宋" w:cs="方正仿宋_GBK"/>
                <w:color w:val="000000"/>
                <w:kern w:val="0"/>
                <w:sz w:val="24"/>
                <w:szCs w:val="24"/>
                <w:highlight w:val="none"/>
                <w:lang w:eastAsia="zh-CN"/>
              </w:rPr>
              <w:t>普惠性幼儿园覆盖率</w:t>
            </w:r>
            <w:r>
              <w:rPr>
                <w:rFonts w:hint="eastAsia" w:ascii="方正仿宋_GBK" w:hAnsi="仿宋" w:cs="方正仿宋_GBK"/>
                <w:color w:val="000000"/>
                <w:kern w:val="0"/>
                <w:sz w:val="24"/>
                <w:szCs w:val="24"/>
                <w:highlight w:val="none"/>
              </w:rPr>
              <w:t>（%）</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88</w:t>
            </w:r>
          </w:p>
        </w:tc>
        <w:tc>
          <w:tcPr>
            <w:tcW w:w="1620" w:type="dxa"/>
            <w:vAlign w:val="center"/>
          </w:tcPr>
          <w:p>
            <w:pPr>
              <w:snapToGrid w:val="0"/>
              <w:spacing w:line="440" w:lineRule="exact"/>
              <w:jc w:val="center"/>
              <w:textAlignment w:val="baseline"/>
              <w:rPr>
                <w:rFonts w:hint="default" w:ascii="方正仿宋_GBK" w:hAnsi="仿宋" w:eastAsia="方正仿宋_GBK" w:cs="方正仿宋_GBK"/>
                <w:color w:val="000000"/>
                <w:kern w:val="0"/>
                <w:sz w:val="24"/>
                <w:szCs w:val="24"/>
                <w:highlight w:val="none"/>
                <w:lang w:val="en-US" w:eastAsia="zh-CN"/>
              </w:rPr>
            </w:pPr>
            <w:r>
              <w:rPr>
                <w:rFonts w:hint="eastAsia" w:ascii="方正仿宋_GBK" w:hAnsi="仿宋" w:cs="方正仿宋_GBK"/>
                <w:color w:val="000000"/>
                <w:kern w:val="0"/>
                <w:sz w:val="24"/>
                <w:szCs w:val="24"/>
                <w:highlight w:val="none"/>
              </w:rPr>
              <w:t>90.</w:t>
            </w:r>
            <w:r>
              <w:rPr>
                <w:rFonts w:hint="eastAsia" w:ascii="方正仿宋_GBK" w:hAnsi="仿宋" w:cs="方正仿宋_GBK"/>
                <w:color w:val="000000"/>
                <w:kern w:val="0"/>
                <w:sz w:val="24"/>
                <w:szCs w:val="24"/>
                <w:highlight w:val="none"/>
                <w:lang w:val="en-US" w:eastAsia="zh-CN"/>
              </w:rPr>
              <w:t>58</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11.政府公共体育设施面积开放率（%）</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12.森林覆盖率（%）</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60.1</w:t>
            </w:r>
          </w:p>
        </w:tc>
        <w:tc>
          <w:tcPr>
            <w:tcW w:w="1620" w:type="dxa"/>
            <w:vAlign w:val="center"/>
          </w:tcPr>
          <w:p>
            <w:pPr>
              <w:snapToGrid w:val="0"/>
              <w:spacing w:line="440" w:lineRule="exact"/>
              <w:jc w:val="center"/>
              <w:textAlignment w:val="baseline"/>
              <w:rPr>
                <w:rFonts w:hint="default" w:ascii="方正仿宋_GBK" w:hAnsi="仿宋" w:eastAsia="方正仿宋_GBK" w:cs="方正仿宋_GBK"/>
                <w:color w:val="000000"/>
                <w:kern w:val="0"/>
                <w:sz w:val="24"/>
                <w:szCs w:val="24"/>
                <w:highlight w:val="none"/>
                <w:lang w:val="en-US" w:eastAsia="zh-CN"/>
              </w:rPr>
            </w:pPr>
            <w:bookmarkStart w:id="0" w:name="OLE_LINK1"/>
            <w:r>
              <w:rPr>
                <w:rFonts w:hint="eastAsia" w:ascii="方正仿宋_GBK" w:hAnsi="仿宋" w:cs="方正仿宋_GBK"/>
                <w:color w:val="000000"/>
                <w:kern w:val="0"/>
                <w:sz w:val="24"/>
                <w:szCs w:val="24"/>
                <w:highlight w:val="none"/>
              </w:rPr>
              <w:t>62.</w:t>
            </w:r>
            <w:bookmarkEnd w:id="0"/>
            <w:r>
              <w:rPr>
                <w:rFonts w:hint="eastAsia" w:ascii="方正仿宋_GBK" w:hAnsi="仿宋" w:cs="方正仿宋_GBK"/>
                <w:color w:val="000000"/>
                <w:kern w:val="0"/>
                <w:sz w:val="24"/>
                <w:szCs w:val="24"/>
                <w:highlight w:val="none"/>
                <w:lang w:val="en-US" w:eastAsia="zh-CN"/>
              </w:rPr>
              <w:t>56</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13.空气质量优良天数（天）</w:t>
            </w:r>
          </w:p>
        </w:tc>
        <w:tc>
          <w:tcPr>
            <w:tcW w:w="1440" w:type="dxa"/>
            <w:vAlign w:val="center"/>
          </w:tcPr>
          <w:p>
            <w:pPr>
              <w:snapToGrid w:val="0"/>
              <w:spacing w:line="36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不低于市上下达目标（349天）</w:t>
            </w:r>
          </w:p>
        </w:tc>
        <w:tc>
          <w:tcPr>
            <w:tcW w:w="1620" w:type="dxa"/>
            <w:vAlign w:val="center"/>
          </w:tcPr>
          <w:p>
            <w:pPr>
              <w:snapToGrid w:val="0"/>
              <w:spacing w:line="36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349</w:t>
            </w:r>
          </w:p>
        </w:tc>
        <w:tc>
          <w:tcPr>
            <w:tcW w:w="1393" w:type="dxa"/>
            <w:vAlign w:val="center"/>
          </w:tcPr>
          <w:p>
            <w:pPr>
              <w:snapToGrid w:val="0"/>
              <w:spacing w:line="36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不低于市上下达目标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14.新增城镇就业人员（人）</w:t>
            </w:r>
          </w:p>
        </w:tc>
        <w:tc>
          <w:tcPr>
            <w:tcW w:w="144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4000</w:t>
            </w:r>
          </w:p>
        </w:tc>
        <w:tc>
          <w:tcPr>
            <w:tcW w:w="1620"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4000</w:t>
            </w:r>
          </w:p>
        </w:tc>
        <w:tc>
          <w:tcPr>
            <w:tcW w:w="1393" w:type="dxa"/>
            <w:vAlign w:val="center"/>
          </w:tcPr>
          <w:p>
            <w:pPr>
              <w:snapToGrid w:val="0"/>
              <w:spacing w:line="440" w:lineRule="exact"/>
              <w:jc w:val="center"/>
              <w:textAlignment w:val="baseline"/>
              <w:rPr>
                <w:rFonts w:ascii="方正仿宋_GBK" w:hAnsi="仿宋" w:cs="方正仿宋_GBK"/>
                <w:color w:val="000000"/>
                <w:kern w:val="0"/>
                <w:sz w:val="24"/>
                <w:szCs w:val="24"/>
                <w:highlight w:val="none"/>
              </w:rPr>
            </w:pPr>
            <w:r>
              <w:rPr>
                <w:rFonts w:hint="eastAsia" w:ascii="方正仿宋_GBK" w:hAnsi="仿宋" w:cs="方正仿宋_GBK"/>
                <w:color w:val="000000"/>
                <w:kern w:val="0"/>
                <w:sz w:val="24"/>
                <w:szCs w:val="24"/>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napToGrid w:val="0"/>
              <w:spacing w:line="440" w:lineRule="exact"/>
              <w:jc w:val="left"/>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15.公众对生态环境质量满意程度（%）</w:t>
            </w:r>
          </w:p>
        </w:tc>
        <w:tc>
          <w:tcPr>
            <w:tcW w:w="144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不低于市上下达目标</w:t>
            </w:r>
          </w:p>
        </w:tc>
        <w:tc>
          <w:tcPr>
            <w:tcW w:w="1620"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不低于全市平均水平</w:t>
            </w:r>
          </w:p>
        </w:tc>
        <w:tc>
          <w:tcPr>
            <w:tcW w:w="1393" w:type="dxa"/>
            <w:vAlign w:val="center"/>
          </w:tcPr>
          <w:p>
            <w:pPr>
              <w:snapToGrid w:val="0"/>
              <w:spacing w:line="440" w:lineRule="exact"/>
              <w:jc w:val="center"/>
              <w:textAlignment w:val="baseline"/>
              <w:rPr>
                <w:rFonts w:ascii="方正仿宋_GBK" w:hAnsi="仿宋" w:cs="Calibri"/>
                <w:color w:val="000000"/>
                <w:kern w:val="0"/>
                <w:sz w:val="24"/>
                <w:szCs w:val="24"/>
                <w:highlight w:val="none"/>
              </w:rPr>
            </w:pPr>
            <w:r>
              <w:rPr>
                <w:rFonts w:hint="eastAsia" w:ascii="方正仿宋_GBK" w:hAnsi="仿宋" w:cs="方正仿宋_GBK"/>
                <w:color w:val="000000"/>
                <w:kern w:val="0"/>
                <w:sz w:val="24"/>
                <w:szCs w:val="24"/>
                <w:highlight w:val="none"/>
              </w:rPr>
              <w:t>不低于全市平均水平</w:t>
            </w:r>
          </w:p>
        </w:tc>
      </w:tr>
    </w:tbl>
    <w:p>
      <w:pPr>
        <w:snapToGrid w:val="0"/>
        <w:spacing w:line="560" w:lineRule="exact"/>
        <w:ind w:firstLine="632" w:firstLineChars="200"/>
        <w:rPr>
          <w:highlight w:val="none"/>
        </w:rPr>
      </w:pPr>
    </w:p>
    <w:sectPr>
      <w:footerReference r:id="rId6" w:type="default"/>
      <w:footerReference r:id="rId7" w:type="even"/>
      <w:pgSz w:w="11907" w:h="16840"/>
      <w:pgMar w:top="2098" w:right="1531" w:bottom="1985" w:left="1531" w:header="851" w:footer="1474" w:gutter="0"/>
      <w:pgNumType w:fmt="numberInDash" w:start="17"/>
      <w:cols w:space="425" w:num="1"/>
      <w:docGrid w:type="linesAndChars" w:linePitch="56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1288" w:hanging="1288"/>
      <w:jc w:val="right"/>
      <w:rPr>
        <w:rFonts w:ascii="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290" w:leftChars="88" w:hanging="1008" w:hangingChars="360"/>
      <w:rPr>
        <w:rFonts w:ascii="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1288" w:hanging="1288"/>
      <w:jc w:val="right"/>
      <w:rPr>
        <w:rFonts w:ascii="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- 7 -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290" w:leftChars="88" w:hanging="1008" w:hangingChars="360"/>
      <w:rPr>
        <w:rFonts w:ascii="方正仿宋_GBK"/>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B73A2"/>
    <w:rsid w:val="000069E7"/>
    <w:rsid w:val="000236E4"/>
    <w:rsid w:val="000426F5"/>
    <w:rsid w:val="0005119F"/>
    <w:rsid w:val="000C2A1A"/>
    <w:rsid w:val="000D1D6F"/>
    <w:rsid w:val="000D713D"/>
    <w:rsid w:val="00196A54"/>
    <w:rsid w:val="002705C7"/>
    <w:rsid w:val="002A32AB"/>
    <w:rsid w:val="002B536C"/>
    <w:rsid w:val="002D0E86"/>
    <w:rsid w:val="002E5039"/>
    <w:rsid w:val="00336F18"/>
    <w:rsid w:val="0039145A"/>
    <w:rsid w:val="003D2EF1"/>
    <w:rsid w:val="00401948"/>
    <w:rsid w:val="0041587D"/>
    <w:rsid w:val="00482FAE"/>
    <w:rsid w:val="00491F18"/>
    <w:rsid w:val="004924FA"/>
    <w:rsid w:val="00536B0C"/>
    <w:rsid w:val="005B49C7"/>
    <w:rsid w:val="005E1221"/>
    <w:rsid w:val="005F0400"/>
    <w:rsid w:val="005F1E82"/>
    <w:rsid w:val="006157A5"/>
    <w:rsid w:val="00660F26"/>
    <w:rsid w:val="00693064"/>
    <w:rsid w:val="006B7F17"/>
    <w:rsid w:val="006D6BC7"/>
    <w:rsid w:val="006F0C64"/>
    <w:rsid w:val="007672A3"/>
    <w:rsid w:val="007849AB"/>
    <w:rsid w:val="00792A5F"/>
    <w:rsid w:val="007D3428"/>
    <w:rsid w:val="007E5508"/>
    <w:rsid w:val="007E554B"/>
    <w:rsid w:val="007E5E92"/>
    <w:rsid w:val="00842BC9"/>
    <w:rsid w:val="0086523A"/>
    <w:rsid w:val="008B68C4"/>
    <w:rsid w:val="0098118D"/>
    <w:rsid w:val="00985E31"/>
    <w:rsid w:val="009B348A"/>
    <w:rsid w:val="009D6344"/>
    <w:rsid w:val="009E0B7B"/>
    <w:rsid w:val="00A628D2"/>
    <w:rsid w:val="00B20D4F"/>
    <w:rsid w:val="00B36BD9"/>
    <w:rsid w:val="00B5663B"/>
    <w:rsid w:val="00BC5DCA"/>
    <w:rsid w:val="00BF2F87"/>
    <w:rsid w:val="00C81DF6"/>
    <w:rsid w:val="00CB1360"/>
    <w:rsid w:val="00CB2B9D"/>
    <w:rsid w:val="00CD6DA3"/>
    <w:rsid w:val="00D10051"/>
    <w:rsid w:val="00D30B7E"/>
    <w:rsid w:val="00D52AAC"/>
    <w:rsid w:val="00D57797"/>
    <w:rsid w:val="00DB56BF"/>
    <w:rsid w:val="00E04BC2"/>
    <w:rsid w:val="00E81040"/>
    <w:rsid w:val="00EA358F"/>
    <w:rsid w:val="00EC7609"/>
    <w:rsid w:val="00EE5452"/>
    <w:rsid w:val="00F74DE3"/>
    <w:rsid w:val="03A64228"/>
    <w:rsid w:val="03DC4ECD"/>
    <w:rsid w:val="042F4508"/>
    <w:rsid w:val="08D538D0"/>
    <w:rsid w:val="09224B10"/>
    <w:rsid w:val="0CC021A1"/>
    <w:rsid w:val="0CEB73A2"/>
    <w:rsid w:val="0D8B0A01"/>
    <w:rsid w:val="0F276507"/>
    <w:rsid w:val="120B7D68"/>
    <w:rsid w:val="143F2545"/>
    <w:rsid w:val="148B75D8"/>
    <w:rsid w:val="1663076D"/>
    <w:rsid w:val="17C074F9"/>
    <w:rsid w:val="18A42B7E"/>
    <w:rsid w:val="1EDE2EED"/>
    <w:rsid w:val="20D10B80"/>
    <w:rsid w:val="233D5EA2"/>
    <w:rsid w:val="23627FFE"/>
    <w:rsid w:val="24ED45D6"/>
    <w:rsid w:val="263A491A"/>
    <w:rsid w:val="29CE1F49"/>
    <w:rsid w:val="2B09594A"/>
    <w:rsid w:val="2B9E76FA"/>
    <w:rsid w:val="2BF03A0E"/>
    <w:rsid w:val="2C566FB4"/>
    <w:rsid w:val="2D371BB4"/>
    <w:rsid w:val="310E5321"/>
    <w:rsid w:val="37A83DDA"/>
    <w:rsid w:val="37DD15AA"/>
    <w:rsid w:val="393D0552"/>
    <w:rsid w:val="3F76125B"/>
    <w:rsid w:val="432F13E8"/>
    <w:rsid w:val="46553D59"/>
    <w:rsid w:val="48AC2FFE"/>
    <w:rsid w:val="4A372D9B"/>
    <w:rsid w:val="4E257ADB"/>
    <w:rsid w:val="4E6F37F6"/>
    <w:rsid w:val="51495FEC"/>
    <w:rsid w:val="51A33324"/>
    <w:rsid w:val="536E4DD1"/>
    <w:rsid w:val="569300C1"/>
    <w:rsid w:val="58830CE7"/>
    <w:rsid w:val="59FB4ABA"/>
    <w:rsid w:val="5A117165"/>
    <w:rsid w:val="5A236E98"/>
    <w:rsid w:val="5A6516AD"/>
    <w:rsid w:val="5EEC1567"/>
    <w:rsid w:val="65136487"/>
    <w:rsid w:val="66036BFB"/>
    <w:rsid w:val="68F642E6"/>
    <w:rsid w:val="74E67714"/>
    <w:rsid w:val="75B82090"/>
    <w:rsid w:val="793A002E"/>
    <w:rsid w:val="7ABB6F4D"/>
    <w:rsid w:val="7B163699"/>
    <w:rsid w:val="7B426B3F"/>
    <w:rsid w:val="7E490D14"/>
    <w:rsid w:val="E77F9930"/>
    <w:rsid w:val="F7FFC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pacing w:after="120"/>
    </w:pPr>
    <w:rPr>
      <w:rFonts w:eastAsia="宋体"/>
      <w:sz w:val="21"/>
      <w:szCs w:val="24"/>
    </w:rPr>
  </w:style>
  <w:style w:type="paragraph" w:styleId="3">
    <w:name w:val="toc 5"/>
    <w:basedOn w:val="1"/>
    <w:next w:val="1"/>
    <w:qFormat/>
    <w:uiPriority w:val="99"/>
    <w:pPr>
      <w:spacing w:line="440" w:lineRule="exact"/>
    </w:pPr>
  </w:style>
  <w:style w:type="paragraph" w:styleId="4">
    <w:name w:val="Date"/>
    <w:basedOn w:val="1"/>
    <w:next w:val="1"/>
    <w:link w:val="14"/>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table" w:styleId="10">
    <w:name w:val="Table Grid"/>
    <w:basedOn w:val="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Times New Roman" w:hAnsi="Times New Roman" w:eastAsia="方正仿宋_GBK"/>
      <w:kern w:val="2"/>
      <w:sz w:val="18"/>
      <w:szCs w:val="18"/>
    </w:rPr>
  </w:style>
  <w:style w:type="character" w:customStyle="1" w:styleId="13">
    <w:name w:val="页脚 Char"/>
    <w:basedOn w:val="11"/>
    <w:link w:val="6"/>
    <w:qFormat/>
    <w:uiPriority w:val="99"/>
    <w:rPr>
      <w:rFonts w:ascii="Times New Roman" w:hAnsi="Times New Roman" w:eastAsia="方正仿宋_GBK"/>
      <w:kern w:val="2"/>
      <w:sz w:val="18"/>
      <w:szCs w:val="18"/>
    </w:rPr>
  </w:style>
  <w:style w:type="character" w:customStyle="1" w:styleId="14">
    <w:name w:val="日期 Char"/>
    <w:basedOn w:val="11"/>
    <w:link w:val="4"/>
    <w:qFormat/>
    <w:uiPriority w:val="0"/>
    <w:rPr>
      <w:rFonts w:ascii="Times New Roman" w:hAnsi="Times New Roman" w:eastAsia="方正仿宋_GBK"/>
      <w:kern w:val="2"/>
      <w:sz w:val="32"/>
      <w:szCs w:val="32"/>
    </w:rPr>
  </w:style>
  <w:style w:type="character" w:customStyle="1" w:styleId="15">
    <w:name w:val="_Style 1"/>
    <w:qFormat/>
    <w:uiPriority w:val="19"/>
    <w:rPr>
      <w:i/>
      <w:iCs/>
      <w:color w:val="808080"/>
    </w:rPr>
  </w:style>
  <w:style w:type="character" w:customStyle="1" w:styleId="16">
    <w:name w:val="正文文本 Char"/>
    <w:basedOn w:val="11"/>
    <w:link w:val="2"/>
    <w:qFormat/>
    <w:uiPriority w:val="0"/>
    <w:rPr>
      <w:rFonts w:ascii="Times New Roman" w:hAnsi="Times New Roman"/>
      <w:kern w:val="2"/>
      <w:sz w:val="21"/>
      <w:szCs w:val="24"/>
    </w:rPr>
  </w:style>
  <w:style w:type="character" w:customStyle="1" w:styleId="17">
    <w:name w:val="批注框文本 Char"/>
    <w:basedOn w:val="11"/>
    <w:link w:val="5"/>
    <w:qFormat/>
    <w:uiPriority w:val="0"/>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9490</Words>
  <Characters>10262</Characters>
  <Lines>10</Lines>
  <Paragraphs>25</Paragraphs>
  <TotalTime>0</TotalTime>
  <ScaleCrop>false</ScaleCrop>
  <LinksUpToDate>false</LinksUpToDate>
  <CharactersWithSpaces>10279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2021-12-23T11:09:00Z</dcterms:created>
  <dc:creator>HP</dc:creator>
  <cp:lastModifiedBy>观海同志</cp:lastModifiedBy>
  <cp:lastPrinted>2021-12-29T07:28:00Z</cp:lastPrinted>
  <dcterms:modified xsi:type="dcterms:W3CDTF">2022-09-08T06:33:04Z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07801728CB1444FE9FA9FD038CB51720</vt:lpwstr>
  </property>
</Properties>
</file>