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石柱土家族自治县中益乡产业发展服务中心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eastAsia" w:ascii="Times New Roman" w:hAnsi="Times New Roman" w:eastAsia="方正小标宋_GBK" w:cs="方正小标宋_GBK"/>
          <w:color w:val="auto"/>
          <w:sz w:val="44"/>
          <w:szCs w:val="44"/>
          <w:shd w:val="clear" w:color="auto" w:fill="FFFFFF"/>
        </w:rPr>
        <w:t>年度决算说明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Times New Roman" w:hAnsi="Times New Roman" w:eastAsia="黑体" w:cs="黑体"/>
          <w:color w:val="auto"/>
          <w:sz w:val="32"/>
          <w:szCs w:val="32"/>
          <w:shd w:val="clear" w:color="auto" w:fill="FFFFFF"/>
        </w:rPr>
      </w:pP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一、</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基本情况</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color w:val="auto"/>
          <w:sz w:val="32"/>
          <w:szCs w:val="32"/>
        </w:rPr>
      </w:pPr>
      <w:r>
        <w:rPr>
          <w:rStyle w:val="8"/>
          <w:rFonts w:ascii="Times New Roman" w:hAnsi="Times New Roman" w:eastAsia="楷体" w:cs="楷体"/>
          <w:color w:val="auto"/>
          <w:sz w:val="32"/>
          <w:szCs w:val="32"/>
          <w:shd w:val="clear" w:color="auto" w:fill="FFFFFF"/>
        </w:rPr>
        <w:t>（一）职能职责</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b w:val="0"/>
          <w:bCs w:val="0"/>
          <w:color w:val="auto"/>
          <w:sz w:val="32"/>
          <w:szCs w:val="32"/>
          <w:shd w:val="clear" w:color="auto" w:fill="FFFFFF"/>
        </w:rPr>
        <w:t>本单位主要的职能职责为</w:t>
      </w:r>
      <w:r>
        <w:rPr>
          <w:rFonts w:hint="eastAsia" w:ascii="Times New Roman" w:hAnsi="Times New Roman" w:eastAsia="方正仿宋_GBK" w:cs="Times New Roman"/>
          <w:b w:val="0"/>
          <w:bCs w:val="0"/>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为推进辖区产业高质量发展提供服务。</w:t>
      </w:r>
      <w:r>
        <w:rPr>
          <w:rFonts w:hint="default" w:ascii="Times New Roman" w:hAnsi="Times New Roman" w:eastAsia="方正仿宋_GBK" w:cs="Times New Roman"/>
          <w:b w:val="0"/>
          <w:bCs w:val="0"/>
          <w:color w:val="auto"/>
          <w:sz w:val="32"/>
          <w:szCs w:val="32"/>
          <w:shd w:val="clear" w:color="auto" w:fill="FFFFFF"/>
        </w:rPr>
        <w:t>具体职能职责任务包括以下内容：</w:t>
      </w:r>
      <w:r>
        <w:rPr>
          <w:rFonts w:hint="eastAsia" w:ascii="Times New Roman" w:hAnsi="Times New Roman" w:eastAsia="方正仿宋_GBK" w:cs="Times New Roman"/>
          <w:b w:val="0"/>
          <w:bCs w:val="0"/>
          <w:color w:val="auto"/>
          <w:sz w:val="32"/>
          <w:szCs w:val="32"/>
          <w:shd w:val="clear" w:color="auto" w:fill="FFFFFF"/>
          <w:lang w:eastAsia="zh-CN"/>
        </w:rPr>
        <w:t>（</w:t>
      </w:r>
      <w:r>
        <w:rPr>
          <w:rFonts w:hint="eastAsia" w:ascii="Times New Roman" w:hAnsi="Times New Roman" w:eastAsia="方正仿宋_GBK" w:cs="Times New Roman"/>
          <w:b w:val="0"/>
          <w:bCs w:val="0"/>
          <w:color w:val="auto"/>
          <w:sz w:val="32"/>
          <w:szCs w:val="32"/>
          <w:shd w:val="clear" w:color="auto" w:fill="FFFFFF"/>
          <w:lang w:val="en-US" w:eastAsia="zh-CN"/>
        </w:rPr>
        <w:t>1</w:t>
      </w:r>
      <w:r>
        <w:rPr>
          <w:rFonts w:hint="eastAsia" w:ascii="Times New Roman" w:hAnsi="Times New Roman" w:eastAsia="方正仿宋_GBK" w:cs="Times New Roman"/>
          <w:b w:val="0"/>
          <w:bCs w:val="0"/>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贯彻落实产业发展的方针政策。</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负责辖区产业结构和布局调整，编制辖区产业发展规划并组织实施。</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3</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负责提出产业发展的技术措施、新技术引进及推广工作。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负责产业公共信息服务和实用技术培训等工作。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5</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负责产业物资供销协调工作。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负责各类产业灾害防治、疫病防控、水利工程管理的统筹协调指挥、技术指导工作。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7</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负责农技、农机、林业、水利水保、水产、畜牧兽医等方面的技术推广、信息服务工作。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8</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负责乡党委、人民政府交办的其他工作任务</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color w:val="auto"/>
          <w:sz w:val="32"/>
          <w:szCs w:val="32"/>
        </w:rPr>
      </w:pPr>
      <w:r>
        <w:rPr>
          <w:rStyle w:val="8"/>
          <w:rFonts w:ascii="Times New Roman" w:hAnsi="Times New Roman" w:eastAsia="楷体" w:cs="楷体"/>
          <w:color w:val="auto"/>
          <w:sz w:val="32"/>
          <w:szCs w:val="32"/>
          <w:shd w:val="clear" w:color="auto" w:fill="FFFFFF"/>
        </w:rPr>
        <w:t>（二）机构设置</w:t>
      </w:r>
    </w:p>
    <w:p>
      <w:pPr>
        <w:pStyle w:val="5"/>
        <w:shd w:val="clear"/>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rPr>
        <w:t>设置中益乡产业发展服务中心，属于财政拨款公益一类副科级事业单位。</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二、</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决算</w:t>
      </w:r>
      <w:r>
        <w:rPr>
          <w:rStyle w:val="8"/>
          <w:rFonts w:hint="eastAsia" w:ascii="Times New Roman" w:hAnsi="Times New Roman" w:eastAsia="黑体" w:cs="黑体"/>
          <w:color w:val="auto"/>
          <w:sz w:val="32"/>
          <w:szCs w:val="32"/>
          <w:shd w:val="clear" w:color="auto" w:fill="FFFFFF"/>
          <w:lang w:eastAsia="zh-CN"/>
        </w:rPr>
        <w:t>收支</w:t>
      </w:r>
      <w:r>
        <w:rPr>
          <w:rStyle w:val="8"/>
          <w:rFonts w:ascii="Times New Roman" w:hAnsi="Times New Roman" w:eastAsia="黑体" w:cs="黑体"/>
          <w:color w:val="auto"/>
          <w:sz w:val="32"/>
          <w:szCs w:val="32"/>
          <w:shd w:val="clear" w:color="auto" w:fill="FFFFFF"/>
        </w:rPr>
        <w:t>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pPr>
        <w:pStyle w:val="5"/>
        <w:shd w:val="clear"/>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收、支与2023年度相比，减少19.63万元，下降10.7%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2024年五险一金清算和人员减少导致本年收入减少</w:t>
      </w:r>
      <w:r>
        <w:rPr>
          <w:rFonts w:hint="eastAsia" w:ascii="Times New Roman" w:hAnsi="Times New Roman" w:eastAsia="方正仿宋_GBK" w:cs="方正仿宋_GBK"/>
          <w:color w:val="auto"/>
          <w:sz w:val="32"/>
          <w:szCs w:val="32"/>
          <w:shd w:val="clear" w:color="auto" w:fill="FFFFFF"/>
          <w:lang w:eastAsia="zh-CN"/>
        </w:rPr>
        <w:t>。</w:t>
      </w:r>
    </w:p>
    <w:p>
      <w:pPr>
        <w:pStyle w:val="5"/>
        <w:shd w:val="clear"/>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与2023年度相比，减少19.63万元，下降10.7%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2024年五险一金清算和人员减少导致本年收入减少。</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与2023年度相比，减少19.63万元，下降10.7%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2024年五险一金清算和人员减少导致一般公共预算拨款减少</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财政拨款收、支总计各减少19.63万元，下降10.7%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2024年五险一金清算和人员减少导致本年收入减少</w:t>
      </w:r>
      <w:r>
        <w:rPr>
          <w:rFonts w:hint="eastAsia" w:ascii="Times New Roman" w:hAnsi="Times New Roman" w:eastAsia="方正仿宋_GBK" w:cs="方正仿宋_GBK"/>
          <w:color w:val="auto"/>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与2023年度相比，减少19.63万元，下降10.7%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2024年五险一金清算和人员减少导致本年收入减少</w:t>
      </w:r>
      <w:r>
        <w:rPr>
          <w:rFonts w:hint="eastAsia" w:ascii="Times New Roman" w:hAnsi="Times New Roman"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较年初预算数减少1.33万元，下降0.8%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2024年五险一金清算和人员减少导致本年收入减少</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与2023年度相比，减少19.63万元，下降10.7%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2024年五险一金清算和人员减少导致一般公共预算拨款减少</w:t>
      </w:r>
      <w:r>
        <w:rPr>
          <w:rFonts w:hint="eastAsia" w:ascii="Times New Roman" w:hAnsi="Times New Roman"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较年初预算数减少1.33万元，下降0.8%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2024年五险一金清算和人员减少导致一般公共预算拨款减少</w:t>
      </w:r>
      <w:r>
        <w:rPr>
          <w:rFonts w:hint="eastAsia" w:ascii="Times New Roman" w:hAnsi="Times New Roman" w:eastAsia="方正仿宋_GBK" w:cs="方正仿宋_GBK"/>
          <w:color w:val="auto"/>
          <w:sz w:val="32"/>
          <w:szCs w:val="32"/>
          <w:shd w:val="clear" w:color="auto" w:fill="FFFFFF"/>
          <w:lang w:eastAsia="zh-CN"/>
        </w:rPr>
        <w:t>。</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29.32</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17.8%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较年初预算数增加4.81万元，增长19.6%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补缴职工养老保险及职业年金。</w:t>
      </w:r>
    </w:p>
    <w:p>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8.96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5.5%</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较年初预算数减少0.35万元，下降3.8%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2024年五险一金清算和人员减少导致本年支出减少</w:t>
      </w:r>
      <w:r>
        <w:rPr>
          <w:rFonts w:hint="eastAsia" w:ascii="Times New Roman" w:hAnsi="Times New Roman" w:eastAsia="方正仿宋_GBK" w:cs="方正仿宋_GBK"/>
          <w:color w:val="auto"/>
          <w:sz w:val="32"/>
          <w:szCs w:val="32"/>
          <w:shd w:val="clear" w:color="auto" w:fill="FFFFFF"/>
          <w:lang w:eastAsia="zh-CN"/>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118.11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71.8%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较年初预算数减少5.80万元，下降4.7%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2024年五险一金清算和人员减少导致本年支出减少</w:t>
      </w:r>
      <w:r>
        <w:rPr>
          <w:rFonts w:hint="eastAsia" w:ascii="Times New Roman" w:hAnsi="Times New Roman" w:eastAsia="方正仿宋_GBK" w:cs="方正仿宋_GBK"/>
          <w:color w:val="auto"/>
          <w:sz w:val="32"/>
          <w:szCs w:val="32"/>
          <w:shd w:val="clear" w:color="auto" w:fill="FFFFFF"/>
          <w:lang w:eastAsia="zh-CN"/>
        </w:rPr>
        <w:t>。</w:t>
      </w:r>
    </w:p>
    <w:p>
      <w:pPr>
        <w:shd w:val="clea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8.11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hint="eastAsia" w:ascii="Times New Roman" w:hAnsi="Times New Roman" w:eastAsia="方正仿宋_GBK" w:cs="方正仿宋_GBK"/>
          <w:color w:val="auto"/>
          <w:sz w:val="32"/>
          <w:szCs w:val="32"/>
          <w:shd w:val="clear" w:color="auto" w:fill="FFFFFF"/>
          <w:lang w:eastAsia="zh-CN"/>
        </w:rPr>
        <w:t>。</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164.51</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145.16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与2023年度相比，减少19.66万元，下降11.9%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2024年五险一金清算和人员减少人员经费减少</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rPr>
        <w:t>基本工资、津贴补贴、绩效工资、社会保障缴费、医疗补助。</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19.35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与2023年度相比，增加0.02万元，增长0.1%</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人员自然增资</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rPr>
        <w:t>办公费、印刷费、咨询费、电费、邮电费、差旅费、会议费、培训费、劳务费、公务接待费、工会经费、公务用车运行维护费、其他交通费、其他商品服务支出</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本单位2024年度无政府性基金预算财政拨款收支。</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本单位2024年度无国有资本经营预算财政拨款支出。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三、</w:t>
      </w:r>
      <w:r>
        <w:rPr>
          <w:rStyle w:val="8"/>
          <w:rFonts w:hint="eastAsia" w:ascii="Times New Roman" w:hAnsi="Times New Roman" w:eastAsia="黑体" w:cs="黑体"/>
          <w:color w:val="auto"/>
          <w:sz w:val="32"/>
          <w:szCs w:val="32"/>
          <w:shd w:val="clear" w:color="auto" w:fill="FFFFFF"/>
          <w:lang w:eastAsia="zh-CN"/>
        </w:rPr>
        <w:t>财政拨款</w:t>
      </w:r>
      <w:r>
        <w:rPr>
          <w:rStyle w:val="8"/>
          <w:rFonts w:ascii="Times New Roman" w:hAnsi="Times New Roman" w:eastAsia="黑体" w:cs="黑体"/>
          <w:color w:val="auto"/>
          <w:sz w:val="32"/>
          <w:szCs w:val="32"/>
          <w:shd w:val="clear" w:color="auto" w:fill="FFFFFF"/>
        </w:rPr>
        <w:t>“三公”经费情况说明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（一）“三公”经费支出总体情况说明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年三公开支全部纳入政府本级核算。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四、其他需要说明的事项</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ascii="Times New Roman" w:hAnsi="Times New Roman" w:eastAsia="楷体" w:cs="楷体"/>
          <w:b/>
          <w:bCs/>
          <w:color w:val="auto"/>
          <w:sz w:val="32"/>
          <w:szCs w:val="32"/>
          <w:shd w:val="clear" w:color="auto" w:fill="FFFFFF"/>
        </w:rPr>
        <w:t>（一）财政拨款会议费、培训费和差旅费情况说明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与2023年度相比，减少1.50万元，下降100.0%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完成全国民族团结进步模范集体创建工作，会议减少支出减少</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与2023年度相比，减少2.30万元，下降100.0%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黄精育苗技术成熟，减少黄精育苗技术培训，培训减少支出减少</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4.50</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与2023年度相比，增加1.50万元，增长50.0%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开展全国民族团结进步模范集体创建工作需要，</w:t>
      </w:r>
      <w:r>
        <w:rPr>
          <w:rFonts w:hint="eastAsia" w:ascii="Times New Roman" w:hAnsi="Times New Roman" w:eastAsia="方正仿宋_GBK" w:cs="方正仿宋_GBK"/>
          <w:color w:val="auto"/>
          <w:sz w:val="32"/>
          <w:szCs w:val="32"/>
          <w:shd w:val="clear" w:color="auto" w:fill="FFFFFF"/>
          <w:lang w:val="en-US" w:eastAsia="zh-CN"/>
        </w:rPr>
        <w:t>工作人员</w:t>
      </w:r>
      <w:r>
        <w:rPr>
          <w:rFonts w:hint="eastAsia" w:ascii="Times New Roman" w:hAnsi="Times New Roman" w:eastAsia="方正仿宋_GBK" w:cs="方正仿宋_GBK"/>
          <w:color w:val="auto"/>
          <w:sz w:val="32"/>
          <w:szCs w:val="32"/>
          <w:shd w:val="clear" w:color="auto" w:fill="FFFFFF"/>
        </w:rPr>
        <w:t>外出参加相关会议及学习培训增加导致费用增加</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按照部门决算列报口径，我单位不在机关运行经费统计范围之内。</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2024年度我单位未发生政府采购事项，无相关经费支出。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eastAsia" w:ascii="Times New Roman" w:hAnsi="Times New Roman" w:eastAsia="黑体" w:cs="黑体"/>
          <w:color w:val="auto"/>
          <w:sz w:val="32"/>
          <w:szCs w:val="32"/>
          <w:shd w:val="clear" w:color="auto" w:fill="FFFFFF"/>
          <w:lang w:val="en-US" w:eastAsia="zh-CN"/>
        </w:rPr>
        <w:t>五、</w:t>
      </w:r>
      <w:r>
        <w:rPr>
          <w:rStyle w:val="8"/>
          <w:rFonts w:hint="default" w:ascii="Times New Roman" w:hAnsi="Times New Roman" w:eastAsia="黑体" w:cs="黑体"/>
          <w:color w:val="auto"/>
          <w:sz w:val="32"/>
          <w:szCs w:val="32"/>
          <w:shd w:val="clear" w:color="auto" w:fill="FFFFFF"/>
        </w:rPr>
        <w:t>预算绩效管理情况说明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（一）单位自评情况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本单位属于中益乡人民政府下属二级单位，预算绩效管理工作由乡政府开展，我中心未开展预算绩效管理工作。</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（二）单位绩效评价情况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我单位未组织开展绩效评价。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（三）财政绩效评价情况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default" w:ascii="Times New Roman" w:hAnsi="Times New Roman" w:eastAsia="黑体" w:cs="黑体"/>
          <w:color w:val="auto"/>
          <w:sz w:val="32"/>
          <w:szCs w:val="32"/>
          <w:shd w:val="clear" w:color="auto" w:fill="FFFFFF"/>
        </w:rPr>
        <w:t>  六、专业名词解释</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kinsoku/>
        <w:wordWrap/>
        <w:overflowPunct/>
        <w:topLinePunct w:val="0"/>
        <w:autoSpaceDN/>
        <w:bidi w:val="0"/>
        <w:adjustRightInd/>
        <w:spacing w:beforeAutospacing="0" w:after="0" w:afterAutospacing="0" w:line="578"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 xml:space="preserve">  </w:t>
      </w:r>
      <w:r>
        <w:rPr>
          <w:rStyle w:val="8"/>
          <w:rFonts w:hint="default" w:ascii="Times New Roman" w:hAnsi="Times New Roman" w:eastAsia="黑体" w:cs="Times New Roman"/>
          <w:b w:val="0"/>
          <w:bCs/>
          <w:color w:val="auto"/>
          <w:sz w:val="32"/>
          <w:szCs w:val="32"/>
          <w:shd w:val="clear" w:color="auto" w:fill="FFFFFF"/>
        </w:rPr>
        <w:t>七、决算公开联系方式及信息反馈渠道</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Times New Roman" w:hAnsi="Times New Roman" w:eastAsia="方正仿宋_GBK"/>
          <w:color w:val="auto"/>
          <w:sz w:val="32"/>
          <w:szCs w:val="32"/>
          <w:shd w:val="clear" w:color="auto" w:fill="FFFFFF"/>
          <w:lang w:val="en-US" w:eastAsia="zh-CN"/>
        </w:rPr>
        <w:sectPr>
          <w:footerReference r:id="rId3" w:type="default"/>
          <w:pgSz w:w="11915" w:h="16840"/>
          <w:pgMar w:top="1984" w:right="1701" w:bottom="1644" w:left="1446"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rPr>
        <w:t>023-73317001</w:t>
      </w:r>
      <w:r>
        <w:rPr>
          <w:rFonts w:hint="eastAsia" w:ascii="Times New Roman" w:hAnsi="Times New Roman" w:eastAsia="方正仿宋_GBK" w:cs="方正仿宋_GBK"/>
          <w:color w:val="auto"/>
          <w:sz w:val="32"/>
          <w:szCs w:val="32"/>
          <w:shd w:val="clear" w:color="auto" w:fill="FFFFFF"/>
          <w:lang w:eastAsia="zh-CN"/>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293,210.40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89,603.81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1,181,134.55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81,136.80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1,645,085.56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1,645,085.56</w:t>
            </w:r>
          </w:p>
        </w:tc>
      </w:tr>
    </w:tbl>
    <w:p>
      <w:pPr>
        <w:pStyle w:val="9"/>
        <w:numPr>
          <w:ilvl w:val="0"/>
          <w:numId w:val="0"/>
        </w:numPr>
        <w:autoSpaceDE w:val="0"/>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1,645,085.56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1,645,085.56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84,525.00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84,525.00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130,771.04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130,771.04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77,914.36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77,914.36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60,703.81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60,703.81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81,136.80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81,136.80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 xml:space="preserve">石柱土家族自治县中益乡产业发展服务中心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1,645,085.56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1,645,085.56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293,210.40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84,525.00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84,525.00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130,771.04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130,771.04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77,914.36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77,914.36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89,603.81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60,703.81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60,703.81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1,181,134.55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81,136.80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81,136.80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81,136.80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293,210.40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293,210.40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89,603.81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89,603.81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1,181,134.55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1,181,134.55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81,136.80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81,136.80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1,645,085.56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1,645,085.56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1,645,085.56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1,645,085.56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1,645,085.56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293,210.40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84,525.00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84,525.00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84,525.00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84,525.00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130,771.04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130,771.04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130,771.04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130,771.04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77,914.36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77,914.36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77,914.36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77,914.36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89,603.81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60,703.81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60,703.81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60,703.81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60,703.81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1,181,134.55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1,181,134.55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81,136.80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81,136.80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81,136.80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81,136.80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81,136.80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1,357,037.76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193,522.80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258,521.00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85,362.00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635,787.00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130,771.04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77,914.36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64,021.33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4,624.23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81,136.80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94,525.00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84,525.00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13,522.80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1,451,562.76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193,522.80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石柱土家族自治县中益乡产业发展服务中心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45,000.00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bl>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pStyle w:val="9"/>
        <w:autoSpaceDE w:val="0"/>
        <w:ind w:firstLine="0" w:firstLineChars="0"/>
        <w:rPr>
          <w:rFonts w:hint="default" w:ascii="Times New Roman" w:hAnsi="Times New Roman" w:eastAsia="宋体" w:cs="宋体"/>
          <w:color w:val="auto"/>
          <w:sz w:val="21"/>
          <w:szCs w:val="21"/>
        </w:rPr>
      </w:pPr>
      <w:bookmarkStart w:id="0" w:name="_GoBack"/>
      <w:bookmarkEnd w:id="0"/>
    </w:p>
    <w:sectPr>
      <w:headerReference r:id="rId6" w:type="default"/>
      <w:footerReference r:id="rId7"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GVlMDgwYjRiOGZlZTk0MDI5YjYyNDEyNGM2MTU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492091D"/>
    <w:rsid w:val="1580711B"/>
    <w:rsid w:val="189B0D0B"/>
    <w:rsid w:val="194A1770"/>
    <w:rsid w:val="19917D9C"/>
    <w:rsid w:val="19B906A4"/>
    <w:rsid w:val="1A1F744B"/>
    <w:rsid w:val="1A4854EC"/>
    <w:rsid w:val="1B6F15B6"/>
    <w:rsid w:val="1BAA2EDC"/>
    <w:rsid w:val="1C331F39"/>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982306"/>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33066A"/>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90669F"/>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7928</Words>
  <Characters>11639</Characters>
  <Lines>161</Lines>
  <Paragraphs>45</Paragraphs>
  <TotalTime>24</TotalTime>
  <ScaleCrop>false</ScaleCrop>
  <LinksUpToDate>false</LinksUpToDate>
  <CharactersWithSpaces>12785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2025-10-15T09:45:23Z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BB46EABDBB2749749395447164B066B3_12</vt:lpwstr>
  </property>
</Properties>
</file>