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石柱土家族自治县中益乡便民服务中心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eastAsia" w:ascii="Times New Roman" w:hAnsi="Times New Roman" w:eastAsia="方正小标宋_GBK" w:cs="方正小标宋_GBK"/>
          <w:color w:val="auto"/>
          <w:sz w:val="44"/>
          <w:szCs w:val="44"/>
          <w:shd w:val="clear" w:color="auto" w:fill="FFFFFF"/>
        </w:rPr>
        <w:t>年度决算说明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color w:val="auto"/>
          <w:sz w:val="44"/>
          <w:szCs w:val="44"/>
          <w:shd w:val="clear" w:color="auto" w:fill="FFFFFF"/>
        </w:rPr>
      </w:pP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一、</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基本情况</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方正仿宋_GBK"/>
          <w:color w:val="auto"/>
          <w:sz w:val="32"/>
          <w:szCs w:val="32"/>
        </w:rPr>
      </w:pPr>
      <w:r>
        <w:rPr>
          <w:rStyle w:val="8"/>
          <w:rFonts w:ascii="Times New Roman" w:hAnsi="Times New Roman" w:eastAsia="楷体" w:cs="楷体"/>
          <w:color w:val="auto"/>
          <w:sz w:val="32"/>
          <w:szCs w:val="32"/>
          <w:shd w:val="clear" w:color="auto" w:fill="FFFFFF"/>
        </w:rPr>
        <w:t>（一）职能职责</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b w:val="0"/>
          <w:bCs/>
          <w:color w:val="auto"/>
          <w:sz w:val="32"/>
          <w:szCs w:val="32"/>
          <w:shd w:val="clear" w:color="auto" w:fill="FFFFFF"/>
        </w:rPr>
        <w:t>本单位主要的职能职责为</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Times New Roman"/>
          <w:b w:val="0"/>
          <w:bCs/>
          <w:color w:val="auto"/>
          <w:sz w:val="32"/>
          <w:szCs w:val="32"/>
          <w:shd w:val="clear" w:color="auto" w:fill="FFFFFF"/>
          <w:lang w:val="en-US" w:eastAsia="zh-CN"/>
        </w:rPr>
        <w:t>为</w:t>
      </w:r>
      <w:r>
        <w:rPr>
          <w:rFonts w:hint="eastAsia" w:ascii="Times New Roman" w:hAnsi="Times New Roman" w:eastAsia="方正仿宋_GBK" w:cs="方正仿宋_GBK"/>
          <w:color w:val="auto"/>
          <w:sz w:val="32"/>
          <w:szCs w:val="32"/>
          <w:shd w:val="clear" w:color="auto" w:fill="FFFFFF"/>
        </w:rPr>
        <w:t>辖区群众提供优质高效的便民服务。</w:t>
      </w:r>
      <w:r>
        <w:rPr>
          <w:rFonts w:hint="default" w:ascii="Times New Roman" w:hAnsi="Times New Roman" w:eastAsia="方正仿宋_GBK" w:cs="Times New Roman"/>
          <w:b w:val="0"/>
          <w:bCs/>
          <w:color w:val="auto"/>
          <w:sz w:val="32"/>
          <w:szCs w:val="32"/>
          <w:shd w:val="clear" w:color="auto" w:fill="FFFFFF"/>
        </w:rPr>
        <w:t>具体职能职责任务包括以下内容：</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Times New Roman"/>
          <w:b w:val="0"/>
          <w:bCs/>
          <w:color w:val="auto"/>
          <w:sz w:val="32"/>
          <w:szCs w:val="32"/>
          <w:shd w:val="clear" w:color="auto" w:fill="FFFFFF"/>
          <w:lang w:val="en-US" w:eastAsia="zh-CN"/>
        </w:rPr>
        <w:t>1</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贯彻落实劳动就业和社会保障、退役军人相关法律法规及政策。</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负责辖区内养老、医疗、失业、工伤、生育保险等社会保险服务工作。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3</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负责辖区内失业人员就业培训、职业介绍、就业创业指导、就业再就业小额贷款推荐审核等服务工作。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负责辖区内农村富余劳动力及外来务工人员的就业管理服务工作。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5</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负责辖区内退休人员、工伤人员及享受供养亲属抚恤金人员的社会化服务工作。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6</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负责村劳动就业和社会保障服务站和社会保障工作者的业务指导工作。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7</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负责辖区内退役军人及其他优抚对象关系转接、来访接待、信息采集、政策宣传咨询、情况反映、慰问帮扶、光荣牌悬挂和服务管理、待遇保障等保障服务工作。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8</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负责协助开展退役军人就业创业、困难帮扶、心理疏导、权益维护、法律服务及相关舆情收集、引导等工作。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9</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负责协助开展军属、烈属、伤病残疾军人、带病回乡退役军人服务等拥军优属等工作。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10</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负责协助开展烈士纪念设施管护等褒扬纪念工作。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11</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负责村退役军人服务站的业务指导工作。</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12</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负责乡党委、人民政府交办的其他工作任务。</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Times New Roman" w:hAnsi="Times New Roman" w:eastAsia="楷体" w:cs="楷体"/>
          <w:color w:val="auto"/>
          <w:sz w:val="32"/>
          <w:szCs w:val="32"/>
          <w:shd w:val="clear" w:color="auto" w:fill="FFFFFF"/>
        </w:rPr>
      </w:pPr>
      <w:r>
        <w:rPr>
          <w:rStyle w:val="8"/>
          <w:rFonts w:ascii="Times New Roman" w:hAnsi="Times New Roman" w:eastAsia="楷体" w:cs="楷体"/>
          <w:color w:val="auto"/>
          <w:sz w:val="32"/>
          <w:szCs w:val="32"/>
          <w:shd w:val="clear" w:color="auto" w:fill="FFFFFF"/>
        </w:rPr>
        <w:t>（二）机构设置</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Style w:val="8"/>
          <w:rFonts w:hint="default" w:ascii="Times New Roman" w:hAnsi="Times New Roman" w:eastAsia="楷体" w:cs="楷体"/>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设置中益乡</w:t>
      </w:r>
      <w:r>
        <w:rPr>
          <w:rFonts w:hint="eastAsia" w:ascii="Times New Roman" w:hAnsi="Times New Roman" w:eastAsia="方正仿宋_GBK" w:cs="Times New Roman"/>
          <w:b w:val="0"/>
          <w:bCs w:val="0"/>
          <w:color w:val="auto"/>
          <w:sz w:val="32"/>
          <w:szCs w:val="32"/>
          <w:shd w:val="clear" w:color="auto" w:fill="FFFFFF"/>
          <w:lang w:val="en-US" w:eastAsia="zh-CN"/>
        </w:rPr>
        <w:t>便民</w:t>
      </w:r>
      <w:r>
        <w:rPr>
          <w:rFonts w:hint="default" w:ascii="Times New Roman" w:hAnsi="Times New Roman" w:eastAsia="方正仿宋_GBK" w:cs="Times New Roman"/>
          <w:b w:val="0"/>
          <w:bCs w:val="0"/>
          <w:color w:val="auto"/>
          <w:sz w:val="32"/>
          <w:szCs w:val="32"/>
          <w:shd w:val="clear" w:color="auto" w:fill="FFFFFF"/>
        </w:rPr>
        <w:t>服务中心，属于财政拨款公益一类副科级事业单位。</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二、</w:t>
      </w:r>
      <w:r>
        <w:rPr>
          <w:rStyle w:val="8"/>
          <w:rFonts w:hint="eastAsia" w:ascii="Times New Roman" w:hAnsi="Times New Roman" w:eastAsia="黑体" w:cs="黑体"/>
          <w:color w:val="auto"/>
          <w:sz w:val="32"/>
          <w:szCs w:val="32"/>
          <w:shd w:val="clear" w:color="auto" w:fill="FFFFFF"/>
          <w:lang w:eastAsia="zh-CN"/>
        </w:rPr>
        <w:t>单位</w:t>
      </w:r>
      <w:r>
        <w:rPr>
          <w:rStyle w:val="8"/>
          <w:rFonts w:ascii="Times New Roman" w:hAnsi="Times New Roman" w:eastAsia="黑体" w:cs="黑体"/>
          <w:color w:val="auto"/>
          <w:sz w:val="32"/>
          <w:szCs w:val="32"/>
          <w:shd w:val="clear" w:color="auto" w:fill="FFFFFF"/>
        </w:rPr>
        <w:t>决算</w:t>
      </w:r>
      <w:r>
        <w:rPr>
          <w:rStyle w:val="8"/>
          <w:rFonts w:hint="eastAsia" w:ascii="Times New Roman" w:hAnsi="Times New Roman" w:eastAsia="黑体" w:cs="黑体"/>
          <w:color w:val="auto"/>
          <w:sz w:val="32"/>
          <w:szCs w:val="32"/>
          <w:shd w:val="clear" w:color="auto" w:fill="FFFFFF"/>
          <w:lang w:eastAsia="zh-CN"/>
        </w:rPr>
        <w:t>收支</w:t>
      </w:r>
      <w:r>
        <w:rPr>
          <w:rStyle w:val="8"/>
          <w:rFonts w:ascii="Times New Roman" w:hAnsi="Times New Roman" w:eastAsia="黑体" w:cs="黑体"/>
          <w:color w:val="auto"/>
          <w:sz w:val="32"/>
          <w:szCs w:val="32"/>
          <w:shd w:val="clear" w:color="auto" w:fill="FFFFFF"/>
        </w:rPr>
        <w:t>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（一）收入支出决算总体情况说明</w:t>
      </w:r>
    </w:p>
    <w:p>
      <w:pPr>
        <w:pStyle w:val="5"/>
        <w:shd w:val="clear"/>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2024年补缴事业人员养老保险、职业年金，机构改革退役军人服务站撤并，纳入便民服务中心核算导致本年收入增加</w:t>
      </w:r>
      <w:r>
        <w:rPr>
          <w:rFonts w:ascii="Times New Roman" w:hAnsi="Times New Roman" w:eastAsia="方正仿宋_GBK" w:cs="方正仿宋_GBK"/>
          <w:color w:val="auto"/>
          <w:sz w:val="32"/>
          <w:szCs w:val="32"/>
          <w:shd w:val="clear" w:color="auto" w:fill="FFFFFF"/>
        </w:rPr>
        <w:t>。</w:t>
      </w:r>
    </w:p>
    <w:p>
      <w:pPr>
        <w:pStyle w:val="5"/>
        <w:shd w:val="clear"/>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2024年补缴事业人员养老保险、职业年金，机构改革退役军人服务站撤并，纳入便民服务中心核算导致本年收入增加</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（二）财政拨款收入支出决算总体情况说明</w:t>
      </w:r>
    </w:p>
    <w:p>
      <w:pPr>
        <w:pStyle w:val="5"/>
        <w:shd w:val="clear"/>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w:t>
      </w:r>
      <w:r>
        <w:rPr>
          <w:rFonts w:hint="eastAsia" w:ascii="Times New Roman" w:hAnsi="Times New Roman" w:eastAsia="方正仿宋_GBK" w:cs="方正仿宋_GBK"/>
          <w:color w:val="auto"/>
          <w:sz w:val="32"/>
          <w:szCs w:val="32"/>
          <w:shd w:val="clear" w:color="auto" w:fill="FFFFFF"/>
          <w:lang w:eastAsia="zh-CN"/>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（三）一般公共预算财政拨款收入支出决算情况说明</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2024年补缴事业人员养老保险、职业年金，机构改革退役军人服务站撤并，纳入便民服务中心核算导致本年收入增加</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较年初预算数增加30.16万元，增长56.9%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2024年补缴事业人员养老保险、职业年金，机构改革退役军人服务站撤并，纳入便民服务中心核算导致本年收入增加</w:t>
      </w:r>
      <w:r>
        <w:rPr>
          <w:rFonts w:ascii="Times New Roman" w:hAnsi="Times New Roman"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p>
    <w:p>
      <w:pPr>
        <w:pStyle w:val="5"/>
        <w:shd w:val="clear"/>
        <w:snapToGrid w:val="0"/>
        <w:spacing w:before="0" w:beforeAutospacing="0" w:after="0" w:afterAutospacing="0" w:line="596" w:lineRule="exact"/>
        <w:ind w:firstLine="643" w:firstLineChars="200"/>
        <w:jc w:val="both"/>
        <w:rPr>
          <w:rFonts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与2023年度相比，增加23.24万元，增长38.8%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较年初预算数增加30.16万元，增长56.9%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75.18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90.4%</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较年初预算数增加27.72万元，增长58.4%</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4.14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5.0%</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较年初预算数增加1.20万元，增长40.8%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2024年补缴事业人员养老保险、职业年金，机构改革退役军人服务站撤并，纳入便民服务中心核算导致本年收</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pPr>
        <w:shd w:val="clear"/>
        <w:spacing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3.85</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较年初预算数增加1.25万元，增长48.1%</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机构改革退役军人服务站撤并，纳入便民服务中心核算导致本年收</w:t>
      </w:r>
      <w:r>
        <w:rPr>
          <w:rFonts w:hint="eastAsia" w:ascii="Times New Roman" w:hAnsi="Times New Roman" w:eastAsia="方正仿宋_GBK" w:cs="方正仿宋_GBK"/>
          <w:color w:val="auto"/>
          <w:sz w:val="32"/>
          <w:szCs w:val="32"/>
          <w:shd w:val="clear" w:color="auto" w:fill="FFFFFF"/>
          <w:lang w:val="en-US" w:eastAsia="zh-CN"/>
        </w:rPr>
        <w:t>支出</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（四）一般公共预算财政拨款基本支出决算情况说明</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83.16</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5"/>
        <w:shd w:val="clear"/>
        <w:snapToGrid w:val="0"/>
        <w:spacing w:before="0" w:beforeAutospacing="0" w:after="0" w:afterAutospacing="0" w:line="596" w:lineRule="exact"/>
        <w:ind w:firstLine="640" w:firstLineChars="200"/>
        <w:jc w:val="both"/>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72.52</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与2023年度相比，增加19.03万元，增长35.6%</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机构改革退役军人服务站撤并</w:t>
      </w:r>
      <w:r>
        <w:rPr>
          <w:rFonts w:ascii="Times New Roman" w:hAnsi="Times New Roman"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rPr>
        <w:t>人员经费用途主要包括基本工资、津贴补贴、奖金、社会保障缴费、其他工资福利支出。</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10.64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与2023年度相比，增加4.21万元，增长65.5%</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机构改革退役军人服务站撤并</w:t>
      </w:r>
      <w:r>
        <w:rPr>
          <w:rFonts w:ascii="Times New Roman" w:hAnsi="Times New Roman" w:eastAsia="方正仿宋_GBK" w:cs="方正仿宋_GBK"/>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rPr>
        <w:t>办公费、印刷费、咨询费、电费、邮电费、差旅费、会议费、培训费、劳务费、公务接待费、工会经费、公务用车运行维护费、其他交通费、其他商品和服务支出。</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（五）政府性基金预算收支决算情况说明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本单位2024年度无政府性基金预算财政拨款收支。</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（六）国有资本经营预算财政拨款支出决算情况说明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本单位2024年度无国有资本经营预算财政拨款支出。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三、</w:t>
      </w:r>
      <w:r>
        <w:rPr>
          <w:rStyle w:val="8"/>
          <w:rFonts w:hint="eastAsia" w:ascii="Times New Roman" w:hAnsi="Times New Roman" w:eastAsia="黑体" w:cs="黑体"/>
          <w:color w:val="auto"/>
          <w:sz w:val="32"/>
          <w:szCs w:val="32"/>
          <w:shd w:val="clear" w:color="auto" w:fill="FFFFFF"/>
          <w:lang w:eastAsia="zh-CN"/>
        </w:rPr>
        <w:t>财政拨款</w:t>
      </w:r>
      <w:r>
        <w:rPr>
          <w:rStyle w:val="8"/>
          <w:rFonts w:ascii="Times New Roman" w:hAnsi="Times New Roman" w:eastAsia="黑体" w:cs="黑体"/>
          <w:color w:val="auto"/>
          <w:sz w:val="32"/>
          <w:szCs w:val="32"/>
          <w:shd w:val="clear" w:color="auto" w:fill="FFFFFF"/>
        </w:rPr>
        <w:t>“三公”经费情况说明</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（一）“三公”经费支出总体情况说明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，主要原因是</w:t>
      </w:r>
      <w:bookmarkStart w:id="0" w:name="_GoBack"/>
      <w:bookmarkEnd w:id="0"/>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年三公开支全部纳入政府本级核算。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（二）“三公”经费分项支出情况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w:t>
      </w:r>
      <w:r>
        <w:rPr>
          <w:rFonts w:hint="eastAsia" w:ascii="Times New Roman" w:hAnsi="Times New Roman" w:eastAsia="方正仿宋_GBK" w:cs="方正仿宋_GBK"/>
          <w:color w:val="auto"/>
          <w:sz w:val="32"/>
          <w:szCs w:val="32"/>
          <w:shd w:val="clear" w:color="auto" w:fill="FFFFFF"/>
          <w:lang w:eastAsia="zh-CN"/>
        </w:rPr>
        <w:t>用</w:t>
      </w:r>
      <w:r>
        <w:rPr>
          <w:rFonts w:ascii="Times New Roman" w:hAnsi="Times New Roman"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（三）“三公”经费实物量情况</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ascii="Times New Roman" w:hAnsi="Times New Roman" w:eastAsia="黑体" w:cs="黑体"/>
          <w:color w:val="auto"/>
          <w:sz w:val="32"/>
          <w:szCs w:val="32"/>
          <w:shd w:val="clear" w:color="auto" w:fill="FFFFFF"/>
        </w:rPr>
        <w:t>四、其他需要说明的事项</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ascii="Times New Roman" w:hAnsi="Times New Roman" w:eastAsia="楷体" w:cs="楷体"/>
          <w:b/>
          <w:bCs/>
          <w:color w:val="auto"/>
          <w:sz w:val="32"/>
          <w:szCs w:val="32"/>
          <w:shd w:val="clear" w:color="auto" w:fill="FFFFFF"/>
        </w:rPr>
        <w:t>（一）财政拨款会议费、培训费和差旅费情况说明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与2023年度相比，减少0.35万元，下降100.0%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因为完成全国乡村旅游重点村创建工作，相关会议减少，支出减少</w:t>
      </w:r>
      <w:r>
        <w:rPr>
          <w:rFonts w:ascii="Times New Roman" w:hAnsi="Times New Roman"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与2023年度相比，减少0.35万元，下降100.0%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是因为全国乡村旅游重点村创建成功，旅游人才培训减少，支出减少</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1.50</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与2023年度相比，增加0.50万元，增长50.0%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rPr>
        <w:t>构改革退役军人服务站撤并，纳入便民服务中心核算导致本年</w:t>
      </w:r>
      <w:r>
        <w:rPr>
          <w:rFonts w:hint="eastAsia" w:ascii="Times New Roman" w:hAnsi="Times New Roman" w:eastAsia="方正仿宋_GBK" w:cs="方正仿宋_GBK"/>
          <w:color w:val="auto"/>
          <w:sz w:val="32"/>
          <w:szCs w:val="32"/>
          <w:shd w:val="clear" w:color="auto" w:fill="FFFFFF"/>
          <w:lang w:val="en-US" w:eastAsia="zh-CN"/>
        </w:rPr>
        <w:t>差旅费</w:t>
      </w:r>
      <w:r>
        <w:rPr>
          <w:rFonts w:hint="eastAsia" w:ascii="Times New Roman" w:hAnsi="Times New Roman" w:eastAsia="方正仿宋_GBK" w:cs="方正仿宋_GBK"/>
          <w:color w:val="auto"/>
          <w:sz w:val="32"/>
          <w:szCs w:val="32"/>
          <w:shd w:val="clear" w:color="auto" w:fill="FFFFFF"/>
        </w:rPr>
        <w:t>增加</w:t>
      </w:r>
      <w:r>
        <w:rPr>
          <w:rFonts w:ascii="Times New Roman" w:hAnsi="Times New Roman" w:eastAsia="方正仿宋_GBK" w:cs="方正仿宋_GBK"/>
          <w:color w:val="auto"/>
          <w:sz w:val="32"/>
          <w:szCs w:val="32"/>
          <w:shd w:val="clear" w:color="auto" w:fill="FFFFFF"/>
        </w:rPr>
        <w:t>。</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（二）机关运行经费情况说明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按照部门决算列报口径，我单位不在机关运行经费统计范围之内。</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（三）国有资产占用情况说明</w:t>
      </w:r>
    </w:p>
    <w:p>
      <w:pPr>
        <w:pStyle w:val="5"/>
        <w:shd w:val="clear"/>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w:t>
      </w:r>
      <w:r>
        <w:rPr>
          <w:rFonts w:hint="eastAsia" w:ascii="Times New Roman" w:hAnsi="Times New Roman" w:eastAsia="方正仿宋_GBK" w:cs="方正仿宋_GBK"/>
          <w:color w:val="auto"/>
          <w:sz w:val="32"/>
          <w:szCs w:val="32"/>
          <w:shd w:val="clear" w:color="auto" w:fill="FFFFFF"/>
          <w:lang w:eastAsia="zh-CN"/>
        </w:rPr>
        <w:t>单位</w:t>
      </w:r>
      <w:r>
        <w:rPr>
          <w:rFonts w:ascii="Times New Roman" w:hAnsi="Times New Roman"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9"/>
        <w:keepNext w:val="0"/>
        <w:keepLines w:val="0"/>
        <w:pageBreakBefore w:val="0"/>
        <w:widowControl/>
        <w:shd w:val="clear"/>
        <w:kinsoku/>
        <w:wordWrap/>
        <w:overflowPunct/>
        <w:topLinePunct w:val="0"/>
        <w:autoSpaceDE w:val="0"/>
        <w:autoSpaceDN/>
        <w:bidi w:val="0"/>
        <w:adjustRightInd/>
        <w:snapToGrid/>
        <w:spacing w:line="596" w:lineRule="exact"/>
        <w:ind w:firstLine="643" w:firstLineChars="200"/>
        <w:textAlignment w:val="auto"/>
        <w:rPr>
          <w:rFonts w:ascii="Times New Roman" w:hAnsi="Times New Roman" w:eastAsia="楷体" w:cs="楷体"/>
          <w:b/>
          <w:bCs/>
          <w:color w:val="auto"/>
          <w:sz w:val="32"/>
          <w:szCs w:val="32"/>
          <w:shd w:val="clear" w:color="auto" w:fill="FFFFFF"/>
        </w:rPr>
      </w:pPr>
      <w:r>
        <w:rPr>
          <w:rFonts w:hint="eastAsia" w:ascii="Times New Roman" w:hAnsi="Times New Roman" w:eastAsia="楷体" w:cs="楷体"/>
          <w:b/>
          <w:bCs/>
          <w:color w:val="auto"/>
          <w:sz w:val="32"/>
          <w:szCs w:val="32"/>
          <w:shd w:val="clear" w:color="auto" w:fill="FFFFFF"/>
        </w:rPr>
        <w:t>（四）政府采购支出情况说明</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2024年度我单位未发生政府采购事项，无相关经费支出。</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eastAsia" w:ascii="Times New Roman" w:hAnsi="Times New Roman" w:eastAsia="黑体" w:cs="黑体"/>
          <w:color w:val="auto"/>
          <w:sz w:val="32"/>
          <w:szCs w:val="32"/>
          <w:shd w:val="clear" w:color="auto" w:fill="FFFFFF"/>
          <w:lang w:val="en-US" w:eastAsia="zh-CN"/>
        </w:rPr>
        <w:t>五、</w:t>
      </w:r>
      <w:r>
        <w:rPr>
          <w:rStyle w:val="8"/>
          <w:rFonts w:hint="default" w:ascii="Times New Roman" w:hAnsi="Times New Roman" w:eastAsia="黑体" w:cs="黑体"/>
          <w:color w:val="auto"/>
          <w:sz w:val="32"/>
          <w:szCs w:val="32"/>
          <w:shd w:val="clear" w:color="auto" w:fill="FFFFFF"/>
        </w:rPr>
        <w:t>预算绩效管理情况说明</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（一）单位自评情况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本单位属于中益乡人民政府下属二级单位，预算绩效管理工作由乡政府开展，我中心未开展预算绩效管理工作。</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（二）单位绩效评价情况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我单位未组织开展绩效评价。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楷体"/>
          <w:b/>
          <w:bCs/>
          <w:color w:val="auto"/>
          <w:sz w:val="32"/>
          <w:szCs w:val="32"/>
          <w:shd w:val="clear" w:color="auto" w:fill="FFFFFF"/>
        </w:rPr>
      </w:pPr>
      <w:r>
        <w:rPr>
          <w:rFonts w:hint="default" w:ascii="Times New Roman" w:hAnsi="Times New Roman" w:eastAsia="楷体" w:cs="楷体"/>
          <w:b/>
          <w:bCs/>
          <w:color w:val="auto"/>
          <w:sz w:val="32"/>
          <w:szCs w:val="32"/>
          <w:shd w:val="clear" w:color="auto" w:fill="FFFFFF"/>
        </w:rPr>
        <w:t>（三）财政绩效评价情况</w:t>
      </w:r>
    </w:p>
    <w:p>
      <w:pPr>
        <w:pStyle w:val="9"/>
        <w:keepNext w:val="0"/>
        <w:keepLines w:val="0"/>
        <w:pageBreakBefore w:val="0"/>
        <w:widowControl/>
        <w:shd w:val="clear"/>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val="en-US" w:eastAsia="zh-CN" w:bidi="ar-SA"/>
        </w:rPr>
        <w:t>市财政局未委托第三方对我单位开展绩效评价。</w:t>
      </w:r>
    </w:p>
    <w:p>
      <w:pPr>
        <w:pStyle w:val="5"/>
        <w:keepNext w:val="0"/>
        <w:keepLines w:val="0"/>
        <w:pageBreakBefore w:val="0"/>
        <w:widowControl/>
        <w:shd w:val="clear"/>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黑体"/>
          <w:color w:val="auto"/>
          <w:sz w:val="32"/>
          <w:szCs w:val="32"/>
          <w:shd w:val="clear" w:color="auto" w:fill="FFFFFF"/>
        </w:rPr>
      </w:pPr>
      <w:r>
        <w:rPr>
          <w:rStyle w:val="8"/>
          <w:rFonts w:hint="default" w:ascii="Times New Roman" w:hAnsi="Times New Roman" w:eastAsia="黑体" w:cs="黑体"/>
          <w:color w:val="auto"/>
          <w:sz w:val="32"/>
          <w:szCs w:val="32"/>
          <w:shd w:val="clear" w:color="auto" w:fill="FFFFFF"/>
        </w:rPr>
        <w:t>  六、专业名词解释</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楷体" w:cs="楷体"/>
          <w:b/>
          <w:bCs/>
          <w:color w:val="auto"/>
          <w:sz w:val="32"/>
          <w:szCs w:val="32"/>
          <w:shd w:val="clear" w:color="auto" w:fill="FFFFFF"/>
        </w:rPr>
        <w:t> （二）事业收入：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（四）其他收入：</w:t>
      </w:r>
      <w:r>
        <w:rPr>
          <w:rFonts w:hint="default" w:ascii="Times New Roman" w:hAnsi="Times New Roman" w:eastAsia="方正仿宋_GBK" w:cs="Times New Roman"/>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bCs w:val="0"/>
          <w:color w:val="auto"/>
          <w:sz w:val="32"/>
          <w:szCs w:val="32"/>
          <w:shd w:val="clear" w:color="auto" w:fill="FFFFFF"/>
        </w:rPr>
        <w:t> </w:t>
      </w:r>
      <w:r>
        <w:rPr>
          <w:rStyle w:val="8"/>
          <w:rFonts w:hint="default" w:ascii="Times New Roman" w:hAnsi="Times New Roman" w:eastAsia="方正楷体_GB2312" w:cs="方正楷体_GB2312"/>
          <w:b/>
          <w:bCs w:val="0"/>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楷体_GB2312" w:cs="方正楷体_GB2312"/>
          <w:b/>
          <w:bCs w:val="0"/>
          <w:color w:val="auto"/>
          <w:sz w:val="32"/>
          <w:szCs w:val="32"/>
          <w:shd w:val="clear" w:color="auto" w:fill="FFFFFF"/>
        </w:rPr>
        <w:t> （十七）其他资本性支出（支出经济分类科目类级）：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kinsoku/>
        <w:wordWrap/>
        <w:overflowPunct/>
        <w:topLinePunct w:val="0"/>
        <w:autoSpaceDN/>
        <w:bidi w:val="0"/>
        <w:adjustRightInd/>
        <w:spacing w:beforeAutospacing="0" w:after="0" w:afterAutospacing="0" w:line="578" w:lineRule="exact"/>
        <w:ind w:firstLine="640" w:firstLineChars="200"/>
        <w:textAlignment w:val="auto"/>
        <w:rPr>
          <w:rStyle w:val="8"/>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 xml:space="preserve">  </w:t>
      </w:r>
      <w:r>
        <w:rPr>
          <w:rStyle w:val="8"/>
          <w:rFonts w:hint="default" w:ascii="Times New Roman" w:hAnsi="Times New Roman" w:eastAsia="黑体" w:cs="Times New Roman"/>
          <w:b w:val="0"/>
          <w:bCs/>
          <w:color w:val="auto"/>
          <w:sz w:val="32"/>
          <w:szCs w:val="32"/>
          <w:shd w:val="clear" w:color="auto" w:fill="FFFFFF"/>
        </w:rPr>
        <w:t>七、决算公开联系方式及信息反馈渠道</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shd w:val="clear" w:color="auto" w:fill="FFFFFF"/>
        </w:rPr>
        <w:t>023-73317001</w:t>
      </w:r>
      <w:r>
        <w:rPr>
          <w:rFonts w:ascii="Times New Roman" w:hAnsi="Times New Roman" w:eastAsia="方正仿宋_GBK" w:cs="方正仿宋_GBK"/>
          <w:color w:val="auto"/>
          <w:sz w:val="32"/>
          <w:szCs w:val="32"/>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6" w:lineRule="exact"/>
        <w:jc w:val="both"/>
        <w:textAlignment w:val="auto"/>
        <w:rPr>
          <w:rFonts w:hint="eastAsia" w:ascii="Times New Roman" w:hAnsi="Times New Roman" w:eastAsia="方正仿宋_GBK"/>
          <w:color w:val="auto"/>
          <w:sz w:val="32"/>
          <w:szCs w:val="32"/>
          <w:shd w:val="clear" w:color="auto" w:fill="FFFFFF"/>
          <w:lang w:val="en-US" w:eastAsia="zh-CN"/>
        </w:rPr>
        <w:sectPr>
          <w:footerReference r:id="rId3" w:type="default"/>
          <w:pgSz w:w="11915" w:h="16840"/>
          <w:pgMar w:top="1984" w:right="1446" w:bottom="1644" w:left="1446"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751,797.81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41,356.24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38,471.04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831,625.09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r>
              <w:rPr>
                <w:rFonts w:hint="eastAsia" w:ascii="Times New Roman" w:hAnsi="Times New Roman"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r>
              <w:rPr>
                <w:rFonts w:hint="eastAsia" w:ascii="Times New Roman" w:hAnsi="Times New Roman"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r>
              <w:rPr>
                <w:rFonts w:hint="eastAsia" w:ascii="Times New Roman" w:hAnsi="Times New Roman"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831,625.09</w:t>
            </w:r>
          </w:p>
        </w:tc>
      </w:tr>
    </w:tbl>
    <w:p>
      <w:pPr>
        <w:pStyle w:val="9"/>
        <w:numPr>
          <w:ilvl w:val="0"/>
          <w:numId w:val="0"/>
        </w:numPr>
        <w:autoSpaceDE w:val="0"/>
        <w:rPr>
          <w:rFonts w:hint="eastAsia" w:ascii="Times New Roman" w:hAnsi="Times New Roman"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831,625.09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831,625.09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751,797.81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751,797.81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119,909.28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119,909.28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66,139.52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66,139.52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33,069.76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33,069.76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30,456.24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38,471.04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 xml:space="preserve">石柱土家族自治县中益乡便民服务中心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831,625.09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831,625.09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751,797.81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751,797.81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417,371.01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119,909.28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119,909.28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66,139.52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66,139.52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33,069.76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33,069.76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2082850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214,517.52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41,356.24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30,456.24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auto"/>
                <w:sz w:val="22"/>
                <w:szCs w:val="22"/>
                <w:u w:val="none"/>
              </w:rPr>
            </w:pPr>
            <w:r>
              <w:rPr>
                <w:rFonts w:ascii="Times New Roman" w:hAnsi="Times New Roman"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38,471.04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751,797.81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751,797.81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41,356.24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41,356.24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38,471.04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38,471.04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831,625.09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831,625.09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831,625.09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831,625.09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831,625.09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751,797.81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751,797.81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751,797.81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751,797.81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417,371.01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417,371.01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119,909.28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119,909.28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119,909.28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119,909.28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66,139.52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66,139.52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66,139.52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66,139.52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33,069.76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33,069.76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33,069.76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33,069.76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214,517.52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214,517.52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41,356.24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30,456.24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30,456.24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30,456.24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30,456.24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38,471.04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r>
              <w:rPr>
                <w:rFonts w:ascii="Times New Roman" w:hAnsi="Times New Roman"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38,471.04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38,471.04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38,471.04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38,471.04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702,013.25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106,411.84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155,438.00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40,868.00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325,003.00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66,139.52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33,069.76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32,059.20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2,564.73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38,471.04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6,411.84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auto"/>
                <w:kern w:val="0"/>
                <w:sz w:val="22"/>
                <w:szCs w:val="22"/>
                <w:u w:val="none"/>
                <w:lang w:val="en-US" w:eastAsia="zh-CN" w:bidi="ar"/>
              </w:rPr>
            </w:pPr>
            <w:r>
              <w:rPr>
                <w:rFonts w:hint="eastAsia" w:ascii="Times New Roman" w:hAnsi="Times New Roman"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auto"/>
                <w:kern w:val="0"/>
                <w:sz w:val="22"/>
                <w:szCs w:val="22"/>
                <w:u w:val="none"/>
                <w:lang w:val="en-US" w:eastAsia="zh-CN" w:bidi="ar"/>
              </w:rPr>
            </w:pPr>
            <w:r>
              <w:rPr>
                <w:rFonts w:hint="eastAsia" w:ascii="Times New Roman" w:hAnsi="Times New Roman"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725,213.25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106,411.84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w:t>
            </w:r>
            <w:r>
              <w:rPr>
                <w:rFonts w:hint="eastAsia" w:ascii="Times New Roman" w:hAnsi="Times New Roman" w:cs="宋体"/>
                <w:i w:val="0"/>
                <w:iCs w:val="0"/>
                <w:color w:val="auto"/>
                <w:kern w:val="0"/>
                <w:sz w:val="20"/>
                <w:szCs w:val="20"/>
                <w:u w:val="none"/>
                <w:lang w:val="en-US" w:eastAsia="zh-CN" w:bidi="ar"/>
              </w:rPr>
              <w:t>7</w:t>
            </w:r>
            <w:r>
              <w:rPr>
                <w:rFonts w:hint="eastAsia" w:ascii="Times New Roman" w:hAnsi="Times New Roman" w:eastAsia="宋体" w:cs="宋体"/>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30"/>
                <w:szCs w:val="30"/>
                <w:u w:val="none"/>
              </w:rPr>
            </w:pPr>
            <w:r>
              <w:rPr>
                <w:rFonts w:hint="eastAsia" w:ascii="Times New Roman" w:hAnsi="Times New Roman" w:eastAsia="宋体" w:cs="宋体"/>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numPr>
          <w:ilvl w:val="0"/>
          <w:numId w:val="0"/>
        </w:numPr>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auto"/>
                <w:sz w:val="44"/>
                <w:szCs w:val="44"/>
                <w:u w:val="none"/>
              </w:rPr>
            </w:pPr>
            <w:r>
              <w:rPr>
                <w:rFonts w:hint="eastAsia" w:ascii="Times New Roman" w:hAnsi="Times New Roman" w:eastAsia="宋体" w:cs="宋体"/>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r>
              <w:rPr>
                <w:rFonts w:hint="eastAsia" w:ascii="Times New Roman" w:hAnsi="Times New Roman" w:cs="宋体"/>
                <w:color w:val="auto"/>
                <w:sz w:val="20"/>
                <w:szCs w:val="20"/>
                <w:lang w:eastAsia="zh-CN"/>
              </w:rPr>
              <w:t>单位</w:t>
            </w:r>
            <w:r>
              <w:rPr>
                <w:rFonts w:ascii="Times New Roman" w:hAnsi="Times New Roman" w:cs="宋体"/>
                <w:color w:val="auto"/>
                <w:sz w:val="20"/>
                <w:szCs w:val="20"/>
              </w:rPr>
              <w:t>：</w:t>
            </w:r>
            <w:r>
              <w:rPr>
                <w:rFonts w:ascii="Times New Roman" w:hAnsi="Times New Roman"/>
                <w:color w:val="auto"/>
                <w:sz w:val="20"/>
                <w:u w:color="auto"/>
              </w:rPr>
              <w:t>石柱土家族自治县中益乡便民服务中心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auto"/>
                <w:sz w:val="20"/>
                <w:szCs w:val="20"/>
                <w:u w:val="none"/>
              </w:rPr>
            </w:pPr>
            <w:r>
              <w:rPr>
                <w:rFonts w:hint="eastAsia" w:ascii="Times New Roman" w:hAnsi="Times New Roman" w:eastAsia="宋体" w:cs="宋体"/>
                <w:i w:val="0"/>
                <w:iCs w:val="0"/>
                <w:color w:val="auto"/>
                <w:kern w:val="0"/>
                <w:sz w:val="20"/>
                <w:szCs w:val="20"/>
                <w:u w:val="none"/>
                <w:lang w:val="en-US" w:eastAsia="zh-CN" w:bidi="ar"/>
              </w:rPr>
              <w:t>单位：</w:t>
            </w:r>
            <w:r>
              <w:rPr>
                <w:rFonts w:hint="eastAsia" w:ascii="Times New Roman" w:hAnsi="Times New Roman" w:cs="宋体"/>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auto"/>
                <w:kern w:val="2"/>
                <w:sz w:val="22"/>
                <w:szCs w:val="22"/>
                <w:u w:val="none"/>
                <w:lang w:val="en-US" w:eastAsia="zh-CN" w:bidi="ar-SA"/>
              </w:rPr>
            </w:pPr>
            <w:r>
              <w:rPr>
                <w:rFonts w:hint="eastAsia" w:ascii="Times New Roman" w:hAnsi="Times New Roman"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15,000.00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auto"/>
                <w:sz w:val="20"/>
                <w:szCs w:val="20"/>
                <w:u w:val="none"/>
              </w:rPr>
            </w:pPr>
          </w:p>
        </w:tc>
      </w:tr>
    </w:tbl>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rPr>
          <w:rFonts w:hint="eastAsia" w:ascii="Times New Roman" w:hAnsi="Times New Roman" w:eastAsia="宋体" w:cs="宋体"/>
          <w:color w:val="auto"/>
          <w:sz w:val="21"/>
          <w:szCs w:val="21"/>
          <w:lang w:bidi="ar"/>
        </w:rPr>
      </w:pPr>
    </w:p>
    <w:p>
      <w:pPr>
        <w:pStyle w:val="9"/>
        <w:autoSpaceDE w:val="0"/>
        <w:ind w:firstLine="0" w:firstLineChars="0"/>
        <w:rPr>
          <w:rFonts w:hint="default" w:ascii="Times New Roman" w:hAnsi="Times New Roman"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GVlMDgwYjRiOGZlZTk0MDI5YjYyNDEyNGM2MTUifQ=="/>
  </w:docVars>
  <w:rsids>
    <w:rsidRoot w:val="00B03CCD"/>
    <w:rsid w:val="00550ABE"/>
    <w:rsid w:val="007B419D"/>
    <w:rsid w:val="009B67B8"/>
    <w:rsid w:val="00B03CCD"/>
    <w:rsid w:val="00FE7556"/>
    <w:rsid w:val="01474EBF"/>
    <w:rsid w:val="01F3521E"/>
    <w:rsid w:val="03E3214F"/>
    <w:rsid w:val="04446191"/>
    <w:rsid w:val="044C50BA"/>
    <w:rsid w:val="04F8329E"/>
    <w:rsid w:val="06083DE9"/>
    <w:rsid w:val="06A2550B"/>
    <w:rsid w:val="06D415D0"/>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5839DC"/>
    <w:rsid w:val="20642787"/>
    <w:rsid w:val="21556F04"/>
    <w:rsid w:val="21FE45B6"/>
    <w:rsid w:val="22403BD3"/>
    <w:rsid w:val="24B92327"/>
    <w:rsid w:val="2533755C"/>
    <w:rsid w:val="26396DF4"/>
    <w:rsid w:val="27167136"/>
    <w:rsid w:val="27B23302"/>
    <w:rsid w:val="29310A5F"/>
    <w:rsid w:val="29C37A35"/>
    <w:rsid w:val="29C95E09"/>
    <w:rsid w:val="2A076083"/>
    <w:rsid w:val="2A73162E"/>
    <w:rsid w:val="2B167953"/>
    <w:rsid w:val="2B200583"/>
    <w:rsid w:val="2B6124E2"/>
    <w:rsid w:val="2B8209DE"/>
    <w:rsid w:val="2C161D32"/>
    <w:rsid w:val="2C2D3EC7"/>
    <w:rsid w:val="2C6762A3"/>
    <w:rsid w:val="2D8D2A49"/>
    <w:rsid w:val="2FE029D7"/>
    <w:rsid w:val="2FF06E00"/>
    <w:rsid w:val="315D199F"/>
    <w:rsid w:val="315F0B22"/>
    <w:rsid w:val="31D84415"/>
    <w:rsid w:val="32285F6F"/>
    <w:rsid w:val="32770556"/>
    <w:rsid w:val="329C0913"/>
    <w:rsid w:val="3337290D"/>
    <w:rsid w:val="337A483C"/>
    <w:rsid w:val="352930DB"/>
    <w:rsid w:val="35573069"/>
    <w:rsid w:val="358C217E"/>
    <w:rsid w:val="359F188C"/>
    <w:rsid w:val="35AC2E60"/>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4E6BDA"/>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8487</Words>
  <Characters>12193</Characters>
  <Lines>161</Lines>
  <Paragraphs>45</Paragraphs>
  <TotalTime>14</TotalTime>
  <ScaleCrop>false</ScaleCrop>
  <LinksUpToDate>false</LinksUpToDate>
  <CharactersWithSpaces>13365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2025-10-15T09:37:19Z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BB46EABDBB2749749395447164B066B3_12</vt:lpwstr>
  </property>
</Properties>
</file>