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rPr>
      </w:pPr>
      <w:r>
        <w:rPr>
          <w:rFonts w:hint="eastAsia" w:ascii="Times New Roman" w:hAnsi="Times New Roman" w:eastAsia="方正小标宋_GBK" w:cs="方正小标宋_GBK"/>
          <w:color w:val="auto"/>
          <w:sz w:val="36"/>
          <w:szCs w:val="36"/>
        </w:rPr>
        <w:t>石柱土家族自治县中益乡新时代文明实践服务中心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shd w:val="clear" w:color="auto" w:fill="FFFFFF"/>
        </w:rPr>
      </w:pP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Times New Roman" w:hAnsi="Times New Roman" w:eastAsia="方正小标宋_GBK" w:cs="方正小标宋_GBK"/>
          <w:color w:val="auto"/>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36"/>
          <w:szCs w:val="36"/>
          <w:shd w:val="clear" w:color="auto" w:fill="FFFFFF"/>
        </w:rPr>
      </w:pP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一、</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基本情况</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color w:val="auto"/>
          <w:sz w:val="32"/>
          <w:szCs w:val="32"/>
        </w:rPr>
      </w:pPr>
      <w:r>
        <w:rPr>
          <w:rStyle w:val="8"/>
          <w:rFonts w:ascii="Times New Roman" w:hAnsi="Times New Roman" w:eastAsia="楷体" w:cs="楷体"/>
          <w:color w:val="auto"/>
          <w:sz w:val="32"/>
          <w:szCs w:val="32"/>
          <w:shd w:val="clear" w:color="auto" w:fill="FFFFFF"/>
        </w:rPr>
        <w:t>（一）职能职责</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本单位主要的职能职责为</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为开展新时代文明实践活动和群众文化活动提供服务。</w:t>
      </w:r>
      <w:r>
        <w:rPr>
          <w:rFonts w:hint="default" w:ascii="Times New Roman" w:hAnsi="Times New Roman" w:eastAsia="方正仿宋_GBK" w:cs="Times New Roman"/>
          <w:b w:val="0"/>
          <w:bCs w:val="0"/>
          <w:color w:val="auto"/>
          <w:sz w:val="32"/>
          <w:szCs w:val="32"/>
          <w:shd w:val="clear" w:color="auto" w:fill="FFFFFF"/>
        </w:rPr>
        <w:t>具体职能职责任务包括以下内容：</w:t>
      </w:r>
      <w:r>
        <w:rPr>
          <w:rFonts w:hint="eastAsia" w:ascii="Times New Roman" w:hAnsi="Times New Roman" w:eastAsia="方正仿宋_GBK" w:cs="Times New Roman"/>
          <w:b w:val="0"/>
          <w:bCs w:val="0"/>
          <w:color w:val="auto"/>
          <w:sz w:val="32"/>
          <w:szCs w:val="32"/>
          <w:shd w:val="clear" w:color="auto" w:fill="FFFFFF"/>
          <w:lang w:eastAsia="zh-CN"/>
        </w:rPr>
        <w:t>（</w:t>
      </w:r>
      <w:r>
        <w:rPr>
          <w:rFonts w:hint="eastAsia" w:ascii="Times New Roman" w:hAnsi="Times New Roman" w:eastAsia="方正仿宋_GBK" w:cs="Times New Roman"/>
          <w:b w:val="0"/>
          <w:bCs w:val="0"/>
          <w:color w:val="auto"/>
          <w:sz w:val="32"/>
          <w:szCs w:val="32"/>
          <w:shd w:val="clear" w:color="auto" w:fill="FFFFFF"/>
          <w:lang w:val="en-US" w:eastAsia="zh-CN"/>
        </w:rPr>
        <w:t>1</w:t>
      </w:r>
      <w:r>
        <w:rPr>
          <w:rFonts w:hint="eastAsia" w:ascii="Times New Roman" w:hAnsi="Times New Roman" w:eastAsia="方正仿宋_GBK" w:cs="Times New Roman"/>
          <w:b w:val="0"/>
          <w:bCs w:val="0"/>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贯彻落实文化、体育、旅游、新时代文明实践工作和精神文明建设工作的方针政策。</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负责指导、协调、规划辖区新时代文明实践、精神文明建设工作。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3</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负责精神文明建设先进典型培育、挖掘、推介工作。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负责辖区志愿服务工作和志愿者队伍建设。</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5</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负责乡镇、村两级文化体育阵地建设</w:t>
      </w:r>
      <w:bookmarkStart w:id="0" w:name="_GoBack"/>
      <w:bookmarkEnd w:id="0"/>
      <w:r>
        <w:rPr>
          <w:rFonts w:hint="eastAsia" w:ascii="Times New Roman" w:hAnsi="Times New Roman" w:eastAsia="方正仿宋_GBK" w:cs="方正仿宋_GBK"/>
          <w:color w:val="auto"/>
          <w:sz w:val="32"/>
          <w:szCs w:val="32"/>
          <w:shd w:val="clear" w:color="auto" w:fill="FFFFFF"/>
        </w:rPr>
        <w:t>，承担辖区文化体育、广播电视、旅游设施的建设、维护、管理等事务性工作。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负责乡村旅游服务工作，组织开展文化体育活动、文化交流。</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7</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负责辖区内文物、非物质文化遗产的挖掘、保护及地方文献资料的收集整理工作。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8</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负责科技培训工作。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9</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负责指导各村开展文体活动。负责乡党委、人民政府交办的其他工作任务。</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color w:val="auto"/>
          <w:sz w:val="32"/>
          <w:szCs w:val="32"/>
        </w:rPr>
      </w:pPr>
      <w:r>
        <w:rPr>
          <w:rStyle w:val="8"/>
          <w:rFonts w:ascii="Times New Roman" w:hAnsi="Times New Roman" w:eastAsia="楷体" w:cs="楷体"/>
          <w:color w:val="auto"/>
          <w:sz w:val="32"/>
          <w:szCs w:val="32"/>
          <w:shd w:val="clear" w:color="auto" w:fill="FFFFFF"/>
        </w:rPr>
        <w:t>（二）机构设置</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设置中益乡</w:t>
      </w:r>
      <w:r>
        <w:rPr>
          <w:rFonts w:hint="eastAsia" w:ascii="Times New Roman" w:hAnsi="Times New Roman" w:eastAsia="方正仿宋_GBK" w:cs="方正仿宋_GBK"/>
          <w:color w:val="auto"/>
          <w:sz w:val="32"/>
          <w:szCs w:val="32"/>
          <w:shd w:val="clear" w:color="auto" w:fill="FFFFFF"/>
          <w:lang w:val="en-US" w:eastAsia="zh-CN"/>
        </w:rPr>
        <w:t>新时代文明实践</w:t>
      </w:r>
      <w:r>
        <w:rPr>
          <w:rFonts w:hint="eastAsia" w:ascii="Times New Roman" w:hAnsi="Times New Roman" w:eastAsia="方正仿宋_GBK" w:cs="方正仿宋_GBK"/>
          <w:color w:val="auto"/>
          <w:sz w:val="32"/>
          <w:szCs w:val="32"/>
          <w:shd w:val="clear" w:color="auto" w:fill="FFFFFF"/>
        </w:rPr>
        <w:t>服务中心，属于财政拨款公益一类副科级事业单位。</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二、</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决算</w:t>
      </w:r>
      <w:r>
        <w:rPr>
          <w:rStyle w:val="8"/>
          <w:rFonts w:hint="eastAsia" w:ascii="Times New Roman" w:hAnsi="Times New Roman" w:eastAsia="黑体" w:cs="黑体"/>
          <w:color w:val="auto"/>
          <w:sz w:val="32"/>
          <w:szCs w:val="32"/>
          <w:shd w:val="clear" w:color="auto" w:fill="FFFFFF"/>
          <w:lang w:eastAsia="zh-CN"/>
        </w:rPr>
        <w:t>收支</w:t>
      </w:r>
      <w:r>
        <w:rPr>
          <w:rStyle w:val="8"/>
          <w:rFonts w:ascii="Times New Roman" w:hAnsi="Times New Roman"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pPr>
        <w:pStyle w:val="5"/>
        <w:shd w:val="clear"/>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收、支与2023年度相比，增加5.32万元，增长14.2%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人员自然增资和补缴事业人员2024年养老保险、职业年金导致本年收入增加</w:t>
      </w:r>
      <w:r>
        <w:rPr>
          <w:rFonts w:ascii="Times New Roman" w:hAnsi="Times New Roman" w:eastAsia="方正仿宋_GBK" w:cs="方正仿宋_GBK"/>
          <w:color w:val="auto"/>
          <w:sz w:val="32"/>
          <w:szCs w:val="32"/>
          <w:shd w:val="clear" w:color="auto" w:fill="FFFFFF"/>
        </w:rPr>
        <w:t>。</w:t>
      </w:r>
    </w:p>
    <w:p>
      <w:pPr>
        <w:pStyle w:val="5"/>
        <w:shd w:val="clear"/>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与2023年度相比，增加5.32万元，增长14.2%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人员自然增资和补缴事业人员2024年养老保险、职业年金导致本年收入增加。</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与2023年度相比，增加5.32万元，增长14.2%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财政拨款收、支总计各增加5.32万元，增长14.2%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与2023年度相比，增加5.32万元，增长14.2%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人员自然增资和补缴事业人员2024年养老保险、职业年金导致本年收入增加。</w:t>
      </w:r>
      <w:r>
        <w:rPr>
          <w:rFonts w:hint="default" w:ascii="Times New Roman" w:hAnsi="Times New Roman" w:eastAsia="方正仿宋_GBK"/>
          <w:color w:val="auto"/>
          <w:sz w:val="32"/>
          <w:szCs w:val="32"/>
          <w:shd w:val="clear" w:color="auto" w:fill="FFFFFF"/>
        </w:rPr>
        <w:t>较年初预算数增加9.10万元，增长26.9%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人员自然增资和补缴事业人员2024年养老保险、职业年金导致本年收入增加。</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与2023年度相比，增加5.32万元，增长14.2%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hint="default" w:ascii="Times New Roman" w:hAnsi="Times New Roman" w:eastAsia="方正仿宋_GBK"/>
          <w:color w:val="auto"/>
          <w:sz w:val="32"/>
          <w:szCs w:val="32"/>
          <w:shd w:val="clear" w:color="auto" w:fill="FFFFFF"/>
        </w:rPr>
        <w:t>较年初预算数增加9.10万元，增长26.9%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人员自然增资和补缴事业人员2024年养老保险、职业年金导致本年</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34.97</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81.6%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较年初预算数增加8.09万元，增长30.1%</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补缴事业人员2024年养老保险、职业年金</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4.42</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10.3%</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较年初预算数增加1.00万元，增长29.2%</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补缴事业人员2024年养老保险、职业年金</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1.77</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p>
    <w:p>
      <w:pPr>
        <w:shd w:val="clea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1.71</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42.88</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38.59</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与2023年度相比，增加5.31万元，增长16.0%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人员自然增资和补缴事业人员2024年养老保险、职业年金</w:t>
      </w:r>
      <w:r>
        <w:rPr>
          <w:rFonts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基本工资、津贴补贴、奖金、社会保障缴费、其他工资福利支出</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4.28</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办公费、印刷费、咨询费、电费、邮电费、差旅费、会议费、培训费、劳务费、公务接待费、工会经费、公务用车运行维护费、其他交通费、其他商品和服务支出</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本单位2024年度无政府性基金预算财政拨款收支。</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本单位2024年度无国有资本经营预算财政拨款支出。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三、</w:t>
      </w:r>
      <w:r>
        <w:rPr>
          <w:rStyle w:val="8"/>
          <w:rFonts w:hint="eastAsia" w:ascii="Times New Roman" w:hAnsi="Times New Roman" w:eastAsia="黑体" w:cs="黑体"/>
          <w:color w:val="auto"/>
          <w:sz w:val="32"/>
          <w:szCs w:val="32"/>
          <w:shd w:val="clear" w:color="auto" w:fill="FFFFFF"/>
          <w:lang w:eastAsia="zh-CN"/>
        </w:rPr>
        <w:t>财政拨款</w:t>
      </w:r>
      <w:r>
        <w:rPr>
          <w:rStyle w:val="8"/>
          <w:rFonts w:ascii="Times New Roman" w:hAnsi="Times New Roman" w:eastAsia="黑体" w:cs="黑体"/>
          <w:color w:val="auto"/>
          <w:sz w:val="32"/>
          <w:szCs w:val="32"/>
          <w:shd w:val="clear" w:color="auto" w:fill="FFFFFF"/>
        </w:rPr>
        <w:t>“三公”经费情况说明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（一）“三公”经费支出总体情况说明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年三公开支全部纳入政府本级核算。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四、其他需要说明的事项</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ascii="Times New Roman" w:hAnsi="Times New Roman" w:eastAsia="楷体" w:cs="楷体"/>
          <w:b/>
          <w:bCs/>
          <w:color w:val="auto"/>
          <w:sz w:val="32"/>
          <w:szCs w:val="32"/>
          <w:shd w:val="clear" w:color="auto" w:fill="FFFFFF"/>
        </w:rPr>
        <w:t>（一）财政拨款会议费、培训费和差旅费情况说明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w:t>
      </w:r>
      <w:r>
        <w:rPr>
          <w:rFonts w:hint="eastAsia" w:ascii="Times New Roman" w:hAnsi="Times New Roman" w:eastAsia="方正仿宋_GBK"/>
          <w:color w:val="auto"/>
          <w:sz w:val="32"/>
          <w:szCs w:val="32"/>
          <w:shd w:val="clear" w:color="auto" w:fill="FFFFFF"/>
          <w:lang w:val="en-US" w:eastAsia="zh-CN"/>
        </w:rPr>
        <w:t>增减</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0.50</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按照部门决算列报口径，我单位不在机关运行经费统计范围之内。</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2024年度我单位未发生政府采购事项，无相关经费支出。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eastAsia" w:ascii="Times New Roman" w:hAnsi="Times New Roman" w:eastAsia="黑体" w:cs="黑体"/>
          <w:color w:val="auto"/>
          <w:sz w:val="32"/>
          <w:szCs w:val="32"/>
          <w:shd w:val="clear" w:color="auto" w:fill="FFFFFF"/>
          <w:lang w:val="en-US" w:eastAsia="zh-CN"/>
        </w:rPr>
        <w:t>五、</w:t>
      </w:r>
      <w:r>
        <w:rPr>
          <w:rStyle w:val="8"/>
          <w:rFonts w:hint="default" w:ascii="Times New Roman" w:hAnsi="Times New Roman" w:eastAsia="黑体" w:cs="黑体"/>
          <w:color w:val="auto"/>
          <w:sz w:val="32"/>
          <w:szCs w:val="32"/>
          <w:shd w:val="clear" w:color="auto" w:fill="FFFFFF"/>
        </w:rPr>
        <w:t>预算绩效管理情况说明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（一）单位自评情况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本单位属于中益乡人民政府下属二级单位，预算绩效管理工作由乡政府开展，我中心未开展预算绩效管理工作。</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（二）单位绩效评价情况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我单位未组织开展绩效评价。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（三）财政绩效评价情况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default" w:ascii="Times New Roman" w:hAnsi="Times New Roman" w:eastAsia="黑体" w:cs="黑体"/>
          <w:color w:val="auto"/>
          <w:sz w:val="32"/>
          <w:szCs w:val="32"/>
          <w:shd w:val="clear" w:color="auto" w:fill="FFFFFF"/>
        </w:rPr>
        <w:t>  六、专业名词解释</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kinsoku/>
        <w:wordWrap/>
        <w:overflowPunct/>
        <w:topLinePunct w:val="0"/>
        <w:autoSpaceDN/>
        <w:bidi w:val="0"/>
        <w:adjustRightInd/>
        <w:spacing w:beforeAutospacing="0" w:after="0" w:afterAutospacing="0" w:line="578"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 xml:space="preserve">  </w:t>
      </w:r>
      <w:r>
        <w:rPr>
          <w:rStyle w:val="8"/>
          <w:rFonts w:hint="default" w:ascii="Times New Roman" w:hAnsi="Times New Roman" w:eastAsia="黑体" w:cs="Times New Roman"/>
          <w:b w:val="0"/>
          <w:bCs/>
          <w:color w:val="auto"/>
          <w:sz w:val="32"/>
          <w:szCs w:val="32"/>
          <w:shd w:val="clear" w:color="auto" w:fill="FFFFFF"/>
        </w:rPr>
        <w:t>七、决算公开联系方式及信息反馈渠道</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sectPr>
          <w:footerReference r:id="rId3" w:type="default"/>
          <w:pgSz w:w="11915" w:h="16840"/>
          <w:pgMar w:top="1984" w:right="1446" w:bottom="1644" w:left="1446"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rPr>
        <w:t>023-73317001</w:t>
      </w:r>
      <w:r>
        <w:rPr>
          <w:rFonts w:hint="eastAsia" w:ascii="Times New Roman" w:hAnsi="Times New Roman" w:eastAsia="方正仿宋_GBK" w:cs="方正仿宋_GBK"/>
          <w:color w:val="auto"/>
          <w:sz w:val="32"/>
          <w:szCs w:val="32"/>
          <w:shd w:val="clear" w:color="auto" w:fill="FFFFFF"/>
          <w:lang w:eastAsia="zh-CN"/>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349,713.23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44,228.16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17,734.08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17,094.68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428,770.15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428,770.15</w:t>
            </w:r>
          </w:p>
        </w:tc>
      </w:tr>
    </w:tbl>
    <w:p>
      <w:pPr>
        <w:pStyle w:val="9"/>
        <w:numPr>
          <w:ilvl w:val="0"/>
          <w:numId w:val="0"/>
        </w:numPr>
        <w:autoSpaceDE w:val="0"/>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428,770.15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428,770.15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29,485.44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14,742.72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14,742.72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13,534.08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13,534.08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 xml:space="preserve">石柱土家族自治县中益乡新时代文明实践服务中心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428,770.15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428,770.15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349,713.23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44,228.16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29,485.44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14,742.72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14,742.72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17,734.08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13,534.08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13,534.08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349,713.23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349,713.23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44,228.16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44,228.16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17,734.08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17,734.08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17,094.68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17,094.68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428,770.15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428,770.15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428,770.15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428,770.15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428,770.15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349,713.23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349,713.23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44,228.16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29,485.44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29,485.44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29,485.44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29,485.44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14,742.72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14,742.72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14,742.72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14,742.72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17,734.08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13,534.08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13,534.08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13,534.08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13,534.08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17,094.68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17,094.68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17,094.68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17,094.68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17,094.68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385,920.87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42,849.28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80,364.00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25,188.00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199,638.00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29,485.44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14,742.72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14,246.40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961.63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17,094.68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2,849.28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385,920.87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42,849.28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石柱土家族自治县中益乡新时代文明实践服务中心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bl>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pStyle w:val="9"/>
        <w:autoSpaceDE w:val="0"/>
        <w:ind w:firstLine="0" w:firstLineChars="0"/>
        <w:rPr>
          <w:rFonts w:hint="default" w:ascii="Times New Roman" w:hAnsi="Times New Roman"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GVlMDgwYjRiOGZlZTk0MDI5YjYyNDEyNGM2MTU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DF45239"/>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02273C"/>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7055DC"/>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01070C"/>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7914</Words>
  <Characters>11276</Characters>
  <Lines>161</Lines>
  <Paragraphs>45</Paragraphs>
  <TotalTime>24</TotalTime>
  <ScaleCrop>false</ScaleCrop>
  <LinksUpToDate>false</LinksUpToDate>
  <CharactersWithSpaces>12396</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2025-10-15T09:16:28Z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BB46EABDBB2749749395447164B066B3_12</vt:lpwstr>
  </property>
</Properties>
</file>