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7611B">
      <w:pPr>
        <w:pStyle w:val="5"/>
        <w:pageBreakBefore w:val="0"/>
        <w:widowControl/>
        <w:kinsoku/>
        <w:wordWrap/>
        <w:overflowPunct/>
        <w:autoSpaceDN/>
        <w:bidi w:val="0"/>
        <w:adjustRightInd/>
        <w:spacing w:before="0" w:beforeAutospacing="0"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石柱土家族自治县沿溪镇</w:t>
      </w:r>
    </w:p>
    <w:p w14:paraId="2D71D016">
      <w:pPr>
        <w:pStyle w:val="5"/>
        <w:pageBreakBefore w:val="0"/>
        <w:widowControl/>
        <w:kinsoku/>
        <w:wordWrap/>
        <w:overflowPunct/>
        <w:autoSpaceDN/>
        <w:bidi w:val="0"/>
        <w:adjustRightInd/>
        <w:spacing w:before="0" w:beforeAutospacing="0"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便民服务中心</w:t>
      </w:r>
    </w:p>
    <w:p w14:paraId="35267FB3">
      <w:pPr>
        <w:pStyle w:val="5"/>
        <w:pageBreakBefore w:val="0"/>
        <w:widowControl/>
        <w:kinsoku/>
        <w:wordWrap/>
        <w:overflowPunct/>
        <w:autoSpaceDN/>
        <w:bidi w:val="0"/>
        <w:adjustRightInd/>
        <w:spacing w:before="0" w:beforeAutospacing="0" w:line="540" w:lineRule="exact"/>
        <w:jc w:val="center"/>
        <w:textAlignment w:val="auto"/>
        <w:rPr>
          <w:rFonts w:hint="eastAsia" w:ascii="方正小标宋_GBK" w:hAnsi="方正小标宋_GBK" w:eastAsia="方正小标宋_GBK" w:cs="方正小标宋_GBK"/>
          <w:sz w:val="44"/>
          <w:szCs w:val="44"/>
        </w:rPr>
      </w:pPr>
      <w:r>
        <w:rPr>
          <w:rFonts w:hint="default" w:ascii="方正小标宋_GBK" w:hAnsi="方正小标宋_GBK" w:eastAsia="方正小标宋_GBK" w:cs="方正小标宋_GBK"/>
          <w:sz w:val="44"/>
          <w:szCs w:val="44"/>
        </w:rPr>
        <w:t>202</w:t>
      </w:r>
      <w:r>
        <w:rPr>
          <w:rFonts w:hint="default" w:ascii="方正小标宋_GBK" w:hAnsi="方正小标宋_GBK" w:eastAsia="方正小标宋_GBK" w:cs="方正小标宋_GBK"/>
          <w:sz w:val="44"/>
          <w:szCs w:val="44"/>
          <w:lang w:val="en-US" w:eastAsia="zh-CN"/>
        </w:rPr>
        <w:t>4</w:t>
      </w:r>
      <w:r>
        <w:rPr>
          <w:rFonts w:hint="eastAsia" w:ascii="方正小标宋_GBK" w:hAnsi="方正小标宋_GBK" w:eastAsia="方正小标宋_GBK" w:cs="方正小标宋_GBK"/>
          <w:sz w:val="44"/>
          <w:szCs w:val="44"/>
        </w:rPr>
        <w:t>年度决算</w:t>
      </w:r>
      <w:r>
        <w:rPr>
          <w:rFonts w:hint="eastAsia" w:ascii="方正小标宋_GBK" w:hAnsi="方正小标宋_GBK" w:eastAsia="方正小标宋_GBK" w:cs="方正小标宋_GBK"/>
          <w:sz w:val="44"/>
          <w:szCs w:val="44"/>
          <w:lang w:val="en-US" w:eastAsia="zh-CN"/>
        </w:rPr>
        <w:t>公开</w:t>
      </w:r>
      <w:r>
        <w:rPr>
          <w:rFonts w:hint="eastAsia" w:ascii="方正小标宋_GBK" w:hAnsi="方正小标宋_GBK" w:eastAsia="方正小标宋_GBK" w:cs="方正小标宋_GBK"/>
          <w:sz w:val="44"/>
          <w:szCs w:val="44"/>
        </w:rPr>
        <w:t>说明</w:t>
      </w:r>
    </w:p>
    <w:p w14:paraId="0D8C9D1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一、部门基本情况</w:t>
      </w:r>
    </w:p>
    <w:p w14:paraId="2A8B652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14:paraId="1DE94111">
      <w:pPr>
        <w:snapToGrid w:val="0"/>
        <w:spacing w:line="520" w:lineRule="exact"/>
        <w:ind w:firstLine="640" w:firstLineChars="200"/>
        <w:rPr>
          <w:rFonts w:eastAsia="仿宋_GB2312"/>
          <w:sz w:val="32"/>
          <w:szCs w:val="32"/>
        </w:rPr>
      </w:pPr>
      <w:r>
        <w:rPr>
          <w:rFonts w:eastAsia="仿宋_GB2312"/>
          <w:sz w:val="32"/>
          <w:szCs w:val="32"/>
        </w:rPr>
        <w:t>1．主要职能。</w:t>
      </w:r>
    </w:p>
    <w:p w14:paraId="1FE1A210">
      <w:pPr>
        <w:tabs>
          <w:tab w:val="left" w:pos="5340"/>
        </w:tabs>
        <w:spacing w:line="594"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宗旨：为辖区群众提供优质高效的便民服务。</w:t>
      </w:r>
    </w:p>
    <w:p w14:paraId="19F6A75C">
      <w:pPr>
        <w:snapToGrid w:val="0"/>
        <w:spacing w:line="520" w:lineRule="exact"/>
        <w:ind w:firstLine="640" w:firstLineChars="200"/>
        <w:rPr>
          <w:rFonts w:hint="eastAsia" w:eastAsia="方正仿宋_GBK"/>
          <w:sz w:val="32"/>
          <w:szCs w:val="32"/>
          <w:lang w:eastAsia="zh-CN"/>
        </w:rPr>
      </w:pPr>
      <w:r>
        <w:rPr>
          <w:rFonts w:hint="eastAsia" w:ascii="Times New Roman" w:hAnsi="Times New Roman" w:eastAsia="方正仿宋_GBK"/>
          <w:sz w:val="32"/>
          <w:szCs w:val="32"/>
        </w:rPr>
        <w:t>主要职责：贯彻落实劳动就业和社会保障、退役军人相关法律法规及政策。负责辖区内养老、医疗、失业、工伤、生育保险等社会保险服务工作。负责辖区内失业人员就业培训、职业介绍、就业创业指导、就业再就业小额贷款推荐审核等服务工作。负责辖区内农村富余劳动力及外来务工人员的就业管理服务工作。负责辖区内退休人员、工伤人员及享受供养亲属抚恤金人员的社会化服务工作。负责村（社区）劳动就业和社会保障服务站和社会保障工作者的业务指导工作。负责辖区内退役军人及其他优抚对象关系转接、来访接待、信息采集、政策宣传咨询、情况反映、慰问帮扶、光荣牌悬挂和服务管理、待遇保障等保障服务工作。负责协助开展退役军人就业创业、困难帮扶、心理疏导、权益维护、法律服务及相关舆情收集、引导等工作。负责协助开展军属、烈属、伤病残疾军人、带病回乡退役军人服务等拥军优属等工作。负责协助开展烈士纪念设施管护等褒扬纪念工作。负责村（社区）退役军人服务站的业务指导工作。负责镇党委、人民政府交办的其他工作任务</w:t>
      </w:r>
      <w:r>
        <w:rPr>
          <w:rFonts w:hint="eastAsia" w:eastAsia="方正仿宋_GBK"/>
          <w:sz w:val="32"/>
          <w:szCs w:val="32"/>
          <w:lang w:eastAsia="zh-CN"/>
        </w:rPr>
        <w:t>。</w:t>
      </w:r>
    </w:p>
    <w:p w14:paraId="6458DB8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14:paraId="1B871455">
      <w:pPr>
        <w:snapToGrid w:val="0"/>
        <w:spacing w:line="520" w:lineRule="exact"/>
        <w:ind w:firstLine="640" w:firstLineChars="200"/>
        <w:rPr>
          <w:rFonts w:eastAsia="仿宋_GB2312"/>
          <w:color w:val="000000"/>
          <w:sz w:val="32"/>
          <w:szCs w:val="32"/>
        </w:rPr>
      </w:pPr>
      <w:r>
        <w:rPr>
          <w:rFonts w:hint="eastAsia" w:eastAsia="仿宋_GB2312"/>
          <w:color w:val="000000"/>
          <w:sz w:val="32"/>
          <w:szCs w:val="32"/>
        </w:rPr>
        <w:t>本单位只有石柱土家族自治县人民政府沿溪镇人民政府便民服务中心一个机构</w:t>
      </w:r>
      <w:r>
        <w:rPr>
          <w:rFonts w:eastAsia="仿宋_GB2312"/>
          <w:color w:val="000000"/>
          <w:sz w:val="32"/>
          <w:szCs w:val="32"/>
        </w:rPr>
        <w:t>。本单位人员编制共</w:t>
      </w:r>
      <w:r>
        <w:rPr>
          <w:rFonts w:hint="eastAsia" w:eastAsia="仿宋_GB2312"/>
          <w:color w:val="000000"/>
          <w:sz w:val="32"/>
          <w:szCs w:val="32"/>
          <w:lang w:val="en-US" w:eastAsia="zh-CN"/>
        </w:rPr>
        <w:t>5</w:t>
      </w:r>
      <w:r>
        <w:rPr>
          <w:rFonts w:eastAsia="仿宋_GB2312"/>
          <w:color w:val="000000"/>
          <w:sz w:val="32"/>
          <w:szCs w:val="32"/>
        </w:rPr>
        <w:t>人，实有</w:t>
      </w:r>
      <w:r>
        <w:rPr>
          <w:rFonts w:hint="eastAsia" w:eastAsia="仿宋_GB2312"/>
          <w:color w:val="000000"/>
          <w:sz w:val="32"/>
          <w:szCs w:val="32"/>
          <w:lang w:val="en-US" w:eastAsia="zh-CN"/>
        </w:rPr>
        <w:t>5</w:t>
      </w:r>
      <w:r>
        <w:rPr>
          <w:rFonts w:eastAsia="仿宋_GB2312"/>
          <w:color w:val="000000"/>
          <w:sz w:val="32"/>
          <w:szCs w:val="32"/>
        </w:rPr>
        <w:t>人。本年无人员增减。</w:t>
      </w:r>
      <w:bookmarkStart w:id="0" w:name="_GoBack"/>
      <w:bookmarkEnd w:id="0"/>
    </w:p>
    <w:p w14:paraId="6450BEB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二、部门决算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14:paraId="5CCF1FF7">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66CA2AD5">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81.80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收、支与2023年度相比，增加2.90万元，增长3.7%</w:t>
      </w:r>
      <w:r>
        <w:rPr>
          <w:rFonts w:ascii="方正仿宋_GBK" w:hAnsi="方正仿宋_GBK" w:eastAsia="方正仿宋_GBK" w:cs="方正仿宋_GBK"/>
          <w:sz w:val="32"/>
          <w:szCs w:val="32"/>
          <w:shd w:val="clear" w:color="auto" w:fill="FFFFFF"/>
        </w:rPr>
        <w:t>，主要原因是人员工资调整及五险一金调标</w:t>
      </w:r>
      <w:r>
        <w:rPr>
          <w:rFonts w:hint="eastAsia" w:ascii="方正仿宋_GBK" w:hAnsi="方正仿宋_GBK" w:eastAsia="方正仿宋_GBK" w:cs="方正仿宋_GBK"/>
          <w:sz w:val="32"/>
          <w:szCs w:val="32"/>
          <w:shd w:val="clear" w:color="auto" w:fill="FFFFFF"/>
          <w:lang w:eastAsia="zh-CN"/>
        </w:rPr>
        <w:t>。</w:t>
      </w:r>
    </w:p>
    <w:p w14:paraId="7F7A2863">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81.80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与2023年度相比，增加2.90万元，增长3.7%</w:t>
      </w:r>
      <w:r>
        <w:rPr>
          <w:rFonts w:ascii="方正仿宋_GBK" w:hAnsi="方正仿宋_GBK" w:eastAsia="方正仿宋_GBK" w:cs="方正仿宋_GBK"/>
          <w:sz w:val="32"/>
          <w:szCs w:val="32"/>
          <w:shd w:val="clear" w:color="auto" w:fill="FFFFFF"/>
        </w:rPr>
        <w:t>，主要原因是人员工资调整及五险一金调标</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81.80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08205C04">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81.80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与2023年度相比，增加2.90万元，增长3.7%</w:t>
      </w:r>
      <w:r>
        <w:rPr>
          <w:rFonts w:ascii="方正仿宋_GBK" w:hAnsi="方正仿宋_GBK" w:eastAsia="方正仿宋_GBK" w:cs="方正仿宋_GBK"/>
          <w:sz w:val="32"/>
          <w:szCs w:val="32"/>
          <w:shd w:val="clear" w:color="auto" w:fill="FFFFFF"/>
        </w:rPr>
        <w:t>，主要原因是人员工资调整及五险一金调标</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81.80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131DBEC0">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eastAsia" w:ascii="Times New Roman" w:hAnsi="Times New Roman" w:eastAsia="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严格按照预算执行。</w:t>
      </w:r>
    </w:p>
    <w:p w14:paraId="2533B0B8">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6D52EFD7">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81.80</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财政拨款收、支总计各增加2.90万元，增长3.7%</w:t>
      </w:r>
      <w:r>
        <w:rPr>
          <w:rFonts w:ascii="方正仿宋_GBK" w:hAnsi="方正仿宋_GBK" w:eastAsia="方正仿宋_GBK" w:cs="方正仿宋_GBK"/>
          <w:sz w:val="32"/>
          <w:szCs w:val="32"/>
          <w:shd w:val="clear" w:color="auto" w:fill="FFFFFF"/>
        </w:rPr>
        <w:t>。主要原因是人员工资调整及五险一金调标</w:t>
      </w:r>
      <w:r>
        <w:rPr>
          <w:rFonts w:hint="eastAsia" w:ascii="方正仿宋_GBK" w:hAnsi="方正仿宋_GBK" w:eastAsia="方正仿宋_GBK" w:cs="方正仿宋_GBK"/>
          <w:sz w:val="32"/>
          <w:szCs w:val="32"/>
          <w:shd w:val="clear" w:color="auto" w:fill="FFFFFF"/>
          <w:lang w:eastAsia="zh-CN"/>
        </w:rPr>
        <w:t>。</w:t>
      </w:r>
    </w:p>
    <w:p w14:paraId="025D546B">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62F87478">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81.80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与2023年度相比，增加2.90万元，增长3.7%</w:t>
      </w:r>
      <w:r>
        <w:rPr>
          <w:rFonts w:ascii="方正仿宋_GBK" w:hAnsi="方正仿宋_GBK" w:eastAsia="方正仿宋_GBK" w:cs="方正仿宋_GBK"/>
          <w:sz w:val="32"/>
          <w:szCs w:val="32"/>
          <w:shd w:val="clear" w:color="auto" w:fill="FFFFFF"/>
        </w:rPr>
        <w:t>。主要原因是人员工资调整及五险一金调标</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较年初预算数增加13.98万元，增长20.6%</w:t>
      </w:r>
      <w:r>
        <w:rPr>
          <w:rFonts w:ascii="方正仿宋_GBK" w:hAnsi="方正仿宋_GBK" w:eastAsia="方正仿宋_GBK" w:cs="方正仿宋_GBK"/>
          <w:sz w:val="32"/>
          <w:szCs w:val="32"/>
          <w:shd w:val="clear" w:color="auto" w:fill="FFFFFF"/>
        </w:rPr>
        <w:t>。主要原因是机构改革，人数较去年增加一人</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此外，年初财政拨款结转和结余</w:t>
      </w:r>
      <w:r>
        <w:rPr>
          <w:rFonts w:hint="default" w:ascii="方正仿宋_GBK" w:hAnsi="方正仿宋_GBK" w:eastAsia="方正仿宋_GBK" w:cs="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3228367B">
      <w:pPr>
        <w:pStyle w:val="5"/>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81.80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与2023年度相比，增加2.90万元，增长3.7%</w:t>
      </w:r>
      <w:r>
        <w:rPr>
          <w:rFonts w:ascii="方正仿宋_GBK" w:hAnsi="方正仿宋_GBK" w:eastAsia="方正仿宋_GBK" w:cs="方正仿宋_GBK"/>
          <w:sz w:val="32"/>
          <w:szCs w:val="32"/>
          <w:shd w:val="clear" w:color="auto" w:fill="FFFFFF"/>
        </w:rPr>
        <w:t>。主要原因是人员工资调整及五险一金调标</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较年初预算数增加13.98万元，增长20.6%</w:t>
      </w:r>
      <w:r>
        <w:rPr>
          <w:rFonts w:ascii="方正仿宋_GBK" w:hAnsi="方正仿宋_GBK" w:eastAsia="方正仿宋_GBK" w:cs="方正仿宋_GBK"/>
          <w:sz w:val="32"/>
          <w:szCs w:val="32"/>
          <w:shd w:val="clear" w:color="auto" w:fill="FFFFFF"/>
        </w:rPr>
        <w:t>。主要原因是机构改革，人数较去年增加一人</w:t>
      </w:r>
      <w:r>
        <w:rPr>
          <w:rFonts w:hint="eastAsia" w:ascii="方正仿宋_GBK" w:hAnsi="方正仿宋_GBK" w:eastAsia="方正仿宋_GBK" w:cs="方正仿宋_GBK"/>
          <w:sz w:val="32"/>
          <w:szCs w:val="32"/>
          <w:shd w:val="clear" w:color="auto" w:fill="FFFFFF"/>
          <w:lang w:eastAsia="zh-CN"/>
        </w:rPr>
        <w:t>。</w:t>
      </w:r>
    </w:p>
    <w:p w14:paraId="1A4A6632">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21D42274">
      <w:pPr>
        <w:snapToGrid w:val="0"/>
        <w:spacing w:line="520" w:lineRule="exact"/>
        <w:ind w:firstLine="640" w:firstLineChars="200"/>
        <w:rPr>
          <w:rFonts w:eastAsia="仿宋_GB2312"/>
          <w:color w:val="000000"/>
          <w:sz w:val="32"/>
          <w:szCs w:val="32"/>
        </w:rPr>
      </w:pPr>
      <w:r>
        <w:rPr>
          <w:rFonts w:eastAsia="仿宋_GB2312"/>
          <w:color w:val="000000"/>
          <w:sz w:val="32"/>
          <w:szCs w:val="32"/>
        </w:rPr>
        <w:t>（1）社会保障与就业支出</w:t>
      </w:r>
      <w:r>
        <w:rPr>
          <w:rFonts w:hint="eastAsia" w:eastAsia="仿宋_GB2312"/>
          <w:color w:val="000000"/>
          <w:sz w:val="32"/>
          <w:szCs w:val="32"/>
          <w:lang w:val="en-US" w:eastAsia="zh-CN"/>
        </w:rPr>
        <w:t>74.84</w:t>
      </w:r>
      <w:r>
        <w:rPr>
          <w:rFonts w:eastAsia="仿宋_GB2312"/>
          <w:color w:val="000000"/>
          <w:sz w:val="32"/>
          <w:szCs w:val="32"/>
        </w:rPr>
        <w:t>万元，占</w:t>
      </w:r>
      <w:r>
        <w:rPr>
          <w:rFonts w:hint="eastAsia" w:eastAsia="仿宋_GB2312"/>
          <w:color w:val="000000"/>
          <w:sz w:val="32"/>
          <w:szCs w:val="32"/>
        </w:rPr>
        <w:t>91.</w:t>
      </w:r>
      <w:r>
        <w:rPr>
          <w:rFonts w:hint="eastAsia" w:eastAsia="仿宋_GB2312"/>
          <w:color w:val="000000"/>
          <w:sz w:val="32"/>
          <w:szCs w:val="32"/>
          <w:lang w:val="en-US" w:eastAsia="zh-CN"/>
        </w:rPr>
        <w:t>49</w:t>
      </w:r>
      <w:r>
        <w:rPr>
          <w:rFonts w:eastAsia="仿宋_GB2312"/>
          <w:color w:val="000000"/>
          <w:sz w:val="32"/>
          <w:szCs w:val="32"/>
        </w:rPr>
        <w:t>%，较年初预算数增加</w:t>
      </w:r>
      <w:r>
        <w:rPr>
          <w:rFonts w:hint="eastAsia" w:eastAsia="仿宋_GB2312"/>
          <w:color w:val="000000"/>
          <w:sz w:val="32"/>
          <w:szCs w:val="32"/>
          <w:lang w:val="en-US" w:eastAsia="zh-CN"/>
        </w:rPr>
        <w:t>13.98</w:t>
      </w:r>
      <w:r>
        <w:rPr>
          <w:rFonts w:eastAsia="仿宋_GB2312"/>
          <w:color w:val="000000"/>
          <w:sz w:val="32"/>
          <w:szCs w:val="32"/>
        </w:rPr>
        <w:t>万元，主要原因是</w:t>
      </w:r>
      <w:r>
        <w:rPr>
          <w:rFonts w:hint="eastAsia" w:eastAsia="仿宋_GB2312"/>
          <w:color w:val="000000"/>
          <w:sz w:val="32"/>
          <w:szCs w:val="32"/>
          <w:lang w:eastAsia="zh-CN"/>
        </w:rPr>
        <w:t>人员增加导致</w:t>
      </w:r>
      <w:r>
        <w:rPr>
          <w:rFonts w:eastAsia="仿宋_GB2312"/>
          <w:color w:val="000000"/>
          <w:sz w:val="32"/>
          <w:szCs w:val="32"/>
        </w:rPr>
        <w:t>职业年金和养老保险支出增加。</w:t>
      </w:r>
    </w:p>
    <w:p w14:paraId="56B036EE">
      <w:pPr>
        <w:snapToGrid w:val="0"/>
        <w:spacing w:line="520" w:lineRule="exact"/>
        <w:ind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lang w:val="en-US" w:eastAsia="zh-CN"/>
        </w:rPr>
        <w:t>2</w:t>
      </w:r>
      <w:r>
        <w:rPr>
          <w:rFonts w:eastAsia="仿宋_GB2312"/>
          <w:color w:val="000000"/>
          <w:sz w:val="32"/>
          <w:szCs w:val="32"/>
        </w:rPr>
        <w:t>）卫生健康支出</w:t>
      </w:r>
      <w:r>
        <w:rPr>
          <w:rFonts w:hint="eastAsia" w:eastAsia="仿宋_GB2312"/>
          <w:color w:val="000000"/>
          <w:sz w:val="32"/>
          <w:szCs w:val="32"/>
        </w:rPr>
        <w:t>3.</w:t>
      </w:r>
      <w:r>
        <w:rPr>
          <w:rFonts w:hint="eastAsia" w:eastAsia="仿宋_GB2312"/>
          <w:color w:val="000000"/>
          <w:sz w:val="32"/>
          <w:szCs w:val="32"/>
          <w:lang w:val="en-US" w:eastAsia="zh-CN"/>
        </w:rPr>
        <w:t>54</w:t>
      </w:r>
      <w:r>
        <w:rPr>
          <w:rFonts w:eastAsia="仿宋_GB2312"/>
          <w:color w:val="000000"/>
          <w:sz w:val="32"/>
          <w:szCs w:val="32"/>
        </w:rPr>
        <w:t>万元，占</w:t>
      </w:r>
      <w:r>
        <w:rPr>
          <w:rFonts w:hint="eastAsia" w:eastAsia="仿宋_GB2312"/>
          <w:color w:val="000000"/>
          <w:sz w:val="32"/>
          <w:szCs w:val="32"/>
          <w:lang w:val="en-US" w:eastAsia="zh-CN"/>
        </w:rPr>
        <w:t>4.33</w:t>
      </w:r>
      <w:r>
        <w:rPr>
          <w:rFonts w:eastAsia="仿宋_GB2312"/>
          <w:color w:val="000000"/>
          <w:sz w:val="32"/>
          <w:szCs w:val="32"/>
        </w:rPr>
        <w:t>%，较年初预算数增</w:t>
      </w:r>
      <w:r>
        <w:rPr>
          <w:rFonts w:hint="eastAsia" w:eastAsia="仿宋_GB2312"/>
          <w:color w:val="000000"/>
          <w:sz w:val="32"/>
          <w:szCs w:val="32"/>
          <w:lang w:eastAsia="zh-CN"/>
        </w:rPr>
        <w:t>减</w:t>
      </w:r>
      <w:r>
        <w:rPr>
          <w:rFonts w:hint="eastAsia" w:eastAsia="仿宋_GB2312"/>
          <w:color w:val="000000"/>
          <w:sz w:val="32"/>
          <w:szCs w:val="32"/>
          <w:lang w:val="en-US" w:eastAsia="zh-CN"/>
        </w:rPr>
        <w:t>0</w:t>
      </w:r>
      <w:r>
        <w:rPr>
          <w:rFonts w:eastAsia="仿宋_GB2312"/>
          <w:color w:val="000000"/>
          <w:sz w:val="32"/>
          <w:szCs w:val="32"/>
        </w:rPr>
        <w:t>万元，主要原因是</w:t>
      </w:r>
      <w:r>
        <w:rPr>
          <w:rFonts w:hint="eastAsia" w:eastAsia="仿宋_GB2312"/>
          <w:color w:val="000000"/>
          <w:sz w:val="32"/>
          <w:szCs w:val="32"/>
          <w:lang w:eastAsia="zh-CN"/>
        </w:rPr>
        <w:t>严格按预算执行</w:t>
      </w:r>
      <w:r>
        <w:rPr>
          <w:rFonts w:eastAsia="仿宋_GB2312"/>
          <w:color w:val="000000"/>
          <w:sz w:val="32"/>
          <w:szCs w:val="32"/>
        </w:rPr>
        <w:t>。</w:t>
      </w:r>
    </w:p>
    <w:p w14:paraId="250A8BD3">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eastAsia="仿宋_GB2312"/>
          <w:color w:val="000000"/>
          <w:sz w:val="32"/>
          <w:szCs w:val="32"/>
        </w:rPr>
        <w:t>（</w:t>
      </w:r>
      <w:r>
        <w:rPr>
          <w:rFonts w:hint="eastAsia" w:eastAsia="仿宋_GB2312"/>
          <w:color w:val="000000"/>
          <w:sz w:val="32"/>
          <w:szCs w:val="32"/>
          <w:lang w:val="en-US" w:eastAsia="zh-CN"/>
        </w:rPr>
        <w:t>3</w:t>
      </w:r>
      <w:r>
        <w:rPr>
          <w:rFonts w:eastAsia="仿宋_GB2312"/>
          <w:color w:val="000000"/>
          <w:sz w:val="32"/>
          <w:szCs w:val="32"/>
        </w:rPr>
        <w:t>）住房保障支出</w:t>
      </w:r>
      <w:r>
        <w:rPr>
          <w:rFonts w:hint="eastAsia" w:eastAsia="仿宋_GB2312"/>
          <w:color w:val="000000"/>
          <w:sz w:val="32"/>
          <w:szCs w:val="32"/>
        </w:rPr>
        <w:t>3.</w:t>
      </w:r>
      <w:r>
        <w:rPr>
          <w:rFonts w:hint="eastAsia" w:eastAsia="仿宋_GB2312"/>
          <w:color w:val="000000"/>
          <w:sz w:val="32"/>
          <w:szCs w:val="32"/>
          <w:lang w:val="en-US" w:eastAsia="zh-CN"/>
        </w:rPr>
        <w:t>42</w:t>
      </w:r>
      <w:r>
        <w:rPr>
          <w:rFonts w:eastAsia="仿宋_GB2312"/>
          <w:color w:val="000000"/>
          <w:sz w:val="32"/>
          <w:szCs w:val="32"/>
        </w:rPr>
        <w:t>万元，占</w:t>
      </w:r>
      <w:r>
        <w:rPr>
          <w:rFonts w:hint="eastAsia" w:eastAsia="仿宋_GB2312"/>
          <w:color w:val="000000"/>
          <w:sz w:val="32"/>
          <w:szCs w:val="32"/>
          <w:lang w:val="en-US" w:eastAsia="zh-CN"/>
        </w:rPr>
        <w:t>4.18</w:t>
      </w:r>
      <w:r>
        <w:rPr>
          <w:rFonts w:eastAsia="仿宋_GB2312"/>
          <w:color w:val="000000"/>
          <w:sz w:val="32"/>
          <w:szCs w:val="32"/>
        </w:rPr>
        <w:t>%，较年初预算数增</w:t>
      </w:r>
      <w:r>
        <w:rPr>
          <w:rFonts w:hint="eastAsia" w:eastAsia="仿宋_GB2312"/>
          <w:color w:val="000000"/>
          <w:sz w:val="32"/>
          <w:szCs w:val="32"/>
          <w:lang w:eastAsia="zh-CN"/>
        </w:rPr>
        <w:t>减</w:t>
      </w:r>
      <w:r>
        <w:rPr>
          <w:rFonts w:hint="eastAsia" w:eastAsia="仿宋_GB2312"/>
          <w:color w:val="000000"/>
          <w:sz w:val="32"/>
          <w:szCs w:val="32"/>
          <w:lang w:val="en-US" w:eastAsia="zh-CN"/>
        </w:rPr>
        <w:t>0</w:t>
      </w:r>
      <w:r>
        <w:rPr>
          <w:rFonts w:eastAsia="仿宋_GB2312"/>
          <w:color w:val="000000"/>
          <w:sz w:val="32"/>
          <w:szCs w:val="32"/>
        </w:rPr>
        <w:t>万元，主要原因</w:t>
      </w:r>
      <w:r>
        <w:rPr>
          <w:rFonts w:hint="eastAsia" w:eastAsia="仿宋_GB2312"/>
          <w:color w:val="000000"/>
          <w:sz w:val="32"/>
          <w:szCs w:val="32"/>
          <w:lang w:eastAsia="zh-CN"/>
        </w:rPr>
        <w:t>是严格按预算执行</w:t>
      </w:r>
      <w:r>
        <w:rPr>
          <w:rFonts w:eastAsia="仿宋_GB2312"/>
          <w:color w:val="000000"/>
          <w:sz w:val="32"/>
          <w:szCs w:val="32"/>
        </w:rPr>
        <w:t>。</w:t>
      </w:r>
    </w:p>
    <w:p w14:paraId="5AA86228">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eastAsia="仿宋_GB2312"/>
          <w:color w:val="000000"/>
          <w:sz w:val="32"/>
          <w:szCs w:val="32"/>
          <w:lang w:eastAsia="zh-CN"/>
        </w:rPr>
        <w:t>严格按预算执行</w:t>
      </w:r>
      <w:r>
        <w:rPr>
          <w:rFonts w:eastAsia="仿宋_GB2312"/>
          <w:color w:val="000000"/>
          <w:sz w:val="32"/>
          <w:szCs w:val="32"/>
        </w:rPr>
        <w:t>。</w:t>
      </w:r>
    </w:p>
    <w:p w14:paraId="1A8247DC">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642D59DC">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81.80</w:t>
      </w:r>
      <w:r>
        <w:rPr>
          <w:rFonts w:ascii="方正仿宋_GBK" w:hAnsi="方正仿宋_GBK" w:eastAsia="方正仿宋_GBK" w:cs="方正仿宋_GBK"/>
          <w:sz w:val="32"/>
          <w:szCs w:val="32"/>
          <w:shd w:val="clear" w:color="auto" w:fill="FFFFFF"/>
        </w:rPr>
        <w:t>万元。</w:t>
      </w:r>
    </w:p>
    <w:p w14:paraId="5D8B2C88">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6EFBB8E9">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73.23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与2023年度相比，增加2.76万元，增长3.9%</w:t>
      </w:r>
      <w:r>
        <w:rPr>
          <w:rFonts w:ascii="方正仿宋_GBK" w:hAnsi="方正仿宋_GBK" w:eastAsia="方正仿宋_GBK" w:cs="方正仿宋_GBK"/>
          <w:sz w:val="32"/>
          <w:szCs w:val="32"/>
          <w:shd w:val="clear" w:color="auto" w:fill="FFFFFF"/>
        </w:rPr>
        <w:t>，主要原因是人员工资调整及五险一金调标</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基本工资、津补贴、基础绩效工资、养老保险、职业年金、医疗保险等</w:t>
      </w:r>
      <w:r>
        <w:rPr>
          <w:rFonts w:hint="eastAsia" w:ascii="方正仿宋_GBK" w:hAnsi="方正仿宋_GBK" w:eastAsia="方正仿宋_GBK" w:cs="方正仿宋_GBK"/>
          <w:sz w:val="32"/>
          <w:szCs w:val="32"/>
          <w:shd w:val="clear" w:color="auto" w:fill="FFFFFF"/>
          <w:lang w:val="en-US" w:eastAsia="zh-CN"/>
        </w:rPr>
        <w:t>。</w:t>
      </w:r>
    </w:p>
    <w:p w14:paraId="429E3FFC">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8.57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与2023年度相比，增加0.13万元，增长1.5%</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办公支出增多</w:t>
      </w:r>
      <w:r>
        <w:rPr>
          <w:rFonts w:hint="default" w:ascii="Times New Roman" w:hAnsi="Times New Roman" w:eastAsia="方正仿宋_GBK" w:cs="Times New Roman"/>
          <w:sz w:val="32"/>
          <w:szCs w:val="32"/>
          <w:shd w:val="clear" w:color="auto" w:fill="FFFFFF"/>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rPr>
        <w:t>办公费、水费、电费等。</w:t>
      </w:r>
    </w:p>
    <w:p w14:paraId="4942DF2E">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2C4C0E2D">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本部门2024年度无政府性基金预算财政拨款收支。</w:t>
      </w:r>
    </w:p>
    <w:p w14:paraId="28BE14D1">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0A50F69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638" w:leftChars="266" w:firstLine="0" w:firstLineChars="0"/>
        <w:textAlignment w:val="auto"/>
        <w:rPr>
          <w:rStyle w:val="8"/>
          <w:rFonts w:hint="default" w:ascii="黑体" w:hAnsi="黑体" w:eastAsia="黑体" w:cs="黑体"/>
          <w:sz w:val="32"/>
          <w:szCs w:val="32"/>
          <w:shd w:val="clear" w:color="auto" w:fill="FFFFFF"/>
        </w:rPr>
      </w:pPr>
      <w:r>
        <w:rPr>
          <w:rFonts w:hint="default" w:ascii="Times New Roman" w:hAnsi="Times New Roman" w:eastAsia="方正仿宋_GBK" w:cs="Times New Roman"/>
          <w:sz w:val="32"/>
          <w:szCs w:val="32"/>
          <w:shd w:val="clear" w:color="auto" w:fill="FFFFFF"/>
        </w:rPr>
        <w:t>本部门2024年度无国有资本经营预算财政拨款支出。</w:t>
      </w: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14:paraId="1CCEBE7D">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256DDFC1">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0.49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较年初预算数增加0.49万元，增长100.0%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机构改革。</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rPr>
        <w:t>落实过紧日子要求，严控支出。</w:t>
      </w:r>
    </w:p>
    <w:p w14:paraId="6A218E62">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p>
    <w:p w14:paraId="2078CB3B">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594FF13A">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eastAsia" w:ascii="Times New Roman" w:hAnsi="Times New Roman" w:eastAsia="方正仿宋_GBK" w:cs="Times New Roman"/>
          <w:sz w:val="32"/>
          <w:szCs w:val="32"/>
          <w:shd w:val="clear" w:color="auto" w:fill="FFFFFF"/>
        </w:rPr>
        <w:t>年度本单位无因公出国（境）费用。</w:t>
      </w:r>
    </w:p>
    <w:p w14:paraId="02B4B6CA">
      <w:pPr>
        <w:pStyle w:val="5"/>
        <w:snapToGrid w:val="0"/>
        <w:spacing w:before="0" w:beforeAutospacing="0" w:after="0" w:afterAutospacing="0" w:line="596" w:lineRule="exact"/>
        <w:ind w:firstLine="640" w:firstLineChars="200"/>
        <w:jc w:val="both"/>
        <w:rPr>
          <w:rFonts w:hint="eastAsia"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eastAsia" w:ascii="Times New Roman" w:hAnsi="Times New Roman" w:eastAsia="方正仿宋_GBK" w:cs="Times New Roman"/>
          <w:sz w:val="32"/>
          <w:szCs w:val="32"/>
          <w:shd w:val="clear" w:color="auto" w:fill="FFFFFF"/>
        </w:rPr>
        <w:t>年度本单位无公务车购置费</w:t>
      </w:r>
      <w:r>
        <w:rPr>
          <w:rFonts w:hint="eastAsia" w:ascii="Times New Roman" w:hAnsi="Times New Roman" w:eastAsia="方正仿宋_GBK" w:cs="Times New Roman"/>
          <w:sz w:val="32"/>
          <w:szCs w:val="32"/>
          <w:shd w:val="clear" w:color="auto" w:fill="FFFFFF"/>
          <w:lang w:eastAsia="zh-CN"/>
        </w:rPr>
        <w:t>。</w:t>
      </w:r>
    </w:p>
    <w:p w14:paraId="48A214B2">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eastAsia" w:ascii="Times New Roman" w:hAnsi="Times New Roman" w:eastAsia="方正仿宋_GBK" w:cs="Times New Roman"/>
          <w:sz w:val="32"/>
          <w:szCs w:val="32"/>
          <w:shd w:val="clear" w:color="auto" w:fill="FFFFFF"/>
        </w:rPr>
        <w:t>年度本单位无公务车运行维护费</w:t>
      </w:r>
      <w:r>
        <w:rPr>
          <w:rFonts w:hint="eastAsia" w:ascii="Times New Roman" w:hAnsi="Times New Roman" w:eastAsia="方正仿宋_GBK" w:cs="Times New Roman"/>
          <w:sz w:val="32"/>
          <w:szCs w:val="32"/>
          <w:shd w:val="clear" w:color="auto" w:fill="FFFFFF"/>
          <w:lang w:eastAsia="zh-CN"/>
        </w:rPr>
        <w:t>。</w:t>
      </w:r>
    </w:p>
    <w:p w14:paraId="02857BE3">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0.49</w:t>
      </w:r>
      <w:r>
        <w:rPr>
          <w:rFonts w:ascii="方正仿宋_GBK" w:hAnsi="方正仿宋_GBK" w:eastAsia="方正仿宋_GBK" w:cs="方正仿宋_GBK"/>
          <w:sz w:val="32"/>
          <w:szCs w:val="32"/>
          <w:shd w:val="clear" w:color="auto" w:fill="FFFFFF"/>
        </w:rPr>
        <w:t>万元，主要用于接待</w:t>
      </w:r>
      <w:r>
        <w:rPr>
          <w:rFonts w:hint="eastAsia" w:ascii="Times New Roman" w:hAnsi="Times New Roman" w:eastAsia="方正仿宋_GBK"/>
          <w:sz w:val="32"/>
          <w:szCs w:val="32"/>
        </w:rPr>
        <w:t>上级及相关部门检查指导工作发生的接待开支</w:t>
      </w:r>
      <w:r>
        <w:rPr>
          <w:rFonts w:hint="eastAsia" w:ascii="Times New Roman" w:hAnsi="Times New Roman" w:eastAsia="方正仿宋_GBK" w:cs="Times New Roman"/>
          <w:sz w:val="32"/>
          <w:szCs w:val="32"/>
          <w:lang w:val="en-US" w:eastAsia="zh-CN" w:bidi="ar-SA"/>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较年初预算数增加0.49万元，增长100.0%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机构改革。</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rPr>
        <w:t>落实过紧日子要求，严控支出。</w:t>
      </w:r>
    </w:p>
    <w:p w14:paraId="3459F600">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74BC9DC7">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73</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187</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26.20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313B134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14:paraId="6FE135E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07784E0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lang w:val="en-US"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0.15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与2023年度相比，减少0.21万元，下降58.3%</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lang w:val="en-US" w:eastAsia="zh-CN" w:bidi="ar-SA"/>
        </w:rPr>
        <w:t>落实过紧日子要求，严控支出。</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0.15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与2023年度相比，减少0.20万元，下降57.1%</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lang w:val="en-US" w:eastAsia="zh-CN" w:bidi="ar-SA"/>
        </w:rPr>
        <w:t>落实过紧日子要求，严控支出。</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0.80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严格按照预算执行。</w:t>
      </w:r>
    </w:p>
    <w:p w14:paraId="3EB86E03">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31E9093F">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default" w:ascii="方正仿宋_GBK" w:hAnsi="方正仿宋_GBK" w:eastAsia="方正仿宋_GBK" w:cs="方正仿宋_GBK"/>
          <w:sz w:val="32"/>
          <w:szCs w:val="32"/>
          <w:shd w:val="clear" w:color="auto" w:fill="FFFFFF"/>
        </w:rPr>
        <w:t>按照部门决算列报口径，我</w:t>
      </w:r>
      <w:r>
        <w:rPr>
          <w:rFonts w:hint="eastAsia" w:ascii="方正仿宋_GBK" w:hAnsi="方正仿宋_GBK" w:eastAsia="方正仿宋_GBK" w:cs="方正仿宋_GBK"/>
          <w:sz w:val="32"/>
          <w:szCs w:val="32"/>
          <w:shd w:val="clear" w:color="auto" w:fill="FFFFFF"/>
          <w:lang w:eastAsia="zh-CN"/>
        </w:rPr>
        <w:t>部门</w:t>
      </w:r>
      <w:r>
        <w:rPr>
          <w:rFonts w:hint="default" w:ascii="方正仿宋_GBK" w:hAnsi="方正仿宋_GBK" w:eastAsia="方正仿宋_GBK" w:cs="方正仿宋_GBK"/>
          <w:sz w:val="32"/>
          <w:szCs w:val="32"/>
          <w:shd w:val="clear" w:color="auto" w:fill="FFFFFF"/>
        </w:rPr>
        <w:t>不在机关运行经费统计范围之内。</w:t>
      </w:r>
    </w:p>
    <w:p w14:paraId="27BD904D">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631C1FD0">
      <w:pPr>
        <w:keepNext/>
        <w:keepLines w:val="0"/>
        <w:pageBreakBefore w:val="0"/>
        <w:widowControl/>
        <w:suppressLineNumbers/>
        <w:kinsoku/>
        <w:wordWrap/>
        <w:overflowPunct/>
        <w:autoSpaceDE w:val="0"/>
        <w:autoSpaceDN w:val="0"/>
        <w:bidi w:val="0"/>
        <w:adjustRightInd w:val="0"/>
        <w:spacing w:beforeLines="0" w:afterLines="0" w:line="540" w:lineRule="exact"/>
        <w:ind w:firstLine="640" w:firstLineChars="200"/>
        <w:jc w:val="left"/>
        <w:textAlignment w:val="auto"/>
        <w:rPr>
          <w:rFonts w:hint="default"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shd w:val="clear" w:color="auto" w:fill="FFFFFF"/>
          <w:lang w:val="en-US" w:eastAsia="zh-CN" w:bidi="ar-SA"/>
        </w:rPr>
        <w:t>因本单位属于二级预算单位，我单位资产未纳入部门决算报表。</w:t>
      </w:r>
    </w:p>
    <w:p w14:paraId="6FDC36EA">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1750F3E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default" w:ascii="黑体" w:hAnsi="黑体" w:eastAsia="黑体" w:cs="黑体"/>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bidi="ar-SA"/>
        </w:rPr>
        <w:t>2024年度我部门未发生政府采购事项，无相关经费支出。</w:t>
      </w:r>
      <w:r>
        <w:rPr>
          <w:rStyle w:val="8"/>
          <w:rFonts w:hint="eastAsia" w:ascii="黑体" w:hAnsi="黑体" w:eastAsia="黑体" w:cs="黑体"/>
          <w:sz w:val="32"/>
          <w:szCs w:val="32"/>
          <w:shd w:val="clear" w:color="auto" w:fill="FFFFFF"/>
          <w:lang w:eastAsia="zh-CN"/>
        </w:rPr>
        <w:t>五、</w:t>
      </w:r>
      <w:r>
        <w:rPr>
          <w:rStyle w:val="8"/>
          <w:rFonts w:hint="eastAsia" w:ascii="黑体" w:hAnsi="黑体" w:eastAsia="黑体" w:cs="黑体"/>
          <w:sz w:val="32"/>
          <w:szCs w:val="32"/>
          <w:shd w:val="clear" w:color="auto" w:fill="FFFFFF"/>
        </w:rPr>
        <w:t>预算绩效管理情况说明</w:t>
      </w:r>
    </w:p>
    <w:p w14:paraId="549E6739">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（一）部门自评情况</w:t>
      </w:r>
    </w:p>
    <w:p w14:paraId="7A325820">
      <w:pPr>
        <w:keepLines w:val="0"/>
        <w:pageBreakBefore w:val="0"/>
        <w:widowControl/>
        <w:kinsoku/>
        <w:wordWrap/>
        <w:overflowPunct/>
        <w:topLinePunct/>
        <w:bidi w:val="0"/>
        <w:spacing w:beforeLines="0" w:afterLines="0" w:line="540" w:lineRule="exact"/>
        <w:ind w:firstLine="640" w:firstLineChars="200"/>
        <w:textAlignment w:val="auto"/>
        <w:rPr>
          <w:rFonts w:hint="default"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因本单位属于二级预算单位，预算绩效管理项目全部由本级管理，故</w:t>
      </w:r>
      <w:r>
        <w:rPr>
          <w:rFonts w:hint="default" w:ascii="Times New Roman" w:hAnsi="Times New Roman" w:eastAsia="方正仿宋_GBK" w:cs="Times New Roman"/>
          <w:sz w:val="32"/>
          <w:szCs w:val="32"/>
          <w:lang w:val="en-US" w:eastAsia="zh-CN" w:bidi="ar-SA"/>
        </w:rPr>
        <w:t>202</w:t>
      </w:r>
      <w:r>
        <w:rPr>
          <w:rFonts w:hint="eastAsia" w:ascii="Times New Roman" w:hAnsi="Times New Roman" w:eastAsia="方正仿宋_GBK" w:cs="Times New Roman"/>
          <w:sz w:val="32"/>
          <w:szCs w:val="32"/>
          <w:lang w:val="en-US" w:eastAsia="zh-CN" w:bidi="ar-SA"/>
        </w:rPr>
        <w:t>4年度我单位无预算绩效项目。</w:t>
      </w:r>
    </w:p>
    <w:p w14:paraId="48765D44">
      <w:pPr>
        <w:pStyle w:val="9"/>
        <w:keepNext w:val="0"/>
        <w:keepLines w:val="0"/>
        <w:pageBreakBefore w:val="0"/>
        <w:widowControl/>
        <w:kinsoku/>
        <w:wordWrap/>
        <w:overflowPunct/>
        <w:topLinePunct w:val="0"/>
        <w:autoSpaceDE w:val="0"/>
        <w:autoSpaceDN/>
        <w:bidi w:val="0"/>
        <w:adjustRightInd/>
        <w:snapToGrid/>
        <w:spacing w:line="596" w:lineRule="exact"/>
        <w:ind w:left="0" w:leftChars="0" w:firstLine="643" w:firstLineChars="200"/>
        <w:textAlignment w:val="auto"/>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（二）部门绩效评价情况</w:t>
      </w:r>
    </w:p>
    <w:p w14:paraId="0D599C40">
      <w:pPr>
        <w:pStyle w:val="9"/>
        <w:keepLines w:val="0"/>
        <w:pageBreakBefore w:val="0"/>
        <w:widowControl/>
        <w:kinsoku/>
        <w:wordWrap/>
        <w:overflowPunct/>
        <w:autoSpaceDE w:val="0"/>
        <w:bidi w:val="0"/>
        <w:spacing w:line="540" w:lineRule="exact"/>
        <w:ind w:left="0" w:leftChars="0" w:firstLine="640" w:firstLineChars="200"/>
        <w:textAlignment w:val="auto"/>
        <w:rPr>
          <w:rFonts w:hint="eastAsia" w:ascii="宋体" w:hAnsi="宋体"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我单位未组织开展绩效评价。</w:t>
      </w:r>
    </w:p>
    <w:p w14:paraId="620D24C2">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（三）财政绩效评价情况</w:t>
      </w:r>
    </w:p>
    <w:p w14:paraId="7FBAB3A4">
      <w:pPr>
        <w:pStyle w:val="9"/>
        <w:keepNext w:val="0"/>
        <w:keepLines/>
        <w:pageBreakBefore w:val="0"/>
        <w:widowControl/>
        <w:kinsoku/>
        <w:wordWrap/>
        <w:overflowPunct/>
        <w:topLinePunct w:val="0"/>
        <w:autoSpaceDE w:val="0"/>
        <w:autoSpaceDN/>
        <w:bidi w:val="0"/>
        <w:adjustRightInd/>
        <w:snapToGrid/>
        <w:spacing w:line="540" w:lineRule="exact"/>
        <w:ind w:left="0" w:leftChars="0" w:firstLine="640" w:firstLineChars="200"/>
        <w:textAlignment w:val="auto"/>
        <w:rPr>
          <w:rFonts w:hint="eastAsia" w:ascii="方正仿宋_GBK" w:hAnsi="方正仿宋_GBK" w:eastAsia="方正仿宋_GBK" w:cs="方正仿宋_GBK"/>
          <w:color w:val="FF0000"/>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市财政局未委托第三方对我部门开展绩效评价。</w:t>
      </w:r>
    </w:p>
    <w:p w14:paraId="182DE5FB">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黑体" w:hAnsi="黑体" w:eastAsia="黑体" w:cs="黑体"/>
          <w:sz w:val="32"/>
          <w:szCs w:val="32"/>
          <w:shd w:val="clear" w:color="auto" w:fill="FFFFFF"/>
          <w:lang w:val="en-US" w:eastAsia="zh-CN" w:bidi="ar-SA"/>
        </w:rPr>
        <w:t>六、专业名词解释</w:t>
      </w:r>
    </w:p>
    <w:p w14:paraId="007AE5EB">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0467EA22">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11FC98D6">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2B7BD936">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6A205D3">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33E6C469">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73DDFAA9">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11A035C0">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44BD43A8">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5AFDB0C">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076D077E">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5BE89F50">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18E464B">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2454759">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759A3251">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28FD5F19">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4F250282">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0328D01D">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黑体" w:hAnsi="黑体" w:eastAsia="黑体" w:cs="黑体"/>
          <w:sz w:val="32"/>
          <w:szCs w:val="32"/>
          <w:shd w:val="clear" w:color="auto" w:fill="FFFFFF"/>
          <w:lang w:val="en-US" w:eastAsia="zh-CN" w:bidi="ar-SA"/>
        </w:rPr>
        <w:t>七、决算公开联系方式及信息反馈渠道</w:t>
      </w:r>
    </w:p>
    <w:p w14:paraId="3E9410B4">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kern w:val="0"/>
          <w:sz w:val="32"/>
          <w:szCs w:val="32"/>
          <w:shd w:val="clear" w:fill="FFFFFF"/>
        </w:rPr>
        <w:t>本单位决算公开信息反馈和联系方式：</w:t>
      </w:r>
      <w:r>
        <w:rPr>
          <w:rFonts w:hint="eastAsia" w:ascii="方正仿宋_GBK" w:hAnsi="方正仿宋_GBK" w:eastAsia="方正仿宋_GBK" w:cs="方正仿宋_GBK"/>
          <w:sz w:val="32"/>
          <w:szCs w:val="32"/>
          <w:shd w:val="clear" w:color="auto" w:fill="FFFFFF"/>
          <w:lang w:val="en-US" w:eastAsia="zh-CN"/>
        </w:rPr>
        <w:t>023-73367001</w:t>
      </w: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14:paraId="027AA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5CCE4A8F">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0A6E2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275F1702">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石柱土家族自治县沿溪镇便民服务中心</w:t>
            </w:r>
          </w:p>
        </w:tc>
        <w:tc>
          <w:tcPr>
            <w:tcW w:w="4344" w:type="dxa"/>
            <w:tcBorders>
              <w:top w:val="nil"/>
              <w:left w:val="nil"/>
              <w:bottom w:val="nil"/>
              <w:right w:val="nil"/>
            </w:tcBorders>
            <w:shd w:val="clear" w:color="auto" w:fill="auto"/>
            <w:vAlign w:val="bottom"/>
          </w:tcPr>
          <w:p w14:paraId="604F2BC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25C07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3F029621">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14:paraId="0C82572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62A03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4B5E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33183E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61189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53174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14:paraId="2AAF27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14:paraId="389FF4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14:paraId="3D2868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14:paraId="64A7FE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14:paraId="2644AD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06484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2F642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14:paraId="42405CE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14:paraId="5AFF70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14:paraId="0B8F0A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14:paraId="0D97802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14:paraId="1D10B0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35B88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E496E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642110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14:paraId="028BEB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817,983.82 </w:t>
            </w:r>
          </w:p>
        </w:tc>
        <w:tc>
          <w:tcPr>
            <w:tcW w:w="4433" w:type="dxa"/>
            <w:tcBorders>
              <w:top w:val="nil"/>
              <w:left w:val="nil"/>
              <w:bottom w:val="single" w:color="000000" w:sz="4" w:space="0"/>
              <w:right w:val="single" w:color="000000" w:sz="4" w:space="0"/>
            </w:tcBorders>
            <w:shd w:val="clear" w:color="auto" w:fill="auto"/>
            <w:vAlign w:val="center"/>
          </w:tcPr>
          <w:p w14:paraId="1D6E75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7C68A3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32EB2C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6BDE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66FC63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0DC8E4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14:paraId="2753AB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39CD3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14:paraId="2E6140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35E8F2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2EE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2FABB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7BE9FE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14:paraId="3AFB83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DDBA5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14:paraId="68E4B8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1455D7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0B97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60640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49976C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14:paraId="53B08D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2A226C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4B5991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0B2B49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6C5F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10069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14:paraId="28A027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14:paraId="6D9A97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09277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14:paraId="0AE61B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4C4B90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C0A7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F196B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14:paraId="70E4D9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14:paraId="1C4B81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049B8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779AAF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7EF228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9D9D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C4107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1FD886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14:paraId="2E05C9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D959A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1B54B1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444D38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E010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27FCD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14:paraId="351594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14:paraId="79F6A5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5164D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3CE180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552E3F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748,383.64 </w:t>
            </w:r>
          </w:p>
        </w:tc>
      </w:tr>
      <w:tr w14:paraId="4F073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02298C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0F71F3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96AD9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95E5F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2D6949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14:paraId="14B76E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35,441.94 </w:t>
            </w:r>
          </w:p>
        </w:tc>
      </w:tr>
      <w:tr w14:paraId="76078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880629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438DC9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A34EA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C031E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247E21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14:paraId="05E987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613B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78B062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1F361E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7982A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1F7D3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32FA92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60FC8D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CDD4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4C59AC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34445B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F9E33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5435C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630070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76C3B0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0A25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56D8D6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54D422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119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7580AE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0AF131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3298E4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9D68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FDDF87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4E8DF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14:paraId="2615959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C7591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0393EF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4D4B23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16FC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9F27DC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E0454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14:paraId="003A4D7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6D773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3641B3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23F766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ECB7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B17702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312D5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14:paraId="36395BF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F525D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278CD7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08B1C7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DFBB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395153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BE0AC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14:paraId="7A983D2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541E6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00F491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200DD1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C458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14D09C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8E0A1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14:paraId="44E50E4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8F0BA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65BA2B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332653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CA40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C748E4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F5FBB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14:paraId="043C7E8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E3E7F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08685F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14:paraId="2C130B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34,158.24 </w:t>
            </w:r>
          </w:p>
        </w:tc>
      </w:tr>
      <w:tr w14:paraId="6CA5B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2F1BE6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E534D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14:paraId="2258923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122AB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66FA30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14:paraId="22B578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1944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C06D11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C3029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14:paraId="41E5395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7EAB9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01BFCB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5A1E33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779B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E26739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6893E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14:paraId="5D6EC7B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C0C8A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394ACF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7C2FAF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9D19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AE6C1F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FA337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14:paraId="04E8B22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9D382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1E68B2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254453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54B1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6F1720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15F08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14:paraId="210B1EE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A6AC2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1CFD8F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0EEB24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A424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656320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445D4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14:paraId="663319A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20609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5BE881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2E80FB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7B52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9D56F9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8B4C6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14:paraId="27642E3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8B6E93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752C2B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0B4333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BAEE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3281B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3AD71D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14:paraId="0EE047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817,983.82 </w:t>
            </w:r>
          </w:p>
        </w:tc>
        <w:tc>
          <w:tcPr>
            <w:tcW w:w="4433" w:type="dxa"/>
            <w:tcBorders>
              <w:top w:val="nil"/>
              <w:left w:val="nil"/>
              <w:bottom w:val="single" w:color="000000" w:sz="4" w:space="0"/>
              <w:right w:val="single" w:color="000000" w:sz="4" w:space="0"/>
            </w:tcBorders>
            <w:shd w:val="clear" w:color="auto" w:fill="auto"/>
            <w:vAlign w:val="center"/>
          </w:tcPr>
          <w:p w14:paraId="7EFFDE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7C3511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493B70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817,983.82 </w:t>
            </w:r>
          </w:p>
        </w:tc>
      </w:tr>
      <w:tr w14:paraId="45970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6E33B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54E832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14:paraId="2F27C8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F8A20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14:paraId="1E281C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14:paraId="2C35FA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C070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CF900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0DD0A2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14:paraId="5F49E7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C8623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304408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274744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6A2E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CDC9F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14:paraId="62351F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25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817,983.82 </w:t>
            </w:r>
          </w:p>
        </w:tc>
        <w:tc>
          <w:tcPr>
            <w:tcW w:w="4433" w:type="dxa"/>
            <w:tcBorders>
              <w:top w:val="nil"/>
              <w:left w:val="nil"/>
              <w:bottom w:val="single" w:color="000000" w:sz="4" w:space="0"/>
              <w:right w:val="single" w:color="000000" w:sz="4" w:space="0"/>
            </w:tcBorders>
            <w:shd w:val="clear" w:color="auto" w:fill="auto"/>
            <w:vAlign w:val="center"/>
          </w:tcPr>
          <w:p w14:paraId="66BDF7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14:paraId="6B2F5C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1A8FCCD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817,983.82</w:t>
            </w:r>
          </w:p>
        </w:tc>
      </w:tr>
    </w:tbl>
    <w:p w14:paraId="67781454">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78DED1E0">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13951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252E1D91">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5D96F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539B79EE">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石柱土家族自治县沿溪镇便民服务中心</w:t>
            </w:r>
          </w:p>
        </w:tc>
        <w:tc>
          <w:tcPr>
            <w:tcW w:w="2408" w:type="dxa"/>
            <w:tcBorders>
              <w:top w:val="nil"/>
              <w:left w:val="nil"/>
              <w:right w:val="nil"/>
            </w:tcBorders>
            <w:shd w:val="clear" w:color="auto" w:fill="auto"/>
            <w:vAlign w:val="bottom"/>
          </w:tcPr>
          <w:p w14:paraId="525CFA84">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25A1555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4FDA0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671E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3073F9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E2373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78079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BEAE4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12155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C0966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8C2C4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75785F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4AB74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47ED6">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6B8CCD8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00E551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87BCFB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52CAC6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C11FDB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D217C3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6D92FB9">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021CFBE">
            <w:pPr>
              <w:jc w:val="center"/>
              <w:rPr>
                <w:rFonts w:hint="eastAsia" w:ascii="宋体" w:hAnsi="宋体" w:eastAsia="宋体" w:cs="宋体"/>
                <w:i w:val="0"/>
                <w:iCs w:val="0"/>
                <w:color w:val="000000"/>
                <w:sz w:val="22"/>
                <w:szCs w:val="22"/>
                <w:u w:val="none"/>
              </w:rPr>
            </w:pPr>
          </w:p>
        </w:tc>
      </w:tr>
      <w:tr w14:paraId="4C3FC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6C2F5">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702FCBE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EBB9F3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FBF9FA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4A441D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ACB72B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17DDB1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BCC4863">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45CB6856">
            <w:pPr>
              <w:jc w:val="center"/>
              <w:rPr>
                <w:rFonts w:hint="eastAsia" w:ascii="宋体" w:hAnsi="宋体" w:eastAsia="宋体" w:cs="宋体"/>
                <w:i w:val="0"/>
                <w:iCs w:val="0"/>
                <w:color w:val="000000"/>
                <w:sz w:val="22"/>
                <w:szCs w:val="22"/>
                <w:u w:val="none"/>
              </w:rPr>
            </w:pPr>
          </w:p>
        </w:tc>
      </w:tr>
      <w:tr w14:paraId="47797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D4D42">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5A5FE2A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57663E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A3F693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FE55AE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905DD5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2DCB3A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9895920">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147A8FF4">
            <w:pPr>
              <w:jc w:val="center"/>
              <w:rPr>
                <w:rFonts w:hint="eastAsia" w:ascii="宋体" w:hAnsi="宋体" w:eastAsia="宋体" w:cs="宋体"/>
                <w:i w:val="0"/>
                <w:iCs w:val="0"/>
                <w:color w:val="000000"/>
                <w:sz w:val="22"/>
                <w:szCs w:val="22"/>
                <w:u w:val="none"/>
              </w:rPr>
            </w:pPr>
          </w:p>
        </w:tc>
      </w:tr>
      <w:tr w14:paraId="2E2C5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0F2D03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320F11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5A2518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14:paraId="46A4E1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50192C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5C29D2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46CFC3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78D238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00D764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0E98D6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5FA278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02049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796B2908">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4129370A">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7710205E">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14:paraId="441F2E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1537CD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817,983.82 </w:t>
            </w:r>
          </w:p>
        </w:tc>
        <w:tc>
          <w:tcPr>
            <w:tcW w:w="2403" w:type="dxa"/>
            <w:tcBorders>
              <w:top w:val="nil"/>
              <w:left w:val="nil"/>
              <w:bottom w:val="single" w:color="000000" w:sz="4" w:space="0"/>
              <w:right w:val="single" w:color="000000" w:sz="4" w:space="0"/>
            </w:tcBorders>
            <w:shd w:val="clear" w:color="auto" w:fill="auto"/>
            <w:vAlign w:val="center"/>
          </w:tcPr>
          <w:p w14:paraId="2BE638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817,983.82 </w:t>
            </w:r>
          </w:p>
        </w:tc>
        <w:tc>
          <w:tcPr>
            <w:tcW w:w="2403" w:type="dxa"/>
            <w:tcBorders>
              <w:top w:val="nil"/>
              <w:left w:val="nil"/>
              <w:bottom w:val="single" w:color="000000" w:sz="4" w:space="0"/>
              <w:right w:val="single" w:color="000000" w:sz="4" w:space="0"/>
            </w:tcBorders>
            <w:shd w:val="clear" w:color="auto" w:fill="auto"/>
            <w:vAlign w:val="center"/>
          </w:tcPr>
          <w:p w14:paraId="5A1114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EB8BE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71644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32B4E2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538A72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77364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BD8839F">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2CE5594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A7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748,383.64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C9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748,383.64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42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10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8E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F0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51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82C8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A1030A9">
            <w:pPr>
              <w:textAlignment w:val="center"/>
              <w:rPr>
                <w:rFonts w:hint="eastAsia" w:ascii="宋体" w:hAnsi="宋体" w:eastAsia="宋体" w:cs="宋体"/>
                <w:i w:val="0"/>
                <w:iCs w:val="0"/>
                <w:color w:val="000000"/>
                <w:sz w:val="22"/>
                <w:szCs w:val="22"/>
                <w:u w:val="none"/>
              </w:rPr>
            </w:pPr>
            <w:r>
              <w:rPr>
                <w:rFonts w:cs="宋体"/>
                <w:b/>
                <w:color w:val="000000"/>
                <w:sz w:val="22"/>
                <w:szCs w:val="22"/>
              </w:rPr>
              <w:t>20801</w:t>
            </w:r>
          </w:p>
        </w:tc>
        <w:tc>
          <w:tcPr>
            <w:tcW w:w="4166" w:type="dxa"/>
            <w:tcBorders>
              <w:top w:val="nil"/>
              <w:left w:val="nil"/>
              <w:bottom w:val="single" w:color="000000" w:sz="4" w:space="0"/>
              <w:right w:val="single" w:color="000000" w:sz="4" w:space="0"/>
            </w:tcBorders>
            <w:shd w:val="clear" w:color="auto" w:fill="auto"/>
            <w:vAlign w:val="center"/>
          </w:tcPr>
          <w:p w14:paraId="20B6B58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人力资源和社会保障管理事务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F6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633,978.52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5D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633,978.52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B8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D3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66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CB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1D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CF1C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D3D0F0E">
            <w:pPr>
              <w:textAlignment w:val="center"/>
              <w:rPr>
                <w:rFonts w:hint="eastAsia" w:ascii="宋体" w:hAnsi="宋体" w:eastAsia="宋体" w:cs="宋体"/>
                <w:i w:val="0"/>
                <w:iCs w:val="0"/>
                <w:color w:val="000000"/>
                <w:sz w:val="22"/>
                <w:szCs w:val="22"/>
                <w:u w:val="none"/>
              </w:rPr>
            </w:pPr>
            <w:r>
              <w:rPr>
                <w:rFonts w:cs="宋体"/>
                <w:color w:val="000000"/>
                <w:sz w:val="22"/>
                <w:szCs w:val="22"/>
              </w:rPr>
              <w:t>2080104</w:t>
            </w:r>
          </w:p>
        </w:tc>
        <w:tc>
          <w:tcPr>
            <w:tcW w:w="4166" w:type="dxa"/>
            <w:tcBorders>
              <w:top w:val="nil"/>
              <w:left w:val="nil"/>
              <w:bottom w:val="single" w:color="000000" w:sz="4" w:space="0"/>
              <w:right w:val="single" w:color="000000" w:sz="4" w:space="0"/>
            </w:tcBorders>
            <w:shd w:val="clear" w:color="auto" w:fill="auto"/>
            <w:vAlign w:val="center"/>
          </w:tcPr>
          <w:p w14:paraId="3DF7760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综合业务管理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D2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633,978.52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6D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633,978.52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7B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27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8B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80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E3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74E2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472336F">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03F1B47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16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114,405.12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59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114,405.12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5D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AC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BE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B3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19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0BDB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DDFC4A7">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69525AF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94A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76,270.08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71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76,270.08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83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3F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E6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66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79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80AD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67912E5">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539286E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A3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38,135.04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CF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38,135.04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B9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C6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94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46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A27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D5C5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9722EDD">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0BA0E33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BB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35,441.94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FE7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35,441.94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8C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B3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0A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64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FC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48CA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2D848B7">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1211F30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45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35,441.94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31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35,441.94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E8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92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EA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03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C7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7587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2FBBAD6">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14:paraId="2CF1F76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C9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27,041.94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5B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27,041.94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458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40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B9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D0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68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3C39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FBEC6D2">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166" w:type="dxa"/>
            <w:tcBorders>
              <w:top w:val="nil"/>
              <w:left w:val="nil"/>
              <w:bottom w:val="single" w:color="000000" w:sz="4" w:space="0"/>
              <w:right w:val="single" w:color="000000" w:sz="4" w:space="0"/>
            </w:tcBorders>
            <w:shd w:val="clear" w:color="auto" w:fill="auto"/>
            <w:vAlign w:val="center"/>
          </w:tcPr>
          <w:p w14:paraId="74AE88A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A1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42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0A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B8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7B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07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EB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B6FB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06A242F">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37F07BD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1A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34,158.24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8A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34,158.24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F2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2C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45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DF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B9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9840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7F2CA35">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6A31A34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01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34,158.24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F7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34,158.24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D1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DC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CE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F5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8C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B382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E877FD5">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6D7BD32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724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34,158.24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86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34,158.24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6B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D5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7D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64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78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26FA8FC7">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35569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31F4C2D4">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48982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292CDFB7">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石柱土家族自治县沿溪镇便民服务中心 </w:t>
            </w:r>
          </w:p>
        </w:tc>
        <w:tc>
          <w:tcPr>
            <w:tcW w:w="2741" w:type="dxa"/>
            <w:tcBorders>
              <w:top w:val="nil"/>
              <w:left w:val="nil"/>
              <w:bottom w:val="nil"/>
              <w:right w:val="nil"/>
            </w:tcBorders>
            <w:shd w:val="clear" w:color="auto" w:fill="auto"/>
            <w:vAlign w:val="bottom"/>
          </w:tcPr>
          <w:p w14:paraId="7A69832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1B330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147D1FCE">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3318E3A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219B3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3422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03B1DF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46062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6A9F8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545F6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5DFC4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6D371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4A89AE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37D99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1CE62">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2CF120A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4ED159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1535F7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9FE6B5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CEDBB3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62D094A">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A84B3C0">
            <w:pPr>
              <w:jc w:val="center"/>
              <w:rPr>
                <w:rFonts w:hint="eastAsia" w:ascii="宋体" w:hAnsi="宋体" w:eastAsia="宋体" w:cs="宋体"/>
                <w:i w:val="0"/>
                <w:iCs w:val="0"/>
                <w:color w:val="000000"/>
                <w:sz w:val="22"/>
                <w:szCs w:val="22"/>
                <w:u w:val="none"/>
              </w:rPr>
            </w:pPr>
          </w:p>
        </w:tc>
      </w:tr>
      <w:tr w14:paraId="36796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530C6">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6D8AED3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212986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5294FE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2AD909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16A2C9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5FBC0FA">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F21A20A">
            <w:pPr>
              <w:jc w:val="center"/>
              <w:rPr>
                <w:rFonts w:hint="eastAsia" w:ascii="宋体" w:hAnsi="宋体" w:eastAsia="宋体" w:cs="宋体"/>
                <w:i w:val="0"/>
                <w:iCs w:val="0"/>
                <w:color w:val="000000"/>
                <w:sz w:val="22"/>
                <w:szCs w:val="22"/>
                <w:u w:val="none"/>
              </w:rPr>
            </w:pPr>
          </w:p>
        </w:tc>
      </w:tr>
      <w:tr w14:paraId="71E41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67623">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71B7853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CFDE9D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2893C8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FE644B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2FDAA2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5309400">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EB43D06">
            <w:pPr>
              <w:jc w:val="center"/>
              <w:rPr>
                <w:rFonts w:hint="eastAsia" w:ascii="宋体" w:hAnsi="宋体" w:eastAsia="宋体" w:cs="宋体"/>
                <w:i w:val="0"/>
                <w:iCs w:val="0"/>
                <w:color w:val="000000"/>
                <w:sz w:val="22"/>
                <w:szCs w:val="22"/>
                <w:u w:val="none"/>
              </w:rPr>
            </w:pPr>
          </w:p>
        </w:tc>
      </w:tr>
      <w:tr w14:paraId="4CABA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04C21E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359E3E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30791F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14:paraId="5AC061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553378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3849D9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15A29C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597EBE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37291B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63F702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18BF9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73D66CA1">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00B27E8A">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59ED7184">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14:paraId="027FB2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4E55E1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817,983.82 </w:t>
            </w:r>
          </w:p>
        </w:tc>
        <w:tc>
          <w:tcPr>
            <w:tcW w:w="2737" w:type="dxa"/>
            <w:tcBorders>
              <w:top w:val="nil"/>
              <w:left w:val="nil"/>
              <w:bottom w:val="single" w:color="000000" w:sz="4" w:space="0"/>
              <w:right w:val="single" w:color="000000" w:sz="4" w:space="0"/>
            </w:tcBorders>
            <w:shd w:val="clear" w:color="auto" w:fill="auto"/>
            <w:vAlign w:val="center"/>
          </w:tcPr>
          <w:p w14:paraId="63B24E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817,983.82 </w:t>
            </w:r>
          </w:p>
        </w:tc>
        <w:tc>
          <w:tcPr>
            <w:tcW w:w="2737" w:type="dxa"/>
            <w:tcBorders>
              <w:top w:val="nil"/>
              <w:left w:val="nil"/>
              <w:bottom w:val="single" w:color="000000" w:sz="4" w:space="0"/>
              <w:right w:val="single" w:color="000000" w:sz="4" w:space="0"/>
            </w:tcBorders>
            <w:shd w:val="clear" w:color="auto" w:fill="auto"/>
            <w:vAlign w:val="center"/>
          </w:tcPr>
          <w:p w14:paraId="046CF4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6E1E49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34CACE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595EC0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235B5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91E43FE">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08D8267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DE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748,383.64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C0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748,383.64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07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84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B8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2A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DDD5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26A07D6">
            <w:pPr>
              <w:textAlignment w:val="center"/>
              <w:rPr>
                <w:rFonts w:hint="eastAsia" w:ascii="宋体" w:hAnsi="宋体" w:eastAsia="宋体" w:cs="宋体"/>
                <w:i w:val="0"/>
                <w:iCs w:val="0"/>
                <w:color w:val="000000"/>
                <w:sz w:val="22"/>
                <w:szCs w:val="22"/>
                <w:u w:val="none"/>
              </w:rPr>
            </w:pPr>
            <w:r>
              <w:rPr>
                <w:rFonts w:cs="宋体"/>
                <w:b/>
                <w:color w:val="000000"/>
                <w:sz w:val="22"/>
                <w:szCs w:val="22"/>
              </w:rPr>
              <w:t>20801</w:t>
            </w:r>
          </w:p>
        </w:tc>
        <w:tc>
          <w:tcPr>
            <w:tcW w:w="4316" w:type="dxa"/>
            <w:tcBorders>
              <w:top w:val="nil"/>
              <w:left w:val="nil"/>
              <w:bottom w:val="single" w:color="000000" w:sz="4" w:space="0"/>
              <w:right w:val="single" w:color="000000" w:sz="4" w:space="0"/>
            </w:tcBorders>
            <w:shd w:val="clear" w:color="auto" w:fill="auto"/>
            <w:vAlign w:val="center"/>
          </w:tcPr>
          <w:p w14:paraId="38AF644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人力资源和社会保障管理事务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671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633,978.52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16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633,978.52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45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1A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04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DB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36FB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A985E77">
            <w:pPr>
              <w:textAlignment w:val="center"/>
              <w:rPr>
                <w:rFonts w:hint="eastAsia" w:ascii="宋体" w:hAnsi="宋体" w:eastAsia="宋体" w:cs="宋体"/>
                <w:i w:val="0"/>
                <w:iCs w:val="0"/>
                <w:color w:val="000000"/>
                <w:sz w:val="22"/>
                <w:szCs w:val="22"/>
                <w:u w:val="none"/>
              </w:rPr>
            </w:pPr>
            <w:r>
              <w:rPr>
                <w:rFonts w:cs="宋体"/>
                <w:color w:val="000000"/>
                <w:sz w:val="22"/>
                <w:szCs w:val="22"/>
              </w:rPr>
              <w:t>2080104</w:t>
            </w:r>
          </w:p>
        </w:tc>
        <w:tc>
          <w:tcPr>
            <w:tcW w:w="4316" w:type="dxa"/>
            <w:tcBorders>
              <w:top w:val="nil"/>
              <w:left w:val="nil"/>
              <w:bottom w:val="single" w:color="000000" w:sz="4" w:space="0"/>
              <w:right w:val="single" w:color="000000" w:sz="4" w:space="0"/>
            </w:tcBorders>
            <w:shd w:val="clear" w:color="auto" w:fill="auto"/>
            <w:vAlign w:val="center"/>
          </w:tcPr>
          <w:p w14:paraId="20F7FD1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综合业务管理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FA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633,978.52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C3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633,978.52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BD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B5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8C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64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F788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5D47644">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0E42ADB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28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114,405.12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F9F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114,405.12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CA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C93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2A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EA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3382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96974BC">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67411EE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21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76,270.08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6A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76,270.08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4A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68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97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51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A4AD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5623B38">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4E7426D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FC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38,135.04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627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38,135.04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95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1B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7E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AE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D4D2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FB22E15">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0229FA4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F3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35,441.94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E1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35,441.94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8F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FA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5A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85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6A8F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859D299">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02AB535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94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35,441.94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A1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35,441.94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E0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EC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4F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72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6F1D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B852ABF">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14:paraId="3BCB520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C1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27,041.94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9B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27,041.94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D7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96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1E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BB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619B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30320B1">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316" w:type="dxa"/>
            <w:tcBorders>
              <w:top w:val="nil"/>
              <w:left w:val="nil"/>
              <w:bottom w:val="single" w:color="000000" w:sz="4" w:space="0"/>
              <w:right w:val="single" w:color="000000" w:sz="4" w:space="0"/>
            </w:tcBorders>
            <w:shd w:val="clear" w:color="auto" w:fill="auto"/>
            <w:vAlign w:val="center"/>
          </w:tcPr>
          <w:p w14:paraId="25930AC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74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75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34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BC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2E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00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F220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12C083E">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48A8F39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2F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34,158.24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E9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34,158.24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86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68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04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A7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10DA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62B88EC">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2601D8C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48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34,158.24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649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34,158.24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30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8A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97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E5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C9DF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E319D11">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6424F41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61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34,158.24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1BC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34,158.24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12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1B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CA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9E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435E51B2">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175AA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6C860F6D">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37C80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69B69729">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石柱土家族自治县沿溪镇便民服务中心</w:t>
            </w:r>
          </w:p>
        </w:tc>
        <w:tc>
          <w:tcPr>
            <w:tcW w:w="2874" w:type="dxa"/>
            <w:tcBorders>
              <w:top w:val="nil"/>
              <w:left w:val="nil"/>
              <w:bottom w:val="nil"/>
              <w:right w:val="nil"/>
            </w:tcBorders>
            <w:shd w:val="clear" w:color="auto" w:fill="auto"/>
            <w:vAlign w:val="bottom"/>
          </w:tcPr>
          <w:p w14:paraId="66E7371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73099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0093D6B2">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7F65B74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0BAEE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AA17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1AD8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6FDFE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465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7C52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7431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4414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2E82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6017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DC2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B7D7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CBF7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24A2C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77758">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6BE94">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89BA3">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D72DE">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8C19A">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0DAE4">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C45C8">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6ACE9">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FD16D">
            <w:pPr>
              <w:jc w:val="center"/>
              <w:rPr>
                <w:rFonts w:hint="eastAsia" w:ascii="宋体" w:hAnsi="宋体" w:eastAsia="宋体" w:cs="宋体"/>
                <w:i w:val="0"/>
                <w:iCs w:val="0"/>
                <w:color w:val="000000"/>
                <w:sz w:val="22"/>
                <w:szCs w:val="22"/>
                <w:u w:val="none"/>
              </w:rPr>
            </w:pPr>
          </w:p>
        </w:tc>
      </w:tr>
      <w:tr w14:paraId="69173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02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EDB9">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3C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9F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81E1">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A4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A2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10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4A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70219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C76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93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2C2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817,983.82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514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75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50D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3B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56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13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CFE8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B26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8E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E8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8522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207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54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49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B3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0CD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8998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EDF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27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870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BB5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5B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3F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E63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ECC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FC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9EEE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35F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AC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9881E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E29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04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6C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594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74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82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6334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2D0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C7A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24DEA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80C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64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91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29F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50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5F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6129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C8D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80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1FD30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875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31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549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C5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A81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766F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654E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117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11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0DB03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156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69B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AA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F6D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E84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40D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98D6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A18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8C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FF634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DF6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A7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DCF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748,383.64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49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748,383.64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FF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95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5D83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254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6F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54285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1FA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C5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20B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35,441.94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96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35,441.94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A0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CA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31A6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187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EE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84A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D0B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79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FD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8E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A4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24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2232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D0E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B66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A36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A0D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06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12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F20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1A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D8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3410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9F6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85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72F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4C7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33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050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A9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29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CB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CE91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441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6A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32A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2B4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D2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3C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35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253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CB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E739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398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DC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02B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FAB8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A5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E5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0A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30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1F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2D1D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213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A5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388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10B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BA6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E2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88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47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99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9D6F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253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F5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A76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B1B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CF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FC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B5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2CC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F4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1B85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CAD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1D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E23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1398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D8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917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E3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0B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64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A255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CAA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92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F0B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895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C4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B5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B7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CE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98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697F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5BE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FC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5A2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3CB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56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88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34,158.24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88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34,158.24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98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A6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64E3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007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A1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FD7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663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F9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75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B2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1C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FDB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CB0D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A6D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DF8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FCC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357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0D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0F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B8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262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3E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AF38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DD7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9E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E87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3F5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50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38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DC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6EE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9D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3BC2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33B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EC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844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468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6E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65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E8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3C5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C1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6318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0BF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CE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7DF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8B4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24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34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25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89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32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CC00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281A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75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BD0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3A1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43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0D8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4A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64F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1B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0F70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769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35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636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36A7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64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9F8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6B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A2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C59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87CD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F3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77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22B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817,983.82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15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D8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21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817,983.82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98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817,983.82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0F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58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F35B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D99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71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2E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042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72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8A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6AB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FB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CA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1B57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E11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D8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7A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187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EF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2D7D9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AC237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7CFA4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30B30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5BA08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CDD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3B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C12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7F7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B7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0C1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397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FE5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0B1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4EE79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E39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86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AA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68F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D0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5D2E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FBC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2E3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6E5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62E12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FE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2C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4F5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817,983.82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03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76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7B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817,983.82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16B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817,983.82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8C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9E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41643F9A">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7B452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01D119AE">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7BE3E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030AAA35">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石柱土家族自治县沿溪镇便民服务中心</w:t>
            </w:r>
          </w:p>
        </w:tc>
        <w:tc>
          <w:tcPr>
            <w:tcW w:w="1156" w:type="dxa"/>
            <w:tcBorders>
              <w:top w:val="nil"/>
              <w:left w:val="nil"/>
              <w:bottom w:val="nil"/>
              <w:right w:val="nil"/>
            </w:tcBorders>
            <w:shd w:val="clear" w:color="auto" w:fill="auto"/>
            <w:vAlign w:val="bottom"/>
          </w:tcPr>
          <w:p w14:paraId="49C62D8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39C40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6BEB7992">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5C870FD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4348F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368E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42BC8B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757650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0F1E48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1E4D40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5CC247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40965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4B9C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F87953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6D1241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433952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48C0CA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40841C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07CE66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5D96BF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0F39D3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7BC7B6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5CBA14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0ECBC4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2073E1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44CB94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2B5F7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AAFA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14DAA7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C10D71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44FA6A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DE5208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0EC39B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00F9F9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3F1331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EDC1DE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329D98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1D1553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7EDFD0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F8CF76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45A37D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20E810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0A811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B118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62F227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E6FFB0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856E1D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1089F8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0203D1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2190F6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28A289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841107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A76A6B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970CDE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993149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C6DC00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1C954C2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05FA51A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0D24B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03BE97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3EF535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499326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52AFAD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750005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28AB56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62C413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0DB544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08B5D4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1B50D6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36739A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14EB92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4711FC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08CE5F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6214EA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533BB9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44FE9A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1232B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5D4F075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549EEFB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69BD650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6D3F02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08165E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66DFA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4383C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8FB4F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817,983.82 </w:t>
            </w:r>
          </w:p>
        </w:tc>
        <w:tc>
          <w:tcPr>
            <w:tcW w:w="1666" w:type="dxa"/>
            <w:tcBorders>
              <w:top w:val="nil"/>
              <w:left w:val="nil"/>
              <w:bottom w:val="single" w:color="000000" w:sz="4" w:space="0"/>
              <w:right w:val="single" w:color="000000" w:sz="4" w:space="0"/>
            </w:tcBorders>
            <w:shd w:val="clear" w:color="auto" w:fill="auto"/>
            <w:vAlign w:val="center"/>
          </w:tcPr>
          <w:p w14:paraId="7E1276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817,983.82 </w:t>
            </w:r>
          </w:p>
        </w:tc>
        <w:tc>
          <w:tcPr>
            <w:tcW w:w="1684" w:type="dxa"/>
            <w:tcBorders>
              <w:top w:val="nil"/>
              <w:left w:val="nil"/>
              <w:bottom w:val="single" w:color="000000" w:sz="4" w:space="0"/>
              <w:right w:val="single" w:color="000000" w:sz="4" w:space="0"/>
            </w:tcBorders>
            <w:shd w:val="clear" w:color="auto" w:fill="auto"/>
            <w:vAlign w:val="center"/>
          </w:tcPr>
          <w:p w14:paraId="52DCD9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3435A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817,983.82 </w:t>
            </w:r>
          </w:p>
        </w:tc>
        <w:tc>
          <w:tcPr>
            <w:tcW w:w="1700" w:type="dxa"/>
            <w:tcBorders>
              <w:top w:val="nil"/>
              <w:left w:val="nil"/>
              <w:bottom w:val="single" w:color="000000" w:sz="4" w:space="0"/>
              <w:right w:val="single" w:color="000000" w:sz="4" w:space="0"/>
            </w:tcBorders>
            <w:shd w:val="clear" w:color="auto" w:fill="auto"/>
            <w:vAlign w:val="center"/>
          </w:tcPr>
          <w:p w14:paraId="738A8E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817,983.82 </w:t>
            </w:r>
          </w:p>
        </w:tc>
        <w:tc>
          <w:tcPr>
            <w:tcW w:w="1733" w:type="dxa"/>
            <w:tcBorders>
              <w:top w:val="nil"/>
              <w:left w:val="nil"/>
              <w:bottom w:val="single" w:color="000000" w:sz="4" w:space="0"/>
              <w:right w:val="single" w:color="000000" w:sz="4" w:space="0"/>
            </w:tcBorders>
            <w:shd w:val="clear" w:color="auto" w:fill="auto"/>
            <w:vAlign w:val="center"/>
          </w:tcPr>
          <w:p w14:paraId="2B202F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2DAE6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D7E13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D1A68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E2B71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67AA2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0FA167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5637840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14BF27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A3483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E78AF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B7C73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748,383.64 </w:t>
            </w:r>
          </w:p>
        </w:tc>
        <w:tc>
          <w:tcPr>
            <w:tcW w:w="1666" w:type="dxa"/>
            <w:tcBorders>
              <w:top w:val="nil"/>
              <w:left w:val="nil"/>
              <w:bottom w:val="single" w:color="000000" w:sz="4" w:space="0"/>
              <w:right w:val="single" w:color="000000" w:sz="4" w:space="0"/>
            </w:tcBorders>
            <w:shd w:val="clear" w:color="auto" w:fill="auto"/>
            <w:vAlign w:val="center"/>
          </w:tcPr>
          <w:p w14:paraId="16412E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748,383.64 </w:t>
            </w:r>
          </w:p>
        </w:tc>
        <w:tc>
          <w:tcPr>
            <w:tcW w:w="1684" w:type="dxa"/>
            <w:tcBorders>
              <w:top w:val="nil"/>
              <w:left w:val="nil"/>
              <w:bottom w:val="single" w:color="000000" w:sz="4" w:space="0"/>
              <w:right w:val="single" w:color="000000" w:sz="4" w:space="0"/>
            </w:tcBorders>
            <w:shd w:val="clear" w:color="auto" w:fill="auto"/>
            <w:vAlign w:val="center"/>
          </w:tcPr>
          <w:p w14:paraId="651014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BCFE0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748,383.64 </w:t>
            </w:r>
          </w:p>
        </w:tc>
        <w:tc>
          <w:tcPr>
            <w:tcW w:w="1700" w:type="dxa"/>
            <w:tcBorders>
              <w:top w:val="nil"/>
              <w:left w:val="nil"/>
              <w:bottom w:val="single" w:color="000000" w:sz="4" w:space="0"/>
              <w:right w:val="single" w:color="000000" w:sz="4" w:space="0"/>
            </w:tcBorders>
            <w:shd w:val="clear" w:color="auto" w:fill="auto"/>
            <w:vAlign w:val="center"/>
          </w:tcPr>
          <w:p w14:paraId="104C11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748,383.64 </w:t>
            </w:r>
          </w:p>
        </w:tc>
        <w:tc>
          <w:tcPr>
            <w:tcW w:w="1733" w:type="dxa"/>
            <w:tcBorders>
              <w:top w:val="nil"/>
              <w:left w:val="nil"/>
              <w:bottom w:val="single" w:color="000000" w:sz="4" w:space="0"/>
              <w:right w:val="single" w:color="000000" w:sz="4" w:space="0"/>
            </w:tcBorders>
            <w:shd w:val="clear" w:color="auto" w:fill="auto"/>
            <w:vAlign w:val="center"/>
          </w:tcPr>
          <w:p w14:paraId="12B88C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C34CE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7D08D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FE02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2C1FC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7118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B9CF80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20801</w:t>
            </w:r>
          </w:p>
        </w:tc>
        <w:tc>
          <w:tcPr>
            <w:tcW w:w="1816" w:type="dxa"/>
            <w:tcBorders>
              <w:top w:val="nil"/>
              <w:left w:val="nil"/>
              <w:bottom w:val="single" w:color="000000" w:sz="4" w:space="0"/>
              <w:right w:val="single" w:color="000000" w:sz="4" w:space="0"/>
            </w:tcBorders>
            <w:shd w:val="clear" w:color="auto" w:fill="auto"/>
            <w:vAlign w:val="center"/>
          </w:tcPr>
          <w:p w14:paraId="474D065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人力资源和社会保障管理事务</w:t>
            </w:r>
          </w:p>
        </w:tc>
        <w:tc>
          <w:tcPr>
            <w:tcW w:w="1528" w:type="dxa"/>
            <w:tcBorders>
              <w:top w:val="nil"/>
              <w:left w:val="nil"/>
              <w:bottom w:val="single" w:color="000000" w:sz="4" w:space="0"/>
              <w:right w:val="single" w:color="000000" w:sz="4" w:space="0"/>
            </w:tcBorders>
            <w:shd w:val="clear" w:color="auto" w:fill="auto"/>
            <w:vAlign w:val="center"/>
          </w:tcPr>
          <w:p w14:paraId="03F54A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18D72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D6A7D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1F464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633,978.52 </w:t>
            </w:r>
          </w:p>
        </w:tc>
        <w:tc>
          <w:tcPr>
            <w:tcW w:w="1666" w:type="dxa"/>
            <w:tcBorders>
              <w:top w:val="nil"/>
              <w:left w:val="nil"/>
              <w:bottom w:val="single" w:color="000000" w:sz="4" w:space="0"/>
              <w:right w:val="single" w:color="000000" w:sz="4" w:space="0"/>
            </w:tcBorders>
            <w:shd w:val="clear" w:color="auto" w:fill="auto"/>
            <w:vAlign w:val="center"/>
          </w:tcPr>
          <w:p w14:paraId="7E3F08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633,978.52 </w:t>
            </w:r>
          </w:p>
        </w:tc>
        <w:tc>
          <w:tcPr>
            <w:tcW w:w="1684" w:type="dxa"/>
            <w:tcBorders>
              <w:top w:val="nil"/>
              <w:left w:val="nil"/>
              <w:bottom w:val="single" w:color="000000" w:sz="4" w:space="0"/>
              <w:right w:val="single" w:color="000000" w:sz="4" w:space="0"/>
            </w:tcBorders>
            <w:shd w:val="clear" w:color="auto" w:fill="auto"/>
            <w:vAlign w:val="center"/>
          </w:tcPr>
          <w:p w14:paraId="46D52C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DF85C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633,978.52 </w:t>
            </w:r>
          </w:p>
        </w:tc>
        <w:tc>
          <w:tcPr>
            <w:tcW w:w="1700" w:type="dxa"/>
            <w:tcBorders>
              <w:top w:val="nil"/>
              <w:left w:val="nil"/>
              <w:bottom w:val="single" w:color="000000" w:sz="4" w:space="0"/>
              <w:right w:val="single" w:color="000000" w:sz="4" w:space="0"/>
            </w:tcBorders>
            <w:shd w:val="clear" w:color="auto" w:fill="auto"/>
            <w:vAlign w:val="center"/>
          </w:tcPr>
          <w:p w14:paraId="444482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633,978.52 </w:t>
            </w:r>
          </w:p>
        </w:tc>
        <w:tc>
          <w:tcPr>
            <w:tcW w:w="1733" w:type="dxa"/>
            <w:tcBorders>
              <w:top w:val="nil"/>
              <w:left w:val="nil"/>
              <w:bottom w:val="single" w:color="000000" w:sz="4" w:space="0"/>
              <w:right w:val="single" w:color="000000" w:sz="4" w:space="0"/>
            </w:tcBorders>
            <w:shd w:val="clear" w:color="auto" w:fill="auto"/>
            <w:vAlign w:val="center"/>
          </w:tcPr>
          <w:p w14:paraId="0AE575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76C93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F4F2B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21C48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678D7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4ECD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2018E8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2080104</w:t>
            </w:r>
          </w:p>
        </w:tc>
        <w:tc>
          <w:tcPr>
            <w:tcW w:w="1816" w:type="dxa"/>
            <w:tcBorders>
              <w:top w:val="nil"/>
              <w:left w:val="nil"/>
              <w:bottom w:val="single" w:color="000000" w:sz="4" w:space="0"/>
              <w:right w:val="single" w:color="000000" w:sz="4" w:space="0"/>
            </w:tcBorders>
            <w:shd w:val="clear" w:color="auto" w:fill="auto"/>
            <w:vAlign w:val="center"/>
          </w:tcPr>
          <w:p w14:paraId="0615287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综合业务管理</w:t>
            </w:r>
          </w:p>
        </w:tc>
        <w:tc>
          <w:tcPr>
            <w:tcW w:w="1528" w:type="dxa"/>
            <w:tcBorders>
              <w:top w:val="nil"/>
              <w:left w:val="nil"/>
              <w:bottom w:val="single" w:color="000000" w:sz="4" w:space="0"/>
              <w:right w:val="single" w:color="000000" w:sz="4" w:space="0"/>
            </w:tcBorders>
            <w:shd w:val="clear" w:color="auto" w:fill="auto"/>
            <w:vAlign w:val="center"/>
          </w:tcPr>
          <w:p w14:paraId="7C3D26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6C76E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1B3B8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330E1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633,978.52 </w:t>
            </w:r>
          </w:p>
        </w:tc>
        <w:tc>
          <w:tcPr>
            <w:tcW w:w="1666" w:type="dxa"/>
            <w:tcBorders>
              <w:top w:val="nil"/>
              <w:left w:val="nil"/>
              <w:bottom w:val="single" w:color="000000" w:sz="4" w:space="0"/>
              <w:right w:val="single" w:color="000000" w:sz="4" w:space="0"/>
            </w:tcBorders>
            <w:shd w:val="clear" w:color="auto" w:fill="auto"/>
            <w:vAlign w:val="center"/>
          </w:tcPr>
          <w:p w14:paraId="351788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633,978.52 </w:t>
            </w:r>
          </w:p>
        </w:tc>
        <w:tc>
          <w:tcPr>
            <w:tcW w:w="1684" w:type="dxa"/>
            <w:tcBorders>
              <w:top w:val="nil"/>
              <w:left w:val="nil"/>
              <w:bottom w:val="single" w:color="000000" w:sz="4" w:space="0"/>
              <w:right w:val="single" w:color="000000" w:sz="4" w:space="0"/>
            </w:tcBorders>
            <w:shd w:val="clear" w:color="auto" w:fill="auto"/>
            <w:vAlign w:val="center"/>
          </w:tcPr>
          <w:p w14:paraId="0ACD0F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BB656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633,978.52 </w:t>
            </w:r>
          </w:p>
        </w:tc>
        <w:tc>
          <w:tcPr>
            <w:tcW w:w="1700" w:type="dxa"/>
            <w:tcBorders>
              <w:top w:val="nil"/>
              <w:left w:val="nil"/>
              <w:bottom w:val="single" w:color="000000" w:sz="4" w:space="0"/>
              <w:right w:val="single" w:color="000000" w:sz="4" w:space="0"/>
            </w:tcBorders>
            <w:shd w:val="clear" w:color="auto" w:fill="auto"/>
            <w:vAlign w:val="center"/>
          </w:tcPr>
          <w:p w14:paraId="1BBB81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633,978.52 </w:t>
            </w:r>
          </w:p>
        </w:tc>
        <w:tc>
          <w:tcPr>
            <w:tcW w:w="1733" w:type="dxa"/>
            <w:tcBorders>
              <w:top w:val="nil"/>
              <w:left w:val="nil"/>
              <w:bottom w:val="single" w:color="000000" w:sz="4" w:space="0"/>
              <w:right w:val="single" w:color="000000" w:sz="4" w:space="0"/>
            </w:tcBorders>
            <w:shd w:val="clear" w:color="auto" w:fill="auto"/>
            <w:vAlign w:val="center"/>
          </w:tcPr>
          <w:p w14:paraId="150C22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1C5EA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E2A1C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61239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E4636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E44A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EC6884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03A3B6F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14379E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C4C31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4225D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C0D9E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114,405.12 </w:t>
            </w:r>
          </w:p>
        </w:tc>
        <w:tc>
          <w:tcPr>
            <w:tcW w:w="1666" w:type="dxa"/>
            <w:tcBorders>
              <w:top w:val="nil"/>
              <w:left w:val="nil"/>
              <w:bottom w:val="single" w:color="000000" w:sz="4" w:space="0"/>
              <w:right w:val="single" w:color="000000" w:sz="4" w:space="0"/>
            </w:tcBorders>
            <w:shd w:val="clear" w:color="auto" w:fill="auto"/>
            <w:vAlign w:val="center"/>
          </w:tcPr>
          <w:p w14:paraId="30CC9F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114,405.12 </w:t>
            </w:r>
          </w:p>
        </w:tc>
        <w:tc>
          <w:tcPr>
            <w:tcW w:w="1684" w:type="dxa"/>
            <w:tcBorders>
              <w:top w:val="nil"/>
              <w:left w:val="nil"/>
              <w:bottom w:val="single" w:color="000000" w:sz="4" w:space="0"/>
              <w:right w:val="single" w:color="000000" w:sz="4" w:space="0"/>
            </w:tcBorders>
            <w:shd w:val="clear" w:color="auto" w:fill="auto"/>
            <w:vAlign w:val="center"/>
          </w:tcPr>
          <w:p w14:paraId="77FCF2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19BC4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114,405.12 </w:t>
            </w:r>
          </w:p>
        </w:tc>
        <w:tc>
          <w:tcPr>
            <w:tcW w:w="1700" w:type="dxa"/>
            <w:tcBorders>
              <w:top w:val="nil"/>
              <w:left w:val="nil"/>
              <w:bottom w:val="single" w:color="000000" w:sz="4" w:space="0"/>
              <w:right w:val="single" w:color="000000" w:sz="4" w:space="0"/>
            </w:tcBorders>
            <w:shd w:val="clear" w:color="auto" w:fill="auto"/>
            <w:vAlign w:val="center"/>
          </w:tcPr>
          <w:p w14:paraId="069E73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114,405.12 </w:t>
            </w:r>
          </w:p>
        </w:tc>
        <w:tc>
          <w:tcPr>
            <w:tcW w:w="1733" w:type="dxa"/>
            <w:tcBorders>
              <w:top w:val="nil"/>
              <w:left w:val="nil"/>
              <w:bottom w:val="single" w:color="000000" w:sz="4" w:space="0"/>
              <w:right w:val="single" w:color="000000" w:sz="4" w:space="0"/>
            </w:tcBorders>
            <w:shd w:val="clear" w:color="auto" w:fill="auto"/>
            <w:vAlign w:val="center"/>
          </w:tcPr>
          <w:p w14:paraId="4A1D85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794B0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05F88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2CFC2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A69D6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056C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414452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4EB4A24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7D0742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972F6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346EF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28779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76,270.08 </w:t>
            </w:r>
          </w:p>
        </w:tc>
        <w:tc>
          <w:tcPr>
            <w:tcW w:w="1666" w:type="dxa"/>
            <w:tcBorders>
              <w:top w:val="nil"/>
              <w:left w:val="nil"/>
              <w:bottom w:val="single" w:color="000000" w:sz="4" w:space="0"/>
              <w:right w:val="single" w:color="000000" w:sz="4" w:space="0"/>
            </w:tcBorders>
            <w:shd w:val="clear" w:color="auto" w:fill="auto"/>
            <w:vAlign w:val="center"/>
          </w:tcPr>
          <w:p w14:paraId="6521C9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76,270.08 </w:t>
            </w:r>
          </w:p>
        </w:tc>
        <w:tc>
          <w:tcPr>
            <w:tcW w:w="1684" w:type="dxa"/>
            <w:tcBorders>
              <w:top w:val="nil"/>
              <w:left w:val="nil"/>
              <w:bottom w:val="single" w:color="000000" w:sz="4" w:space="0"/>
              <w:right w:val="single" w:color="000000" w:sz="4" w:space="0"/>
            </w:tcBorders>
            <w:shd w:val="clear" w:color="auto" w:fill="auto"/>
            <w:vAlign w:val="center"/>
          </w:tcPr>
          <w:p w14:paraId="2B7BA0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71537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76,270.08 </w:t>
            </w:r>
          </w:p>
        </w:tc>
        <w:tc>
          <w:tcPr>
            <w:tcW w:w="1700" w:type="dxa"/>
            <w:tcBorders>
              <w:top w:val="nil"/>
              <w:left w:val="nil"/>
              <w:bottom w:val="single" w:color="000000" w:sz="4" w:space="0"/>
              <w:right w:val="single" w:color="000000" w:sz="4" w:space="0"/>
            </w:tcBorders>
            <w:shd w:val="clear" w:color="auto" w:fill="auto"/>
            <w:vAlign w:val="center"/>
          </w:tcPr>
          <w:p w14:paraId="095025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76,270.08 </w:t>
            </w:r>
          </w:p>
        </w:tc>
        <w:tc>
          <w:tcPr>
            <w:tcW w:w="1733" w:type="dxa"/>
            <w:tcBorders>
              <w:top w:val="nil"/>
              <w:left w:val="nil"/>
              <w:bottom w:val="single" w:color="000000" w:sz="4" w:space="0"/>
              <w:right w:val="single" w:color="000000" w:sz="4" w:space="0"/>
            </w:tcBorders>
            <w:shd w:val="clear" w:color="auto" w:fill="auto"/>
            <w:vAlign w:val="center"/>
          </w:tcPr>
          <w:p w14:paraId="0B15F4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1A35E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2AA20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69BE2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6D05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EEF6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A548C3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27E362B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397795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11A7D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785DA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4D279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38,135.04 </w:t>
            </w:r>
          </w:p>
        </w:tc>
        <w:tc>
          <w:tcPr>
            <w:tcW w:w="1666" w:type="dxa"/>
            <w:tcBorders>
              <w:top w:val="nil"/>
              <w:left w:val="nil"/>
              <w:bottom w:val="single" w:color="000000" w:sz="4" w:space="0"/>
              <w:right w:val="single" w:color="000000" w:sz="4" w:space="0"/>
            </w:tcBorders>
            <w:shd w:val="clear" w:color="auto" w:fill="auto"/>
            <w:vAlign w:val="center"/>
          </w:tcPr>
          <w:p w14:paraId="327927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38,135.04 </w:t>
            </w:r>
          </w:p>
        </w:tc>
        <w:tc>
          <w:tcPr>
            <w:tcW w:w="1684" w:type="dxa"/>
            <w:tcBorders>
              <w:top w:val="nil"/>
              <w:left w:val="nil"/>
              <w:bottom w:val="single" w:color="000000" w:sz="4" w:space="0"/>
              <w:right w:val="single" w:color="000000" w:sz="4" w:space="0"/>
            </w:tcBorders>
            <w:shd w:val="clear" w:color="auto" w:fill="auto"/>
            <w:vAlign w:val="center"/>
          </w:tcPr>
          <w:p w14:paraId="3CD064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1A6DE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38,135.04 </w:t>
            </w:r>
          </w:p>
        </w:tc>
        <w:tc>
          <w:tcPr>
            <w:tcW w:w="1700" w:type="dxa"/>
            <w:tcBorders>
              <w:top w:val="nil"/>
              <w:left w:val="nil"/>
              <w:bottom w:val="single" w:color="000000" w:sz="4" w:space="0"/>
              <w:right w:val="single" w:color="000000" w:sz="4" w:space="0"/>
            </w:tcBorders>
            <w:shd w:val="clear" w:color="auto" w:fill="auto"/>
            <w:vAlign w:val="center"/>
          </w:tcPr>
          <w:p w14:paraId="73ABF0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38,135.04 </w:t>
            </w:r>
          </w:p>
        </w:tc>
        <w:tc>
          <w:tcPr>
            <w:tcW w:w="1733" w:type="dxa"/>
            <w:tcBorders>
              <w:top w:val="nil"/>
              <w:left w:val="nil"/>
              <w:bottom w:val="single" w:color="000000" w:sz="4" w:space="0"/>
              <w:right w:val="single" w:color="000000" w:sz="4" w:space="0"/>
            </w:tcBorders>
            <w:shd w:val="clear" w:color="auto" w:fill="auto"/>
            <w:vAlign w:val="center"/>
          </w:tcPr>
          <w:p w14:paraId="2C0F00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D1D8B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DE3BF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A59D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784BF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89B5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F30877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59AED1A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48DDFC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A9832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01263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77B80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35,441.94 </w:t>
            </w:r>
          </w:p>
        </w:tc>
        <w:tc>
          <w:tcPr>
            <w:tcW w:w="1666" w:type="dxa"/>
            <w:tcBorders>
              <w:top w:val="nil"/>
              <w:left w:val="nil"/>
              <w:bottom w:val="single" w:color="000000" w:sz="4" w:space="0"/>
              <w:right w:val="single" w:color="000000" w:sz="4" w:space="0"/>
            </w:tcBorders>
            <w:shd w:val="clear" w:color="auto" w:fill="auto"/>
            <w:vAlign w:val="center"/>
          </w:tcPr>
          <w:p w14:paraId="7B159A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35,441.94 </w:t>
            </w:r>
          </w:p>
        </w:tc>
        <w:tc>
          <w:tcPr>
            <w:tcW w:w="1684" w:type="dxa"/>
            <w:tcBorders>
              <w:top w:val="nil"/>
              <w:left w:val="nil"/>
              <w:bottom w:val="single" w:color="000000" w:sz="4" w:space="0"/>
              <w:right w:val="single" w:color="000000" w:sz="4" w:space="0"/>
            </w:tcBorders>
            <w:shd w:val="clear" w:color="auto" w:fill="auto"/>
            <w:vAlign w:val="center"/>
          </w:tcPr>
          <w:p w14:paraId="30F8C8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30BBA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35,441.94 </w:t>
            </w:r>
          </w:p>
        </w:tc>
        <w:tc>
          <w:tcPr>
            <w:tcW w:w="1700" w:type="dxa"/>
            <w:tcBorders>
              <w:top w:val="nil"/>
              <w:left w:val="nil"/>
              <w:bottom w:val="single" w:color="000000" w:sz="4" w:space="0"/>
              <w:right w:val="single" w:color="000000" w:sz="4" w:space="0"/>
            </w:tcBorders>
            <w:shd w:val="clear" w:color="auto" w:fill="auto"/>
            <w:vAlign w:val="center"/>
          </w:tcPr>
          <w:p w14:paraId="2801B4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35,441.94 </w:t>
            </w:r>
          </w:p>
        </w:tc>
        <w:tc>
          <w:tcPr>
            <w:tcW w:w="1733" w:type="dxa"/>
            <w:tcBorders>
              <w:top w:val="nil"/>
              <w:left w:val="nil"/>
              <w:bottom w:val="single" w:color="000000" w:sz="4" w:space="0"/>
              <w:right w:val="single" w:color="000000" w:sz="4" w:space="0"/>
            </w:tcBorders>
            <w:shd w:val="clear" w:color="auto" w:fill="auto"/>
            <w:vAlign w:val="center"/>
          </w:tcPr>
          <w:p w14:paraId="0D700F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16927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74763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C9D99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FF556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2B91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130DB1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5E04BBC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46612B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8D3F6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CCF92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92C20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35,441.94 </w:t>
            </w:r>
          </w:p>
        </w:tc>
        <w:tc>
          <w:tcPr>
            <w:tcW w:w="1666" w:type="dxa"/>
            <w:tcBorders>
              <w:top w:val="nil"/>
              <w:left w:val="nil"/>
              <w:bottom w:val="single" w:color="000000" w:sz="4" w:space="0"/>
              <w:right w:val="single" w:color="000000" w:sz="4" w:space="0"/>
            </w:tcBorders>
            <w:shd w:val="clear" w:color="auto" w:fill="auto"/>
            <w:vAlign w:val="center"/>
          </w:tcPr>
          <w:p w14:paraId="5141F7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35,441.94 </w:t>
            </w:r>
          </w:p>
        </w:tc>
        <w:tc>
          <w:tcPr>
            <w:tcW w:w="1684" w:type="dxa"/>
            <w:tcBorders>
              <w:top w:val="nil"/>
              <w:left w:val="nil"/>
              <w:bottom w:val="single" w:color="000000" w:sz="4" w:space="0"/>
              <w:right w:val="single" w:color="000000" w:sz="4" w:space="0"/>
            </w:tcBorders>
            <w:shd w:val="clear" w:color="auto" w:fill="auto"/>
            <w:vAlign w:val="center"/>
          </w:tcPr>
          <w:p w14:paraId="60661E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488D0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35,441.94 </w:t>
            </w:r>
          </w:p>
        </w:tc>
        <w:tc>
          <w:tcPr>
            <w:tcW w:w="1700" w:type="dxa"/>
            <w:tcBorders>
              <w:top w:val="nil"/>
              <w:left w:val="nil"/>
              <w:bottom w:val="single" w:color="000000" w:sz="4" w:space="0"/>
              <w:right w:val="single" w:color="000000" w:sz="4" w:space="0"/>
            </w:tcBorders>
            <w:shd w:val="clear" w:color="auto" w:fill="auto"/>
            <w:vAlign w:val="center"/>
          </w:tcPr>
          <w:p w14:paraId="2A76B6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35,441.94 </w:t>
            </w:r>
          </w:p>
        </w:tc>
        <w:tc>
          <w:tcPr>
            <w:tcW w:w="1733" w:type="dxa"/>
            <w:tcBorders>
              <w:top w:val="nil"/>
              <w:left w:val="nil"/>
              <w:bottom w:val="single" w:color="000000" w:sz="4" w:space="0"/>
              <w:right w:val="single" w:color="000000" w:sz="4" w:space="0"/>
            </w:tcBorders>
            <w:shd w:val="clear" w:color="auto" w:fill="auto"/>
            <w:vAlign w:val="center"/>
          </w:tcPr>
          <w:p w14:paraId="4D1F6C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7EAC8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12489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0C54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D3D6A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1566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4CC6CB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11D5E34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62BF7B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2AA23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27845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4AB18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27,041.94 </w:t>
            </w:r>
          </w:p>
        </w:tc>
        <w:tc>
          <w:tcPr>
            <w:tcW w:w="1666" w:type="dxa"/>
            <w:tcBorders>
              <w:top w:val="nil"/>
              <w:left w:val="nil"/>
              <w:bottom w:val="single" w:color="000000" w:sz="4" w:space="0"/>
              <w:right w:val="single" w:color="000000" w:sz="4" w:space="0"/>
            </w:tcBorders>
            <w:shd w:val="clear" w:color="auto" w:fill="auto"/>
            <w:vAlign w:val="center"/>
          </w:tcPr>
          <w:p w14:paraId="4BDE2A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27,041.94 </w:t>
            </w:r>
          </w:p>
        </w:tc>
        <w:tc>
          <w:tcPr>
            <w:tcW w:w="1684" w:type="dxa"/>
            <w:tcBorders>
              <w:top w:val="nil"/>
              <w:left w:val="nil"/>
              <w:bottom w:val="single" w:color="000000" w:sz="4" w:space="0"/>
              <w:right w:val="single" w:color="000000" w:sz="4" w:space="0"/>
            </w:tcBorders>
            <w:shd w:val="clear" w:color="auto" w:fill="auto"/>
            <w:vAlign w:val="center"/>
          </w:tcPr>
          <w:p w14:paraId="2878B5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530C5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27,041.94 </w:t>
            </w:r>
          </w:p>
        </w:tc>
        <w:tc>
          <w:tcPr>
            <w:tcW w:w="1700" w:type="dxa"/>
            <w:tcBorders>
              <w:top w:val="nil"/>
              <w:left w:val="nil"/>
              <w:bottom w:val="single" w:color="000000" w:sz="4" w:space="0"/>
              <w:right w:val="single" w:color="000000" w:sz="4" w:space="0"/>
            </w:tcBorders>
            <w:shd w:val="clear" w:color="auto" w:fill="auto"/>
            <w:vAlign w:val="center"/>
          </w:tcPr>
          <w:p w14:paraId="1DB2DA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27,041.94 </w:t>
            </w:r>
          </w:p>
        </w:tc>
        <w:tc>
          <w:tcPr>
            <w:tcW w:w="1733" w:type="dxa"/>
            <w:tcBorders>
              <w:top w:val="nil"/>
              <w:left w:val="nil"/>
              <w:bottom w:val="single" w:color="000000" w:sz="4" w:space="0"/>
              <w:right w:val="single" w:color="000000" w:sz="4" w:space="0"/>
            </w:tcBorders>
            <w:shd w:val="clear" w:color="auto" w:fill="auto"/>
            <w:vAlign w:val="center"/>
          </w:tcPr>
          <w:p w14:paraId="31A5C0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320AC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89A1A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43D8E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0E026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B915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44DBE8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1632385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70479C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F2362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0C917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A6C4B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8,400.00 </w:t>
            </w:r>
          </w:p>
        </w:tc>
        <w:tc>
          <w:tcPr>
            <w:tcW w:w="1666" w:type="dxa"/>
            <w:tcBorders>
              <w:top w:val="nil"/>
              <w:left w:val="nil"/>
              <w:bottom w:val="single" w:color="000000" w:sz="4" w:space="0"/>
              <w:right w:val="single" w:color="000000" w:sz="4" w:space="0"/>
            </w:tcBorders>
            <w:shd w:val="clear" w:color="auto" w:fill="auto"/>
            <w:vAlign w:val="center"/>
          </w:tcPr>
          <w:p w14:paraId="38720E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8,400.00 </w:t>
            </w:r>
          </w:p>
        </w:tc>
        <w:tc>
          <w:tcPr>
            <w:tcW w:w="1684" w:type="dxa"/>
            <w:tcBorders>
              <w:top w:val="nil"/>
              <w:left w:val="nil"/>
              <w:bottom w:val="single" w:color="000000" w:sz="4" w:space="0"/>
              <w:right w:val="single" w:color="000000" w:sz="4" w:space="0"/>
            </w:tcBorders>
            <w:shd w:val="clear" w:color="auto" w:fill="auto"/>
            <w:vAlign w:val="center"/>
          </w:tcPr>
          <w:p w14:paraId="643208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528B5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8,400.00 </w:t>
            </w:r>
          </w:p>
        </w:tc>
        <w:tc>
          <w:tcPr>
            <w:tcW w:w="1700" w:type="dxa"/>
            <w:tcBorders>
              <w:top w:val="nil"/>
              <w:left w:val="nil"/>
              <w:bottom w:val="single" w:color="000000" w:sz="4" w:space="0"/>
              <w:right w:val="single" w:color="000000" w:sz="4" w:space="0"/>
            </w:tcBorders>
            <w:shd w:val="clear" w:color="auto" w:fill="auto"/>
            <w:vAlign w:val="center"/>
          </w:tcPr>
          <w:p w14:paraId="535096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8,400.00 </w:t>
            </w:r>
          </w:p>
        </w:tc>
        <w:tc>
          <w:tcPr>
            <w:tcW w:w="1733" w:type="dxa"/>
            <w:tcBorders>
              <w:top w:val="nil"/>
              <w:left w:val="nil"/>
              <w:bottom w:val="single" w:color="000000" w:sz="4" w:space="0"/>
              <w:right w:val="single" w:color="000000" w:sz="4" w:space="0"/>
            </w:tcBorders>
            <w:shd w:val="clear" w:color="auto" w:fill="auto"/>
            <w:vAlign w:val="center"/>
          </w:tcPr>
          <w:p w14:paraId="2307D8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8CC53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41861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E5D9E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68553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07AA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DD2F79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7032B3A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3E34CB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65279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8C10D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A36F5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34,158.24 </w:t>
            </w:r>
          </w:p>
        </w:tc>
        <w:tc>
          <w:tcPr>
            <w:tcW w:w="1666" w:type="dxa"/>
            <w:tcBorders>
              <w:top w:val="nil"/>
              <w:left w:val="nil"/>
              <w:bottom w:val="single" w:color="000000" w:sz="4" w:space="0"/>
              <w:right w:val="single" w:color="000000" w:sz="4" w:space="0"/>
            </w:tcBorders>
            <w:shd w:val="clear" w:color="auto" w:fill="auto"/>
            <w:vAlign w:val="center"/>
          </w:tcPr>
          <w:p w14:paraId="388107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34,158.24 </w:t>
            </w:r>
          </w:p>
        </w:tc>
        <w:tc>
          <w:tcPr>
            <w:tcW w:w="1684" w:type="dxa"/>
            <w:tcBorders>
              <w:top w:val="nil"/>
              <w:left w:val="nil"/>
              <w:bottom w:val="single" w:color="000000" w:sz="4" w:space="0"/>
              <w:right w:val="single" w:color="000000" w:sz="4" w:space="0"/>
            </w:tcBorders>
            <w:shd w:val="clear" w:color="auto" w:fill="auto"/>
            <w:vAlign w:val="center"/>
          </w:tcPr>
          <w:p w14:paraId="4E4693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658EE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34,158.24 </w:t>
            </w:r>
          </w:p>
        </w:tc>
        <w:tc>
          <w:tcPr>
            <w:tcW w:w="1700" w:type="dxa"/>
            <w:tcBorders>
              <w:top w:val="nil"/>
              <w:left w:val="nil"/>
              <w:bottom w:val="single" w:color="000000" w:sz="4" w:space="0"/>
              <w:right w:val="single" w:color="000000" w:sz="4" w:space="0"/>
            </w:tcBorders>
            <w:shd w:val="clear" w:color="auto" w:fill="auto"/>
            <w:vAlign w:val="center"/>
          </w:tcPr>
          <w:p w14:paraId="34830C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34,158.24 </w:t>
            </w:r>
          </w:p>
        </w:tc>
        <w:tc>
          <w:tcPr>
            <w:tcW w:w="1733" w:type="dxa"/>
            <w:tcBorders>
              <w:top w:val="nil"/>
              <w:left w:val="nil"/>
              <w:bottom w:val="single" w:color="000000" w:sz="4" w:space="0"/>
              <w:right w:val="single" w:color="000000" w:sz="4" w:space="0"/>
            </w:tcBorders>
            <w:shd w:val="clear" w:color="auto" w:fill="auto"/>
            <w:vAlign w:val="center"/>
          </w:tcPr>
          <w:p w14:paraId="68E88F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AC629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ED10D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86F08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D781E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91ED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47119F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768465C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1A00AE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BE830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4305B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06127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34,158.24 </w:t>
            </w:r>
          </w:p>
        </w:tc>
        <w:tc>
          <w:tcPr>
            <w:tcW w:w="1666" w:type="dxa"/>
            <w:tcBorders>
              <w:top w:val="nil"/>
              <w:left w:val="nil"/>
              <w:bottom w:val="single" w:color="000000" w:sz="4" w:space="0"/>
              <w:right w:val="single" w:color="000000" w:sz="4" w:space="0"/>
            </w:tcBorders>
            <w:shd w:val="clear" w:color="auto" w:fill="auto"/>
            <w:vAlign w:val="center"/>
          </w:tcPr>
          <w:p w14:paraId="128E51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34,158.24 </w:t>
            </w:r>
          </w:p>
        </w:tc>
        <w:tc>
          <w:tcPr>
            <w:tcW w:w="1684" w:type="dxa"/>
            <w:tcBorders>
              <w:top w:val="nil"/>
              <w:left w:val="nil"/>
              <w:bottom w:val="single" w:color="000000" w:sz="4" w:space="0"/>
              <w:right w:val="single" w:color="000000" w:sz="4" w:space="0"/>
            </w:tcBorders>
            <w:shd w:val="clear" w:color="auto" w:fill="auto"/>
            <w:vAlign w:val="center"/>
          </w:tcPr>
          <w:p w14:paraId="287687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8FCB5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34,158.24 </w:t>
            </w:r>
          </w:p>
        </w:tc>
        <w:tc>
          <w:tcPr>
            <w:tcW w:w="1700" w:type="dxa"/>
            <w:tcBorders>
              <w:top w:val="nil"/>
              <w:left w:val="nil"/>
              <w:bottom w:val="single" w:color="000000" w:sz="4" w:space="0"/>
              <w:right w:val="single" w:color="000000" w:sz="4" w:space="0"/>
            </w:tcBorders>
            <w:shd w:val="clear" w:color="auto" w:fill="auto"/>
            <w:vAlign w:val="center"/>
          </w:tcPr>
          <w:p w14:paraId="08879E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34,158.24 </w:t>
            </w:r>
          </w:p>
        </w:tc>
        <w:tc>
          <w:tcPr>
            <w:tcW w:w="1733" w:type="dxa"/>
            <w:tcBorders>
              <w:top w:val="nil"/>
              <w:left w:val="nil"/>
              <w:bottom w:val="single" w:color="000000" w:sz="4" w:space="0"/>
              <w:right w:val="single" w:color="000000" w:sz="4" w:space="0"/>
            </w:tcBorders>
            <w:shd w:val="clear" w:color="auto" w:fill="auto"/>
            <w:vAlign w:val="center"/>
          </w:tcPr>
          <w:p w14:paraId="61B12D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D3835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7440C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23B4C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F3308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9DB7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630BBF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355E20E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6BA7BC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883FE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9FEA4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249A4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34,158.24 </w:t>
            </w:r>
          </w:p>
        </w:tc>
        <w:tc>
          <w:tcPr>
            <w:tcW w:w="1666" w:type="dxa"/>
            <w:tcBorders>
              <w:top w:val="nil"/>
              <w:left w:val="nil"/>
              <w:bottom w:val="single" w:color="000000" w:sz="4" w:space="0"/>
              <w:right w:val="single" w:color="000000" w:sz="4" w:space="0"/>
            </w:tcBorders>
            <w:shd w:val="clear" w:color="auto" w:fill="auto"/>
            <w:vAlign w:val="center"/>
          </w:tcPr>
          <w:p w14:paraId="1FE820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34,158.24 </w:t>
            </w:r>
          </w:p>
        </w:tc>
        <w:tc>
          <w:tcPr>
            <w:tcW w:w="1684" w:type="dxa"/>
            <w:tcBorders>
              <w:top w:val="nil"/>
              <w:left w:val="nil"/>
              <w:bottom w:val="single" w:color="000000" w:sz="4" w:space="0"/>
              <w:right w:val="single" w:color="000000" w:sz="4" w:space="0"/>
            </w:tcBorders>
            <w:shd w:val="clear" w:color="auto" w:fill="auto"/>
            <w:vAlign w:val="center"/>
          </w:tcPr>
          <w:p w14:paraId="672609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F714D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34,158.24 </w:t>
            </w:r>
          </w:p>
        </w:tc>
        <w:tc>
          <w:tcPr>
            <w:tcW w:w="1700" w:type="dxa"/>
            <w:tcBorders>
              <w:top w:val="nil"/>
              <w:left w:val="nil"/>
              <w:bottom w:val="single" w:color="000000" w:sz="4" w:space="0"/>
              <w:right w:val="single" w:color="000000" w:sz="4" w:space="0"/>
            </w:tcBorders>
            <w:shd w:val="clear" w:color="auto" w:fill="auto"/>
            <w:vAlign w:val="center"/>
          </w:tcPr>
          <w:p w14:paraId="02F5BC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34,158.24 </w:t>
            </w:r>
          </w:p>
        </w:tc>
        <w:tc>
          <w:tcPr>
            <w:tcW w:w="1733" w:type="dxa"/>
            <w:tcBorders>
              <w:top w:val="nil"/>
              <w:left w:val="nil"/>
              <w:bottom w:val="single" w:color="000000" w:sz="4" w:space="0"/>
              <w:right w:val="single" w:color="000000" w:sz="4" w:space="0"/>
            </w:tcBorders>
            <w:shd w:val="clear" w:color="auto" w:fill="auto"/>
            <w:vAlign w:val="center"/>
          </w:tcPr>
          <w:p w14:paraId="098B13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5267A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A8CBF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AACD7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E1F2C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6CA61109">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01A2A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60DB420B">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35333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17F509D6">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石柱土家族自治县沿溪镇便民服务中心</w:t>
            </w:r>
          </w:p>
        </w:tc>
        <w:tc>
          <w:tcPr>
            <w:tcW w:w="2682" w:type="dxa"/>
            <w:tcBorders>
              <w:top w:val="nil"/>
              <w:left w:val="nil"/>
              <w:bottom w:val="nil"/>
              <w:right w:val="nil"/>
            </w:tcBorders>
            <w:shd w:val="clear" w:color="auto" w:fill="auto"/>
            <w:vAlign w:val="bottom"/>
          </w:tcPr>
          <w:p w14:paraId="0F923A6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4A922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27C558C6">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51A8660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2B8E2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76EC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68F7CD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3F3B1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37D7A5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311DD4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6443D6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394A1D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3A43AB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01A81F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061FBB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50190C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2D01A0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638CE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00EB20DD">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45D6537B">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54551760">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0A20A466">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5C39462D">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654A5387">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74141E86">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6BD93939">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202883DB">
            <w:pPr>
              <w:jc w:val="center"/>
              <w:rPr>
                <w:rFonts w:hint="eastAsia" w:ascii="宋体" w:hAnsi="宋体" w:eastAsia="宋体" w:cs="宋体"/>
                <w:i w:val="0"/>
                <w:iCs w:val="0"/>
                <w:color w:val="000000"/>
                <w:sz w:val="22"/>
                <w:szCs w:val="22"/>
                <w:u w:val="none"/>
              </w:rPr>
            </w:pPr>
          </w:p>
        </w:tc>
      </w:tr>
      <w:tr w14:paraId="36A1B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680F0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761912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3FA5500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732,290.78 </w:t>
            </w:r>
          </w:p>
        </w:tc>
        <w:tc>
          <w:tcPr>
            <w:tcW w:w="1234" w:type="dxa"/>
            <w:tcBorders>
              <w:top w:val="nil"/>
              <w:left w:val="nil"/>
              <w:bottom w:val="single" w:color="000000" w:sz="4" w:space="0"/>
              <w:right w:val="single" w:color="000000" w:sz="4" w:space="0"/>
            </w:tcBorders>
            <w:shd w:val="clear" w:color="auto" w:fill="auto"/>
            <w:vAlign w:val="center"/>
          </w:tcPr>
          <w:p w14:paraId="16AE06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0D11F6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0811B7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85,693.04 </w:t>
            </w:r>
          </w:p>
        </w:tc>
        <w:tc>
          <w:tcPr>
            <w:tcW w:w="1133" w:type="dxa"/>
            <w:tcBorders>
              <w:top w:val="nil"/>
              <w:left w:val="nil"/>
              <w:bottom w:val="single" w:color="000000" w:sz="4" w:space="0"/>
              <w:right w:val="single" w:color="000000" w:sz="4" w:space="0"/>
            </w:tcBorders>
            <w:shd w:val="clear" w:color="auto" w:fill="auto"/>
            <w:vAlign w:val="center"/>
          </w:tcPr>
          <w:p w14:paraId="409EDA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7DCE93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0403DCE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B9E2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13A6F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5D5AF2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5EE9017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157,677.00 </w:t>
            </w:r>
          </w:p>
        </w:tc>
        <w:tc>
          <w:tcPr>
            <w:tcW w:w="1234" w:type="dxa"/>
            <w:tcBorders>
              <w:top w:val="nil"/>
              <w:left w:val="nil"/>
              <w:bottom w:val="single" w:color="000000" w:sz="4" w:space="0"/>
              <w:right w:val="single" w:color="000000" w:sz="4" w:space="0"/>
            </w:tcBorders>
            <w:shd w:val="clear" w:color="auto" w:fill="auto"/>
            <w:vAlign w:val="center"/>
          </w:tcPr>
          <w:p w14:paraId="31A92B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1585EC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677C71C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37,700.00 </w:t>
            </w:r>
          </w:p>
        </w:tc>
        <w:tc>
          <w:tcPr>
            <w:tcW w:w="1133" w:type="dxa"/>
            <w:tcBorders>
              <w:top w:val="nil"/>
              <w:left w:val="nil"/>
              <w:bottom w:val="single" w:color="000000" w:sz="4" w:space="0"/>
              <w:right w:val="single" w:color="000000" w:sz="4" w:space="0"/>
            </w:tcBorders>
            <w:shd w:val="clear" w:color="auto" w:fill="auto"/>
            <w:vAlign w:val="center"/>
          </w:tcPr>
          <w:p w14:paraId="0C7AAD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53D2E8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05D16FB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7916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DBD18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232431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56BE924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49,434.00 </w:t>
            </w:r>
          </w:p>
        </w:tc>
        <w:tc>
          <w:tcPr>
            <w:tcW w:w="1234" w:type="dxa"/>
            <w:tcBorders>
              <w:top w:val="nil"/>
              <w:left w:val="nil"/>
              <w:bottom w:val="single" w:color="000000" w:sz="4" w:space="0"/>
              <w:right w:val="single" w:color="000000" w:sz="4" w:space="0"/>
            </w:tcBorders>
            <w:shd w:val="clear" w:color="auto" w:fill="auto"/>
            <w:vAlign w:val="center"/>
          </w:tcPr>
          <w:p w14:paraId="2E459F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238B99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2C6CE30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1,600.00 </w:t>
            </w:r>
          </w:p>
        </w:tc>
        <w:tc>
          <w:tcPr>
            <w:tcW w:w="1133" w:type="dxa"/>
            <w:tcBorders>
              <w:top w:val="nil"/>
              <w:left w:val="nil"/>
              <w:bottom w:val="single" w:color="000000" w:sz="4" w:space="0"/>
              <w:right w:val="single" w:color="000000" w:sz="4" w:space="0"/>
            </w:tcBorders>
            <w:shd w:val="clear" w:color="auto" w:fill="auto"/>
            <w:vAlign w:val="center"/>
          </w:tcPr>
          <w:p w14:paraId="04501F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780788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086D6E4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588A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1986F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3EC2C4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6133830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50E71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1CA1FB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6F8FCDC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5271F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6038E4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7D6BB18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071D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25C4F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07CAFA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59F6EA1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43761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53CF69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38ED845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2,400.00 </w:t>
            </w:r>
          </w:p>
        </w:tc>
        <w:tc>
          <w:tcPr>
            <w:tcW w:w="1133" w:type="dxa"/>
            <w:tcBorders>
              <w:top w:val="nil"/>
              <w:left w:val="nil"/>
              <w:bottom w:val="single" w:color="000000" w:sz="4" w:space="0"/>
              <w:right w:val="single" w:color="000000" w:sz="4" w:space="0"/>
            </w:tcBorders>
            <w:shd w:val="clear" w:color="auto" w:fill="auto"/>
            <w:vAlign w:val="center"/>
          </w:tcPr>
          <w:p w14:paraId="31CF45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4978CD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64FC2C9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A48A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42E4E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0BF68E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7A4DCBA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337,474.00 </w:t>
            </w:r>
          </w:p>
        </w:tc>
        <w:tc>
          <w:tcPr>
            <w:tcW w:w="1234" w:type="dxa"/>
            <w:tcBorders>
              <w:top w:val="nil"/>
              <w:left w:val="nil"/>
              <w:bottom w:val="single" w:color="000000" w:sz="4" w:space="0"/>
              <w:right w:val="single" w:color="000000" w:sz="4" w:space="0"/>
            </w:tcBorders>
            <w:shd w:val="clear" w:color="auto" w:fill="auto"/>
            <w:vAlign w:val="center"/>
          </w:tcPr>
          <w:p w14:paraId="354443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117E88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6BFF3FE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1,600.00 </w:t>
            </w:r>
          </w:p>
        </w:tc>
        <w:tc>
          <w:tcPr>
            <w:tcW w:w="1133" w:type="dxa"/>
            <w:tcBorders>
              <w:top w:val="nil"/>
              <w:left w:val="nil"/>
              <w:bottom w:val="single" w:color="000000" w:sz="4" w:space="0"/>
              <w:right w:val="single" w:color="000000" w:sz="4" w:space="0"/>
            </w:tcBorders>
            <w:shd w:val="clear" w:color="auto" w:fill="auto"/>
            <w:vAlign w:val="center"/>
          </w:tcPr>
          <w:p w14:paraId="73C9A0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5C75A3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7B3CE5A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1E0F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2E40C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5EEF74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3873979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76,270.08 </w:t>
            </w:r>
          </w:p>
        </w:tc>
        <w:tc>
          <w:tcPr>
            <w:tcW w:w="1234" w:type="dxa"/>
            <w:tcBorders>
              <w:top w:val="nil"/>
              <w:left w:val="nil"/>
              <w:bottom w:val="single" w:color="000000" w:sz="4" w:space="0"/>
              <w:right w:val="single" w:color="000000" w:sz="4" w:space="0"/>
            </w:tcBorders>
            <w:shd w:val="clear" w:color="auto" w:fill="auto"/>
            <w:vAlign w:val="center"/>
          </w:tcPr>
          <w:p w14:paraId="133941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6C4963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22359C0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2,400.00 </w:t>
            </w:r>
          </w:p>
        </w:tc>
        <w:tc>
          <w:tcPr>
            <w:tcW w:w="1133" w:type="dxa"/>
            <w:tcBorders>
              <w:top w:val="nil"/>
              <w:left w:val="nil"/>
              <w:bottom w:val="single" w:color="000000" w:sz="4" w:space="0"/>
              <w:right w:val="single" w:color="000000" w:sz="4" w:space="0"/>
            </w:tcBorders>
            <w:shd w:val="clear" w:color="auto" w:fill="auto"/>
            <w:vAlign w:val="center"/>
          </w:tcPr>
          <w:p w14:paraId="3981F4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392C8C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0005404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620C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958FE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76BB80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6A5B9A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38,135.04 </w:t>
            </w:r>
          </w:p>
        </w:tc>
        <w:tc>
          <w:tcPr>
            <w:tcW w:w="1234" w:type="dxa"/>
            <w:tcBorders>
              <w:top w:val="nil"/>
              <w:left w:val="nil"/>
              <w:bottom w:val="single" w:color="000000" w:sz="4" w:space="0"/>
              <w:right w:val="single" w:color="000000" w:sz="4" w:space="0"/>
            </w:tcBorders>
            <w:shd w:val="clear" w:color="auto" w:fill="auto"/>
            <w:vAlign w:val="center"/>
          </w:tcPr>
          <w:p w14:paraId="17A8F9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0831F0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25E346E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1,600.00 </w:t>
            </w:r>
          </w:p>
        </w:tc>
        <w:tc>
          <w:tcPr>
            <w:tcW w:w="1133" w:type="dxa"/>
            <w:tcBorders>
              <w:top w:val="nil"/>
              <w:left w:val="nil"/>
              <w:bottom w:val="single" w:color="000000" w:sz="4" w:space="0"/>
              <w:right w:val="single" w:color="000000" w:sz="4" w:space="0"/>
            </w:tcBorders>
            <w:shd w:val="clear" w:color="auto" w:fill="auto"/>
            <w:vAlign w:val="center"/>
          </w:tcPr>
          <w:p w14:paraId="74BB06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36A5F2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78B1A66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039F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4BF5B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327A9D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767C6B7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28,465.20 </w:t>
            </w:r>
          </w:p>
        </w:tc>
        <w:tc>
          <w:tcPr>
            <w:tcW w:w="1234" w:type="dxa"/>
            <w:tcBorders>
              <w:top w:val="nil"/>
              <w:left w:val="nil"/>
              <w:bottom w:val="single" w:color="000000" w:sz="4" w:space="0"/>
              <w:right w:val="single" w:color="000000" w:sz="4" w:space="0"/>
            </w:tcBorders>
            <w:shd w:val="clear" w:color="auto" w:fill="auto"/>
            <w:vAlign w:val="center"/>
          </w:tcPr>
          <w:p w14:paraId="65C732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61B373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74EF1E4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66608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14A491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71AC6EB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2DC9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C3EBF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415EE4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66D56D2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5C479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4E772D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7C3B1CA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14DA6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3D38B0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0632611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F297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109A0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3FE96B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5AE7160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2,277.22 </w:t>
            </w:r>
          </w:p>
        </w:tc>
        <w:tc>
          <w:tcPr>
            <w:tcW w:w="1234" w:type="dxa"/>
            <w:tcBorders>
              <w:top w:val="nil"/>
              <w:left w:val="nil"/>
              <w:bottom w:val="single" w:color="000000" w:sz="4" w:space="0"/>
              <w:right w:val="single" w:color="000000" w:sz="4" w:space="0"/>
            </w:tcBorders>
            <w:shd w:val="clear" w:color="auto" w:fill="auto"/>
            <w:vAlign w:val="center"/>
          </w:tcPr>
          <w:p w14:paraId="22F4F4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792BFE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33BE735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8,000.00 </w:t>
            </w:r>
          </w:p>
        </w:tc>
        <w:tc>
          <w:tcPr>
            <w:tcW w:w="1133" w:type="dxa"/>
            <w:tcBorders>
              <w:top w:val="nil"/>
              <w:left w:val="nil"/>
              <w:bottom w:val="single" w:color="000000" w:sz="4" w:space="0"/>
              <w:right w:val="single" w:color="000000" w:sz="4" w:space="0"/>
            </w:tcBorders>
            <w:shd w:val="clear" w:color="auto" w:fill="auto"/>
            <w:vAlign w:val="center"/>
          </w:tcPr>
          <w:p w14:paraId="1C5094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474842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03BAC08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D179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3F8C0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119CE8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38E075B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34,158.24 </w:t>
            </w:r>
          </w:p>
        </w:tc>
        <w:tc>
          <w:tcPr>
            <w:tcW w:w="1234" w:type="dxa"/>
            <w:tcBorders>
              <w:top w:val="nil"/>
              <w:left w:val="nil"/>
              <w:bottom w:val="single" w:color="000000" w:sz="4" w:space="0"/>
              <w:right w:val="single" w:color="000000" w:sz="4" w:space="0"/>
            </w:tcBorders>
            <w:shd w:val="clear" w:color="auto" w:fill="auto"/>
            <w:vAlign w:val="center"/>
          </w:tcPr>
          <w:p w14:paraId="08CF9A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5EA14D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0D54DFE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1F53D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192B1E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62A07E4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AF2C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84B88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2F203E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62B821E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8,400.00 </w:t>
            </w:r>
          </w:p>
        </w:tc>
        <w:tc>
          <w:tcPr>
            <w:tcW w:w="1234" w:type="dxa"/>
            <w:tcBorders>
              <w:top w:val="nil"/>
              <w:left w:val="nil"/>
              <w:bottom w:val="single" w:color="000000" w:sz="4" w:space="0"/>
              <w:right w:val="single" w:color="000000" w:sz="4" w:space="0"/>
            </w:tcBorders>
            <w:shd w:val="clear" w:color="auto" w:fill="auto"/>
            <w:vAlign w:val="center"/>
          </w:tcPr>
          <w:p w14:paraId="7FC86B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232270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12656D0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4C28C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027E96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30EB290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1654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AF319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4CD72B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7ED2A7C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1C28D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62C4D7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209AC60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2DF95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401885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5116CA9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7940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63D44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130142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2A8B01C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B08A6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575CF8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6D2211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1,500.00 </w:t>
            </w:r>
          </w:p>
        </w:tc>
        <w:tc>
          <w:tcPr>
            <w:tcW w:w="1133" w:type="dxa"/>
            <w:tcBorders>
              <w:top w:val="nil"/>
              <w:left w:val="nil"/>
              <w:bottom w:val="single" w:color="000000" w:sz="4" w:space="0"/>
              <w:right w:val="single" w:color="000000" w:sz="4" w:space="0"/>
            </w:tcBorders>
            <w:shd w:val="clear" w:color="auto" w:fill="auto"/>
            <w:vAlign w:val="center"/>
          </w:tcPr>
          <w:p w14:paraId="41E138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0CA78D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7457DA8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AB48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EC93D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078180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4125842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88AAA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11763F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34C718A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1,500.00 </w:t>
            </w:r>
          </w:p>
        </w:tc>
        <w:tc>
          <w:tcPr>
            <w:tcW w:w="1133" w:type="dxa"/>
            <w:tcBorders>
              <w:top w:val="nil"/>
              <w:left w:val="nil"/>
              <w:bottom w:val="single" w:color="000000" w:sz="4" w:space="0"/>
              <w:right w:val="single" w:color="000000" w:sz="4" w:space="0"/>
            </w:tcBorders>
            <w:shd w:val="clear" w:color="auto" w:fill="auto"/>
            <w:vAlign w:val="center"/>
          </w:tcPr>
          <w:p w14:paraId="5D313D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052908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075A3BE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D86C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8AA39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29017A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6D7D05E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E5BEB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6A4447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61D679E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4,900.00 </w:t>
            </w:r>
          </w:p>
        </w:tc>
        <w:tc>
          <w:tcPr>
            <w:tcW w:w="1133" w:type="dxa"/>
            <w:tcBorders>
              <w:top w:val="nil"/>
              <w:left w:val="nil"/>
              <w:bottom w:val="single" w:color="000000" w:sz="4" w:space="0"/>
              <w:right w:val="single" w:color="000000" w:sz="4" w:space="0"/>
            </w:tcBorders>
            <w:shd w:val="clear" w:color="auto" w:fill="auto"/>
            <w:vAlign w:val="center"/>
          </w:tcPr>
          <w:p w14:paraId="5B92E3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3AA4E7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701CC51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8314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D537B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13B954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2A8F208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EAA26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0C67B1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5DCA5A5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8078C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55B71B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3800934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CAD1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F8CA2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63893A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52486F3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E37CC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6F7FDF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608FC6C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1DA5F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72A83D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0246103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8BD8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1DE35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5904E4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216E945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3E33A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404B26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01AC8C6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A4BE1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3E65CD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5315659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7878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BD4F7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2F2E87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38DB3CE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38DCD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7C98E4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725BB6D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15,000.00 </w:t>
            </w:r>
          </w:p>
        </w:tc>
        <w:tc>
          <w:tcPr>
            <w:tcW w:w="1133" w:type="dxa"/>
            <w:tcBorders>
              <w:top w:val="nil"/>
              <w:left w:val="nil"/>
              <w:bottom w:val="single" w:color="000000" w:sz="4" w:space="0"/>
              <w:right w:val="single" w:color="000000" w:sz="4" w:space="0"/>
            </w:tcBorders>
            <w:shd w:val="clear" w:color="auto" w:fill="auto"/>
            <w:vAlign w:val="center"/>
          </w:tcPr>
          <w:p w14:paraId="685772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6C1686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0CC6A72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1069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98E76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6C823F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4D3143F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8392C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053236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5948910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1,800.00 </w:t>
            </w:r>
          </w:p>
        </w:tc>
        <w:tc>
          <w:tcPr>
            <w:tcW w:w="1133" w:type="dxa"/>
            <w:tcBorders>
              <w:top w:val="nil"/>
              <w:left w:val="nil"/>
              <w:bottom w:val="single" w:color="000000" w:sz="4" w:space="0"/>
              <w:right w:val="single" w:color="000000" w:sz="4" w:space="0"/>
            </w:tcBorders>
            <w:shd w:val="clear" w:color="auto" w:fill="auto"/>
            <w:vAlign w:val="center"/>
          </w:tcPr>
          <w:p w14:paraId="3FF99A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6A53C3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2941EB3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B866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F154D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7FE42A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6628DEB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502E0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69D58D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2701F02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5,693.04 </w:t>
            </w:r>
          </w:p>
        </w:tc>
        <w:tc>
          <w:tcPr>
            <w:tcW w:w="1133" w:type="dxa"/>
            <w:tcBorders>
              <w:top w:val="nil"/>
              <w:left w:val="nil"/>
              <w:bottom w:val="single" w:color="000000" w:sz="4" w:space="0"/>
              <w:right w:val="single" w:color="000000" w:sz="4" w:space="0"/>
            </w:tcBorders>
            <w:shd w:val="clear" w:color="auto" w:fill="auto"/>
            <w:vAlign w:val="center"/>
          </w:tcPr>
          <w:p w14:paraId="6E962D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13F3F4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35097F4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2A7F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5BE3B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43A411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7C39605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9D2EA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2662FB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5BD6A9F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97006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3B3C6B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72402B5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08F6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CE876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7E5470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60614B9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A1188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7C793E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4CA246C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5F979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74B731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4220DB9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D97C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CA494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3AF74F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5CCDB5A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FB7A3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11FF1C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318A79D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8987F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3AD7FF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573C0B1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4CD1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50D1D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32DB9A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58A4FC0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FB81E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60D983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58928F5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49ADD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027536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DF7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A2AE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83DC17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84C1AA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55787F">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4EB19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5F5478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364B254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06298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75A2DA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D4A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AFDF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2575D8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DAE04E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20FAD6">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05A59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072F3C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144AD9C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C2A61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498DAA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8A4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5973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24C105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F5A4FE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63C51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51EFA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0A2014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49BB57B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3AA44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16FB03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492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71CAF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DA8EED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FDC702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0F5BB8">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0FB7F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0DA83A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618AC4F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A7D356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425C39E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4D4F">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04B26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47CCE8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66B95A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434BDF">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58606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16B9EF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4CBA57C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805C85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24EFC8E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2CEA">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384F6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C13E7B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DC7CB6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CA9193">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89FF7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240CD2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247C6B4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951E4E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0634A1E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AD71C">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0E4C9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3356374B">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95F96C">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732,290.78 </w:t>
            </w:r>
          </w:p>
        </w:tc>
        <w:tc>
          <w:tcPr>
            <w:tcW w:w="12067" w:type="dxa"/>
            <w:gridSpan w:val="5"/>
            <w:tcBorders>
              <w:top w:val="nil"/>
              <w:left w:val="nil"/>
              <w:bottom w:val="single" w:color="000000" w:sz="4" w:space="0"/>
              <w:right w:val="single" w:color="000000" w:sz="4" w:space="0"/>
            </w:tcBorders>
            <w:shd w:val="clear" w:color="auto" w:fill="auto"/>
            <w:vAlign w:val="center"/>
          </w:tcPr>
          <w:p w14:paraId="62253282">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6C31BB8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85,693.04 </w:t>
            </w:r>
          </w:p>
        </w:tc>
      </w:tr>
    </w:tbl>
    <w:p w14:paraId="05AE5E15">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0ACCE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6178FEC3">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7DB5B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29217991">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石柱土家族自治县沿溪镇便民服务中心</w:t>
            </w:r>
          </w:p>
        </w:tc>
        <w:tc>
          <w:tcPr>
            <w:tcW w:w="1156" w:type="dxa"/>
            <w:tcBorders>
              <w:top w:val="nil"/>
              <w:left w:val="nil"/>
              <w:bottom w:val="nil"/>
              <w:right w:val="nil"/>
            </w:tcBorders>
            <w:shd w:val="clear" w:color="auto" w:fill="auto"/>
            <w:vAlign w:val="bottom"/>
          </w:tcPr>
          <w:p w14:paraId="7BE7014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3E12B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53131842">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1E9D968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15E6A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611D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33AC41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74E856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62A49B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5C338A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334CA7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58AC2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554D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1FFF71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6C0B64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757871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2879F7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0BAE12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09E2FC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26DF5D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44C2CC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4673C3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6EC05E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123824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35193B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3D0385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5FE9A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B440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921784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83AA71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5D3C84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15D1A7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FE7527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FF943B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31EE16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495B24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2A66A0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2B3440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817B58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47EF57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06517E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712266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07AD3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A2AC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E48536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C2243E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6359F2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DD1978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9BB7A4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B5F656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E953DE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1AC865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187B2D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148540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78DE0D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ED3331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2A19F1F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6E2349E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3828A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68E373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32193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4C4C87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716E23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7F5977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7DE1EE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401310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1FC9E9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1A0B39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2C82B6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0C817F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4923C6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728113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38FF0C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61DFB7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0FEEBE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3E8717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40955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116D9D1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22A67E7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7CE06D7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2D0AA4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468807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B1C36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3486BC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B847E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499464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4E0F7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95921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2FD2C0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50ABE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13545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3C47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5A17D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69EF2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48F04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3E9DC4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2AD289E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6DE6C4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85FC1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10D19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E1CBA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6AD55A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D6BDE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9CA30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13E4DE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F0981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44DCD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92F55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A178C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06CAB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25EA2717">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5910D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7D0DD790">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2C92C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10D7C6EE">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石柱土家族自治县沿溪镇便民服务中心</w:t>
            </w:r>
          </w:p>
        </w:tc>
        <w:tc>
          <w:tcPr>
            <w:tcW w:w="2116" w:type="dxa"/>
            <w:tcBorders>
              <w:top w:val="nil"/>
              <w:left w:val="nil"/>
              <w:bottom w:val="nil"/>
              <w:right w:val="nil"/>
            </w:tcBorders>
            <w:shd w:val="clear" w:color="auto" w:fill="auto"/>
            <w:vAlign w:val="bottom"/>
          </w:tcPr>
          <w:p w14:paraId="3B5377F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6D5BF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3A3EBF0E">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518A919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29707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CF50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1C1191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1C82C9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4610C3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74A40A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5019AE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0B762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B575C">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6468DDC">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66465D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410B2E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4C5135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5E2E55A">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B3F0E7E">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6395F7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0B6BDE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000565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6DEC1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EFBF5">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F055C8B">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75568943">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0F122700">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1A7B213D">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B51F2AB">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D87B79D">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79CFBE73">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20FE5308">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62DEE971">
            <w:pPr>
              <w:jc w:val="center"/>
              <w:rPr>
                <w:rFonts w:hint="eastAsia" w:ascii="宋体" w:hAnsi="宋体" w:eastAsia="宋体" w:cs="宋体"/>
                <w:i w:val="0"/>
                <w:iCs w:val="0"/>
                <w:color w:val="000000"/>
                <w:sz w:val="22"/>
                <w:szCs w:val="22"/>
                <w:u w:val="none"/>
              </w:rPr>
            </w:pPr>
          </w:p>
        </w:tc>
      </w:tr>
      <w:tr w14:paraId="21A62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B29C2">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280EF4C">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71E5AE7F">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53B98B9D">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02B940C1">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C5F0B78">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0FD09CE">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48698D48">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523A5971">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76EA7030">
            <w:pPr>
              <w:jc w:val="center"/>
              <w:rPr>
                <w:rFonts w:hint="eastAsia" w:ascii="宋体" w:hAnsi="宋体" w:eastAsia="宋体" w:cs="宋体"/>
                <w:i w:val="0"/>
                <w:iCs w:val="0"/>
                <w:color w:val="000000"/>
                <w:sz w:val="22"/>
                <w:szCs w:val="22"/>
                <w:u w:val="none"/>
              </w:rPr>
            </w:pPr>
          </w:p>
        </w:tc>
      </w:tr>
      <w:tr w14:paraId="4641E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1619F2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0D7AD1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54EAB8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079273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786047B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49C56FC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12E7A10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769AC1F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002DF6C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05BAE8F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563F753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0DCD65C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5DDAD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0E810B71">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0C5C1510">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5EC4152E">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6BA585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457E454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4A989B4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2B3B0FE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7E2F185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149796D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67D50B9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1AF283E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5D87D76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2B70D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7CE8ADE3">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7422ED78">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5BF9B5F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558943B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158DB68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3F5F6C1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0A9A717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0C35255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17994F3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124A407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767E316B">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14:paraId="4EFE3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77F684A0">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79117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04C4E845">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石柱土家族自治县沿溪镇便民服务中心</w:t>
            </w:r>
          </w:p>
        </w:tc>
        <w:tc>
          <w:tcPr>
            <w:tcW w:w="4134" w:type="dxa"/>
            <w:tcBorders>
              <w:top w:val="nil"/>
              <w:left w:val="nil"/>
              <w:bottom w:val="nil"/>
              <w:right w:val="nil"/>
            </w:tcBorders>
            <w:shd w:val="clear" w:color="auto" w:fill="auto"/>
            <w:vAlign w:val="bottom"/>
          </w:tcPr>
          <w:p w14:paraId="47FE8EB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45B1B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21E84B5F">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14:paraId="2A9A277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6082C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29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108ADC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14:paraId="558202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208FB8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5FD9FD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14:paraId="78953D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0ABAD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1EEFA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14:paraId="691127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68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734C58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14:paraId="513C44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13778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5394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CDC13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14:paraId="7B5973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67CDA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4,900.00 </w:t>
            </w:r>
          </w:p>
        </w:tc>
        <w:tc>
          <w:tcPr>
            <w:tcW w:w="5416" w:type="dxa"/>
            <w:tcBorders>
              <w:top w:val="nil"/>
              <w:left w:val="nil"/>
              <w:bottom w:val="single" w:color="000000" w:sz="4" w:space="0"/>
              <w:right w:val="single" w:color="000000" w:sz="4" w:space="0"/>
            </w:tcBorders>
            <w:shd w:val="clear" w:color="auto" w:fill="auto"/>
            <w:vAlign w:val="center"/>
          </w:tcPr>
          <w:p w14:paraId="1EF490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14:paraId="4F669A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63FB8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1D68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D739C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14:paraId="5E2424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5D911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76D037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7ADFA9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5C5CA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D370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4C9E8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5439E1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D3D9C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2386ED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14:paraId="2ECF7D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730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4C921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B9124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14:paraId="55E7A1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15A3A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50AF21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14:paraId="59A52B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31E26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E485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19F92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4C6371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31FCA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0F80BA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418B80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D34D5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43AA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55DB6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14:paraId="656BFA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A73BF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4,900.00 </w:t>
            </w:r>
          </w:p>
        </w:tc>
        <w:tc>
          <w:tcPr>
            <w:tcW w:w="5416" w:type="dxa"/>
            <w:tcBorders>
              <w:top w:val="nil"/>
              <w:left w:val="nil"/>
              <w:bottom w:val="single" w:color="000000" w:sz="4" w:space="0"/>
              <w:right w:val="single" w:color="000000" w:sz="4" w:space="0"/>
            </w:tcBorders>
            <w:shd w:val="clear" w:color="auto" w:fill="auto"/>
            <w:vAlign w:val="center"/>
          </w:tcPr>
          <w:p w14:paraId="6AFF58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14:paraId="2749C3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843E4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B4A7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297E4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14:paraId="43CA0B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D8268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4,900.00 </w:t>
            </w:r>
          </w:p>
        </w:tc>
        <w:tc>
          <w:tcPr>
            <w:tcW w:w="5416" w:type="dxa"/>
            <w:tcBorders>
              <w:top w:val="nil"/>
              <w:left w:val="nil"/>
              <w:bottom w:val="single" w:color="000000" w:sz="4" w:space="0"/>
              <w:right w:val="single" w:color="000000" w:sz="4" w:space="0"/>
            </w:tcBorders>
            <w:shd w:val="clear" w:color="auto" w:fill="auto"/>
            <w:vAlign w:val="center"/>
          </w:tcPr>
          <w:p w14:paraId="2D8151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14:paraId="72F00A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967AA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F865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D4F69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14:paraId="0D6190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7FE4F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22A30F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14:paraId="73EB53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00994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A980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892736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14:paraId="07BE28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AB756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16F81F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14:paraId="21077F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21E45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B7E5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D44CC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14:paraId="4A6AAD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C2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131B69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14:paraId="2C49C1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F7409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A825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5A2A0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78BB2A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3BAD3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0518F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14:paraId="512875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92E25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483D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2EDBE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653565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D7802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3F03CB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14:paraId="3251B5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6EB0A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5368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57656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14:paraId="795831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88DEB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3C6EBF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131802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7F05E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67C8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BF527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14:paraId="5DB282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6B214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03B05A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14:paraId="630820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280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620CB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94BE1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38DCC9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8EC80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73</w:t>
            </w:r>
          </w:p>
        </w:tc>
        <w:tc>
          <w:tcPr>
            <w:tcW w:w="5416" w:type="dxa"/>
            <w:tcBorders>
              <w:top w:val="nil"/>
              <w:left w:val="nil"/>
              <w:bottom w:val="single" w:color="000000" w:sz="4" w:space="0"/>
              <w:right w:val="single" w:color="000000" w:sz="4" w:space="0"/>
            </w:tcBorders>
            <w:shd w:val="clear" w:color="auto" w:fill="auto"/>
            <w:vAlign w:val="center"/>
          </w:tcPr>
          <w:p w14:paraId="69079C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14:paraId="23289C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86D2F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831F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9554F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14:paraId="71E9C6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04D89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3A9D4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14:paraId="525D0D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790D4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C4BA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0FD03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4DD965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1DBDE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187</w:t>
            </w:r>
          </w:p>
        </w:tc>
        <w:tc>
          <w:tcPr>
            <w:tcW w:w="5416" w:type="dxa"/>
            <w:tcBorders>
              <w:top w:val="nil"/>
              <w:left w:val="nil"/>
              <w:bottom w:val="single" w:color="000000" w:sz="4" w:space="0"/>
              <w:right w:val="single" w:color="000000" w:sz="4" w:space="0"/>
            </w:tcBorders>
            <w:shd w:val="clear" w:color="auto" w:fill="auto"/>
            <w:vAlign w:val="center"/>
          </w:tcPr>
          <w:p w14:paraId="1454C7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14:paraId="349BAB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7CB72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89BA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FCB8F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14:paraId="4CD85C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4BEB2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396E19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14:paraId="6A1B92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C44CE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9E9F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1D07D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78EB93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2F394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26D3C4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4657EE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1B62F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4C12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F32E4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666B35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6E96B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5B847C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44DB0A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EC60C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6FBD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42D32D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14:paraId="41F75B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2780DAC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1,500.00</w:t>
            </w:r>
          </w:p>
        </w:tc>
        <w:tc>
          <w:tcPr>
            <w:tcW w:w="5416" w:type="dxa"/>
            <w:tcBorders>
              <w:top w:val="nil"/>
              <w:left w:val="nil"/>
              <w:bottom w:val="single" w:color="auto" w:sz="4" w:space="0"/>
              <w:right w:val="single" w:color="000000" w:sz="4" w:space="0"/>
            </w:tcBorders>
            <w:shd w:val="clear" w:color="auto" w:fill="auto"/>
            <w:vAlign w:val="center"/>
          </w:tcPr>
          <w:p w14:paraId="471E39C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14:paraId="161F37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1C17E7">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22BF6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78E5D4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4F4110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1C0B26C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1,500.00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5D7519B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122916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2AB58743">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4A3D3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2DEF8FE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227AEE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4DA96F2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8,000.00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537B754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6A050B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0DED983F">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7E63B029">
      <w:pPr>
        <w:rPr>
          <w:rFonts w:hint="eastAsia" w:ascii="宋体" w:hAnsi="宋体" w:eastAsia="宋体" w:cs="宋体"/>
          <w:color w:val="000000"/>
          <w:sz w:val="21"/>
          <w:szCs w:val="21"/>
          <w:lang w:bidi="ar"/>
        </w:rPr>
      </w:pPr>
    </w:p>
    <w:p w14:paraId="7A238F7C">
      <w:pPr>
        <w:rPr>
          <w:rFonts w:hint="eastAsia" w:ascii="宋体" w:hAnsi="宋体" w:eastAsia="宋体" w:cs="宋体"/>
          <w:color w:val="000000"/>
          <w:sz w:val="21"/>
          <w:szCs w:val="21"/>
          <w:lang w:bidi="ar"/>
        </w:rPr>
      </w:pPr>
    </w:p>
    <w:p w14:paraId="58CFA649">
      <w:pPr>
        <w:rPr>
          <w:rFonts w:hint="eastAsia" w:ascii="宋体" w:hAnsi="宋体" w:eastAsia="宋体" w:cs="宋体"/>
          <w:color w:val="000000"/>
          <w:sz w:val="21"/>
          <w:szCs w:val="21"/>
          <w:lang w:bidi="ar"/>
        </w:rPr>
      </w:pPr>
    </w:p>
    <w:p w14:paraId="244677A7">
      <w:pPr>
        <w:rPr>
          <w:rFonts w:hint="eastAsia" w:ascii="宋体" w:hAnsi="宋体" w:eastAsia="宋体" w:cs="宋体"/>
          <w:color w:val="000000"/>
          <w:sz w:val="21"/>
          <w:szCs w:val="21"/>
          <w:lang w:bidi="ar"/>
        </w:rPr>
      </w:pPr>
    </w:p>
    <w:p w14:paraId="435BDD55">
      <w:pPr>
        <w:rPr>
          <w:rFonts w:hint="eastAsia" w:ascii="宋体" w:hAnsi="宋体" w:eastAsia="宋体" w:cs="宋体"/>
          <w:color w:val="000000"/>
          <w:sz w:val="21"/>
          <w:szCs w:val="21"/>
          <w:lang w:bidi="ar"/>
        </w:rPr>
      </w:pPr>
    </w:p>
    <w:p w14:paraId="4FD2E698">
      <w:pPr>
        <w:rPr>
          <w:rFonts w:hint="eastAsia" w:ascii="宋体" w:hAnsi="宋体" w:eastAsia="宋体" w:cs="宋体"/>
          <w:color w:val="000000"/>
          <w:sz w:val="21"/>
          <w:szCs w:val="21"/>
          <w:lang w:bidi="ar"/>
        </w:rPr>
      </w:pPr>
    </w:p>
    <w:p w14:paraId="52376CC6">
      <w:pPr>
        <w:rPr>
          <w:rFonts w:hint="eastAsia" w:ascii="宋体" w:hAnsi="宋体" w:eastAsia="宋体" w:cs="宋体"/>
          <w:color w:val="000000"/>
          <w:sz w:val="21"/>
          <w:szCs w:val="21"/>
          <w:lang w:bidi="ar"/>
        </w:rPr>
      </w:pPr>
    </w:p>
    <w:p w14:paraId="71F2958A">
      <w:pPr>
        <w:rPr>
          <w:rFonts w:hint="eastAsia" w:ascii="宋体" w:hAnsi="宋体" w:eastAsia="宋体" w:cs="宋体"/>
          <w:color w:val="000000"/>
          <w:sz w:val="21"/>
          <w:szCs w:val="21"/>
          <w:lang w:bidi="ar"/>
        </w:rPr>
      </w:pPr>
    </w:p>
    <w:p w14:paraId="2059A276">
      <w:pPr>
        <w:rPr>
          <w:rFonts w:hint="eastAsia" w:ascii="宋体" w:hAnsi="宋体" w:eastAsia="宋体" w:cs="宋体"/>
          <w:color w:val="000000"/>
          <w:sz w:val="21"/>
          <w:szCs w:val="21"/>
          <w:lang w:bidi="ar"/>
        </w:rPr>
      </w:pPr>
    </w:p>
    <w:p w14:paraId="4AB554FE">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933B9">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E748B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E748B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8F4CC">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697B3B">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4697B3B">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AFF3CDD">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AFF3CDD">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6B71A">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0ZTAzN2JkMjk3MDVhMmMzOWI3NjY2YzRmYWIwMDI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1F43270"/>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1445F"/>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8341</Words>
  <Characters>12186</Characters>
  <Lines>161</Lines>
  <Paragraphs>45</Paragraphs>
  <TotalTime>0</TotalTime>
  <ScaleCrop>false</ScaleCrop>
  <LinksUpToDate>false</LinksUpToDate>
  <CharactersWithSpaces>13292</CharactersWithSpaces>
  <Application>WPS Office_12.1.0.17142_F1E327BC-269C-435d-A152-05C5408002CA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2025-10-10T08:55:17Z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2052-12.1.0.17142</vt:lpwstr>
  </property>
  <property fmtid="{D5CDD505-2E9C-101B-9397-08002B2CF9AE}" pid="3" name="ICV">
    <vt:lpwstr>BB46EABDBB2749749395447164B066B3_12</vt:lpwstr>
  </property>
</Properties>
</file>