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8F2AD">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石柱土家族自治县沿溪镇</w:t>
      </w:r>
    </w:p>
    <w:p w14:paraId="15F851A6">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产业发展服务中心</w:t>
      </w:r>
    </w:p>
    <w:p w14:paraId="12872FFE">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年度决算</w:t>
      </w:r>
      <w:r>
        <w:rPr>
          <w:rFonts w:hint="eastAsia" w:ascii="方正小标宋_GBK" w:hAnsi="方正小标宋_GBK" w:eastAsia="方正小标宋_GBK" w:cs="方正小标宋_GBK"/>
          <w:sz w:val="44"/>
          <w:szCs w:val="44"/>
          <w:lang w:val="en-US" w:eastAsia="zh-CN"/>
        </w:rPr>
        <w:t>公开</w:t>
      </w:r>
      <w:r>
        <w:rPr>
          <w:rFonts w:hint="eastAsia" w:ascii="方正小标宋_GBK" w:hAnsi="方正小标宋_GBK" w:eastAsia="方正小标宋_GBK" w:cs="方正小标宋_GBK"/>
          <w:sz w:val="44"/>
          <w:szCs w:val="44"/>
        </w:rPr>
        <w:t>说明</w:t>
      </w:r>
    </w:p>
    <w:p w14:paraId="148A48F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14:paraId="2F4ADA4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359B46BC">
      <w:pPr>
        <w:keepLines w:val="0"/>
        <w:pageBreakBefore w:val="0"/>
        <w:widowControl/>
        <w:kinsoku/>
        <w:wordWrap/>
        <w:overflowPunct/>
        <w:topLinePunct/>
        <w:bidi w:val="0"/>
        <w:spacing w:beforeLines="0" w:afterLines="0" w:line="540" w:lineRule="exact"/>
        <w:ind w:firstLine="640" w:firstLineChars="200"/>
        <w:textAlignment w:val="auto"/>
        <w:rPr>
          <w:rFonts w:hint="default" w:ascii="仿宋" w:hAnsi="仿宋" w:eastAsia="仿宋" w:cs="仿宋"/>
          <w:sz w:val="32"/>
          <w:szCs w:val="24"/>
        </w:rPr>
      </w:pPr>
      <w:r>
        <w:rPr>
          <w:rFonts w:hint="eastAsia" w:ascii="Times New Roman" w:hAnsi="Times New Roman" w:eastAsia="方正仿宋_GBK"/>
          <w:sz w:val="32"/>
          <w:szCs w:val="32"/>
        </w:rPr>
        <w:t>宗旨：为农业农村工作提供服务。</w:t>
      </w:r>
    </w:p>
    <w:p w14:paraId="4D7ED9BF">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主要职责任务：主要承担农技、农机、林业、水利水保、水产、畜牧兽医等方面的重大技术推广、信息服务等工作；承担灾害防治、水利工程管理等方面技术服务工作。</w:t>
      </w:r>
    </w:p>
    <w:p w14:paraId="2CDD91FC">
      <w:pPr>
        <w:keepLines w:val="0"/>
        <w:pageBreakBefore w:val="0"/>
        <w:widowControl/>
        <w:kinsoku/>
        <w:wordWrap/>
        <w:overflowPunct/>
        <w:topLinePunct/>
        <w:bidi w:val="0"/>
        <w:spacing w:beforeLines="0" w:afterLines="0" w:line="540" w:lineRule="exact"/>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具体职责任务：</w:t>
      </w:r>
    </w:p>
    <w:p w14:paraId="3561304B">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w:t>
      </w:r>
      <w:r>
        <w:rPr>
          <w:rFonts w:hint="default" w:ascii="Times New Roman" w:hAnsi="Times New Roman" w:eastAsia="方正仿宋_GBK"/>
          <w:sz w:val="32"/>
          <w:szCs w:val="32"/>
        </w:rPr>
        <w:t>1</w:t>
      </w:r>
      <w:r>
        <w:rPr>
          <w:rFonts w:hint="eastAsia" w:ascii="Times New Roman" w:hAnsi="Times New Roman" w:eastAsia="方正仿宋_GBK"/>
          <w:sz w:val="32"/>
          <w:szCs w:val="32"/>
        </w:rPr>
        <w:t>）承担农业技术、农业机械化推广服务，引导农业产业结构调整，指导推进农业产业化经营工作。</w:t>
      </w:r>
    </w:p>
    <w:p w14:paraId="3BF61B3C">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w:t>
      </w:r>
      <w:r>
        <w:rPr>
          <w:rFonts w:hint="default" w:ascii="Times New Roman" w:hAnsi="Times New Roman" w:eastAsia="方正仿宋_GBK"/>
          <w:sz w:val="32"/>
          <w:szCs w:val="32"/>
        </w:rPr>
        <w:t>2</w:t>
      </w:r>
      <w:r>
        <w:rPr>
          <w:rFonts w:hint="eastAsia" w:ascii="Times New Roman" w:hAnsi="Times New Roman" w:eastAsia="方正仿宋_GBK"/>
          <w:sz w:val="32"/>
          <w:szCs w:val="32"/>
        </w:rPr>
        <w:t>）承担林业技术推广、林业发展、护林防火和退耕还林及资源环境保护工作。</w:t>
      </w:r>
    </w:p>
    <w:p w14:paraId="089F4AC3">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w:t>
      </w:r>
      <w:r>
        <w:rPr>
          <w:rFonts w:hint="default" w:ascii="Times New Roman" w:hAnsi="Times New Roman" w:eastAsia="方正仿宋_GBK"/>
          <w:sz w:val="32"/>
          <w:szCs w:val="32"/>
        </w:rPr>
        <w:t>3</w:t>
      </w:r>
      <w:r>
        <w:rPr>
          <w:rFonts w:hint="eastAsia" w:ascii="Times New Roman" w:hAnsi="Times New Roman" w:eastAsia="方正仿宋_GBK"/>
          <w:sz w:val="32"/>
          <w:szCs w:val="32"/>
        </w:rPr>
        <w:t>）承担水利水保、水利工程、防汛抗旱、供水、大中型水利水电工程移民后期扶持和农田水利基本建设等技术服务工作；承担水利科技推广工作。</w:t>
      </w:r>
    </w:p>
    <w:p w14:paraId="0CCCFA13">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w:t>
      </w:r>
      <w:r>
        <w:rPr>
          <w:rFonts w:hint="default" w:ascii="Times New Roman" w:hAnsi="Times New Roman" w:eastAsia="方正仿宋_GBK"/>
          <w:sz w:val="32"/>
          <w:szCs w:val="32"/>
        </w:rPr>
        <w:t>4</w:t>
      </w:r>
      <w:r>
        <w:rPr>
          <w:rFonts w:hint="eastAsia" w:ascii="Times New Roman" w:hAnsi="Times New Roman" w:eastAsia="方正仿宋_GBK"/>
          <w:sz w:val="32"/>
          <w:szCs w:val="32"/>
        </w:rPr>
        <w:t>）承担畜牧兽医技术推广和技术服务，引导畜牧产业发展等工作。</w:t>
      </w:r>
    </w:p>
    <w:p w14:paraId="03B6D2DC">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w:t>
      </w:r>
      <w:r>
        <w:rPr>
          <w:rFonts w:hint="default" w:ascii="Times New Roman" w:hAnsi="Times New Roman" w:eastAsia="方正仿宋_GBK"/>
          <w:sz w:val="32"/>
          <w:szCs w:val="32"/>
        </w:rPr>
        <w:t>5</w:t>
      </w:r>
      <w:r>
        <w:rPr>
          <w:rFonts w:hint="eastAsia" w:ascii="Times New Roman" w:hAnsi="Times New Roman" w:eastAsia="方正仿宋_GBK"/>
          <w:sz w:val="32"/>
          <w:szCs w:val="32"/>
        </w:rPr>
        <w:t>）承担动物疫病防疫、动物疫情调查、动物疫病监测、动物疫情报告、畜禽圈舍消毒、参与重大动物疫情控制及扑灭等工作。</w:t>
      </w:r>
    </w:p>
    <w:p w14:paraId="51BE13E9">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w:t>
      </w:r>
      <w:r>
        <w:rPr>
          <w:rFonts w:hint="default" w:ascii="Times New Roman" w:hAnsi="Times New Roman" w:eastAsia="方正仿宋_GBK"/>
          <w:sz w:val="32"/>
          <w:szCs w:val="32"/>
        </w:rPr>
        <w:t>6</w:t>
      </w:r>
      <w:r>
        <w:rPr>
          <w:rFonts w:hint="eastAsia" w:ascii="Times New Roman" w:hAnsi="Times New Roman" w:eastAsia="方正仿宋_GBK"/>
          <w:sz w:val="32"/>
          <w:szCs w:val="32"/>
        </w:rPr>
        <w:t>）承担植物有害生物巡查、发现报告和协助除治等工作。</w:t>
      </w:r>
    </w:p>
    <w:p w14:paraId="2AD3FE0C">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w:t>
      </w:r>
      <w:r>
        <w:rPr>
          <w:rFonts w:hint="default" w:ascii="Times New Roman" w:hAnsi="Times New Roman" w:eastAsia="方正仿宋_GBK"/>
          <w:sz w:val="32"/>
          <w:szCs w:val="32"/>
        </w:rPr>
        <w:t>7</w:t>
      </w:r>
      <w:r>
        <w:rPr>
          <w:rFonts w:hint="eastAsia" w:ascii="Times New Roman" w:hAnsi="Times New Roman" w:eastAsia="方正仿宋_GBK"/>
          <w:sz w:val="32"/>
          <w:szCs w:val="32"/>
        </w:rPr>
        <w:t>）承担水产和渔业服务工作。</w:t>
      </w:r>
    </w:p>
    <w:p w14:paraId="1CB8A626">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w:t>
      </w:r>
      <w:r>
        <w:rPr>
          <w:rFonts w:hint="default" w:ascii="Times New Roman" w:hAnsi="Times New Roman" w:eastAsia="方正仿宋_GBK"/>
          <w:sz w:val="32"/>
          <w:szCs w:val="32"/>
        </w:rPr>
        <w:t>8</w:t>
      </w:r>
      <w:r>
        <w:rPr>
          <w:rFonts w:hint="eastAsia" w:ascii="Times New Roman" w:hAnsi="Times New Roman" w:eastAsia="方正仿宋_GBK"/>
          <w:sz w:val="32"/>
          <w:szCs w:val="32"/>
        </w:rPr>
        <w:t>）承担农业信息服务、农产品质量安全监测等工作。</w:t>
      </w:r>
    </w:p>
    <w:p w14:paraId="7C947662">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w:t>
      </w:r>
      <w:r>
        <w:rPr>
          <w:rFonts w:hint="default" w:ascii="Times New Roman" w:hAnsi="Times New Roman" w:eastAsia="方正仿宋_GBK"/>
          <w:sz w:val="32"/>
          <w:szCs w:val="32"/>
        </w:rPr>
        <w:t>9</w:t>
      </w:r>
      <w:r>
        <w:rPr>
          <w:rFonts w:hint="eastAsia" w:ascii="Times New Roman" w:hAnsi="Times New Roman" w:eastAsia="方正仿宋_GBK"/>
          <w:sz w:val="32"/>
          <w:szCs w:val="32"/>
        </w:rPr>
        <w:t>）承担农村能源建设服务、农业面源污染监测防控服务工作。</w:t>
      </w:r>
    </w:p>
    <w:p w14:paraId="50BFE373">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w:t>
      </w:r>
      <w:r>
        <w:rPr>
          <w:rFonts w:hint="default" w:ascii="Times New Roman" w:hAnsi="Times New Roman" w:eastAsia="方正仿宋_GBK"/>
          <w:sz w:val="32"/>
          <w:szCs w:val="32"/>
        </w:rPr>
        <w:t>10</w:t>
      </w:r>
      <w:r>
        <w:rPr>
          <w:rFonts w:hint="eastAsia" w:ascii="Times New Roman" w:hAnsi="Times New Roman" w:eastAsia="方正仿宋_GBK"/>
          <w:sz w:val="32"/>
          <w:szCs w:val="32"/>
        </w:rPr>
        <w:t>）指导服务农村土地流转工作。</w:t>
      </w:r>
    </w:p>
    <w:p w14:paraId="65D841DE">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w:t>
      </w:r>
      <w:r>
        <w:rPr>
          <w:rFonts w:hint="default" w:ascii="Times New Roman" w:hAnsi="Times New Roman" w:eastAsia="方正仿宋_GBK"/>
          <w:sz w:val="32"/>
          <w:szCs w:val="32"/>
        </w:rPr>
        <w:t>11</w:t>
      </w:r>
      <w:r>
        <w:rPr>
          <w:rFonts w:hint="eastAsia" w:ascii="Times New Roman" w:hAnsi="Times New Roman" w:eastAsia="方正仿宋_GBK"/>
          <w:sz w:val="32"/>
          <w:szCs w:val="32"/>
        </w:rPr>
        <w:t>）承担扶贫开发技术服务工作。</w:t>
      </w:r>
    </w:p>
    <w:p w14:paraId="18CBF3BF">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w:t>
      </w:r>
      <w:r>
        <w:rPr>
          <w:rFonts w:hint="default" w:ascii="Times New Roman" w:hAnsi="Times New Roman" w:eastAsia="方正仿宋_GBK"/>
          <w:sz w:val="32"/>
          <w:szCs w:val="32"/>
        </w:rPr>
        <w:t>12</w:t>
      </w:r>
      <w:r>
        <w:rPr>
          <w:rFonts w:hint="eastAsia" w:ascii="Times New Roman" w:hAnsi="Times New Roman" w:eastAsia="方正仿宋_GBK"/>
          <w:sz w:val="32"/>
          <w:szCs w:val="32"/>
        </w:rPr>
        <w:t>）承办镇党委、镇政府交办的其他工作任务。</w:t>
      </w:r>
    </w:p>
    <w:p w14:paraId="047773D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0B95A36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本单位只有石柱土家族自治县人民政府沿溪镇人民政府产业发展中心一个机构。本单位人员编制共7人，实有7人。</w:t>
      </w:r>
    </w:p>
    <w:p w14:paraId="4B6BEB6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241D483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45820D2">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lang w:val="en-US" w:eastAsia="zh-CN" w:bidi="ar-SA"/>
        </w:rPr>
        <w:t>2024</w:t>
      </w:r>
      <w:r>
        <w:rPr>
          <w:rFonts w:hint="eastAsia" w:ascii="Times New Roman" w:hAnsi="Times New Roman" w:eastAsia="方正仿宋_GBK" w:cs="Times New Roman"/>
          <w:sz w:val="32"/>
          <w:szCs w:val="32"/>
          <w:lang w:val="en-US" w:eastAsia="zh-CN" w:bidi="ar-SA"/>
        </w:rPr>
        <w:t>年度收、支总计均为</w:t>
      </w:r>
      <w:r>
        <w:rPr>
          <w:rFonts w:hint="default" w:ascii="Times New Roman" w:hAnsi="Times New Roman" w:eastAsia="方正仿宋_GBK" w:cs="Times New Roman"/>
          <w:sz w:val="32"/>
          <w:szCs w:val="32"/>
          <w:lang w:val="en-US" w:eastAsia="zh-CN" w:bidi="ar-SA"/>
        </w:rPr>
        <w:t>177.28</w:t>
      </w:r>
      <w:r>
        <w:rPr>
          <w:rFonts w:hint="eastAsia" w:ascii="Times New Roman" w:hAnsi="Times New Roman" w:eastAsia="方正仿宋_GBK" w:cs="Times New Roman"/>
          <w:sz w:val="32"/>
          <w:szCs w:val="32"/>
          <w:lang w:val="en-US" w:eastAsia="zh-CN" w:bidi="ar-SA"/>
        </w:rPr>
        <w:t>万元。</w:t>
      </w:r>
      <w:r>
        <w:rPr>
          <w:rFonts w:hint="default" w:ascii="Times New Roman" w:hAnsi="Times New Roman" w:eastAsia="方正仿宋_GBK" w:cs="Times New Roman"/>
          <w:sz w:val="32"/>
          <w:szCs w:val="32"/>
          <w:lang w:val="en-US" w:eastAsia="zh-CN" w:bidi="ar-SA"/>
        </w:rPr>
        <w:t>收、支与2023年度相比，减少16.62万元，下降8.6%</w:t>
      </w:r>
      <w:r>
        <w:rPr>
          <w:rFonts w:hint="eastAsia" w:ascii="Times New Roman" w:hAnsi="Times New Roman" w:eastAsia="方正仿宋_GBK" w:cs="Times New Roman"/>
          <w:sz w:val="32"/>
          <w:szCs w:val="32"/>
          <w:lang w:val="en-US" w:eastAsia="zh-CN" w:bidi="ar-SA"/>
        </w:rPr>
        <w:t>，主要原因是调走老员工人员2名，招考新进人员2名，人员经费整体下降，本年收入减少16.62万元。</w:t>
      </w:r>
    </w:p>
    <w:p w14:paraId="01CE18C1">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lang w:val="en-US" w:eastAsia="zh-CN" w:bidi="ar-SA"/>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lang w:val="en-US" w:eastAsia="zh-CN" w:bidi="ar-SA"/>
        </w:rPr>
        <w:t>2024</w:t>
      </w:r>
      <w:r>
        <w:rPr>
          <w:rFonts w:hint="eastAsia" w:ascii="Times New Roman" w:hAnsi="Times New Roman" w:eastAsia="方正仿宋_GBK" w:cs="Times New Roman"/>
          <w:sz w:val="32"/>
          <w:szCs w:val="32"/>
          <w:lang w:val="en-US" w:eastAsia="zh-CN" w:bidi="ar-SA"/>
        </w:rPr>
        <w:t>年度收入合计</w:t>
      </w:r>
      <w:r>
        <w:rPr>
          <w:rFonts w:hint="default" w:ascii="Times New Roman" w:hAnsi="Times New Roman" w:eastAsia="方正仿宋_GBK" w:cs="Times New Roman"/>
          <w:sz w:val="32"/>
          <w:szCs w:val="32"/>
          <w:lang w:val="en-US" w:eastAsia="zh-CN" w:bidi="ar-SA"/>
        </w:rPr>
        <w:t>177.28</w:t>
      </w:r>
      <w:r>
        <w:rPr>
          <w:rFonts w:hint="eastAsia" w:ascii="Times New Roman" w:hAnsi="Times New Roman" w:eastAsia="方正仿宋_GBK" w:cs="Times New Roman"/>
          <w:sz w:val="32"/>
          <w:szCs w:val="32"/>
          <w:lang w:val="en-US" w:eastAsia="zh-CN" w:bidi="ar-SA"/>
        </w:rPr>
        <w:t>万元，</w:t>
      </w:r>
      <w:r>
        <w:rPr>
          <w:rFonts w:hint="default" w:ascii="Times New Roman" w:hAnsi="Times New Roman" w:eastAsia="方正仿宋_GBK" w:cs="Times New Roman"/>
          <w:sz w:val="32"/>
          <w:szCs w:val="32"/>
          <w:lang w:val="en-US" w:eastAsia="zh-CN" w:bidi="ar-SA"/>
        </w:rPr>
        <w:t>与2023年度相比，减少16.62万元，下降8.6%</w:t>
      </w:r>
      <w:r>
        <w:rPr>
          <w:rFonts w:hint="eastAsia" w:ascii="Times New Roman" w:hAnsi="Times New Roman" w:eastAsia="方正仿宋_GBK" w:cs="Times New Roman"/>
          <w:sz w:val="32"/>
          <w:szCs w:val="32"/>
          <w:lang w:val="en-US" w:eastAsia="zh-CN" w:bidi="ar-SA"/>
        </w:rPr>
        <w:t>，主要原因是调走老员工人员2名，招考新进人员2名，人员经费整体下降，本年收入减少16.62万元。其中：财政拨款收入</w:t>
      </w:r>
      <w:r>
        <w:rPr>
          <w:rFonts w:hint="default" w:ascii="Times New Roman" w:hAnsi="Times New Roman" w:eastAsia="方正仿宋_GBK" w:cs="Times New Roman"/>
          <w:sz w:val="32"/>
          <w:szCs w:val="32"/>
          <w:lang w:val="en-US" w:eastAsia="zh-CN" w:bidi="ar-SA"/>
        </w:rPr>
        <w:t>177.28</w:t>
      </w:r>
      <w:r>
        <w:rPr>
          <w:rFonts w:hint="eastAsia" w:ascii="Times New Roman" w:hAnsi="Times New Roman" w:eastAsia="方正仿宋_GBK" w:cs="Times New Roman"/>
          <w:sz w:val="32"/>
          <w:szCs w:val="32"/>
          <w:lang w:val="en-US" w:eastAsia="zh-CN" w:bidi="ar-SA"/>
        </w:rPr>
        <w:t>万元，占</w:t>
      </w:r>
      <w:r>
        <w:rPr>
          <w:rFonts w:hint="default" w:ascii="Times New Roman" w:hAnsi="Times New Roman" w:eastAsia="方正仿宋_GBK" w:cs="Times New Roman"/>
          <w:sz w:val="32"/>
          <w:szCs w:val="32"/>
          <w:lang w:val="en-US" w:eastAsia="zh-CN" w:bidi="ar-SA"/>
        </w:rPr>
        <w:t>100.0%</w:t>
      </w:r>
      <w:r>
        <w:rPr>
          <w:rFonts w:hint="eastAsia" w:ascii="Times New Roman" w:hAnsi="Times New Roman" w:eastAsia="方正仿宋_GBK" w:cs="Times New Roman"/>
          <w:sz w:val="32"/>
          <w:szCs w:val="32"/>
          <w:lang w:val="en-US" w:eastAsia="zh-CN" w:bidi="ar-SA"/>
        </w:rPr>
        <w:t>；事业收入</w:t>
      </w:r>
      <w:r>
        <w:rPr>
          <w:rFonts w:hint="default" w:ascii="Times New Roman" w:hAnsi="Times New Roman" w:eastAsia="方正仿宋_GBK" w:cs="Times New Roman"/>
          <w:sz w:val="32"/>
          <w:szCs w:val="32"/>
          <w:lang w:val="en-US" w:eastAsia="zh-CN" w:bidi="ar-SA"/>
        </w:rPr>
        <w:t>0.00</w:t>
      </w:r>
      <w:r>
        <w:rPr>
          <w:rFonts w:hint="eastAsia" w:ascii="Times New Roman" w:hAnsi="Times New Roman" w:eastAsia="方正仿宋_GBK" w:cs="Times New Roman"/>
          <w:sz w:val="32"/>
          <w:szCs w:val="32"/>
          <w:lang w:val="en-US" w:eastAsia="zh-CN" w:bidi="ar-SA"/>
        </w:rPr>
        <w:t>万元，占</w:t>
      </w:r>
      <w:r>
        <w:rPr>
          <w:rFonts w:hint="default" w:ascii="Times New Roman" w:hAnsi="Times New Roman" w:eastAsia="方正仿宋_GBK" w:cs="Times New Roman"/>
          <w:sz w:val="32"/>
          <w:szCs w:val="32"/>
          <w:lang w:val="en-US" w:eastAsia="zh-CN" w:bidi="ar-SA"/>
        </w:rPr>
        <w:t>0.0%</w:t>
      </w:r>
      <w:r>
        <w:rPr>
          <w:rFonts w:hint="eastAsia" w:ascii="Times New Roman" w:hAnsi="Times New Roman" w:eastAsia="方正仿宋_GBK" w:cs="Times New Roman"/>
          <w:sz w:val="32"/>
          <w:szCs w:val="32"/>
          <w:lang w:val="en-US" w:eastAsia="zh-CN" w:bidi="ar-SA"/>
        </w:rPr>
        <w:t>；经营收入</w:t>
      </w:r>
      <w:r>
        <w:rPr>
          <w:rFonts w:hint="default" w:ascii="Times New Roman" w:hAnsi="Times New Roman" w:eastAsia="方正仿宋_GBK" w:cs="Times New Roman"/>
          <w:sz w:val="32"/>
          <w:szCs w:val="32"/>
          <w:lang w:val="en-US" w:eastAsia="zh-CN" w:bidi="ar-SA"/>
        </w:rPr>
        <w:t>0.00</w:t>
      </w:r>
      <w:r>
        <w:rPr>
          <w:rFonts w:hint="eastAsia" w:ascii="Times New Roman" w:hAnsi="Times New Roman" w:eastAsia="方正仿宋_GBK" w:cs="Times New Roman"/>
          <w:sz w:val="32"/>
          <w:szCs w:val="32"/>
          <w:lang w:val="en-US" w:eastAsia="zh-CN" w:bidi="ar-SA"/>
        </w:rPr>
        <w:t>万元，占</w:t>
      </w:r>
      <w:r>
        <w:rPr>
          <w:rFonts w:hint="default" w:ascii="Times New Roman" w:hAnsi="Times New Roman" w:eastAsia="方正仿宋_GBK" w:cs="Times New Roman"/>
          <w:sz w:val="32"/>
          <w:szCs w:val="32"/>
          <w:lang w:val="en-US" w:eastAsia="zh-CN" w:bidi="ar-SA"/>
        </w:rPr>
        <w:t>0.0%</w:t>
      </w:r>
      <w:r>
        <w:rPr>
          <w:rFonts w:hint="eastAsia" w:ascii="Times New Roman" w:hAnsi="Times New Roman" w:eastAsia="方正仿宋_GBK" w:cs="Times New Roman"/>
          <w:sz w:val="32"/>
          <w:szCs w:val="32"/>
          <w:lang w:val="en-US" w:eastAsia="zh-CN" w:bidi="ar-SA"/>
        </w:rPr>
        <w:t>；其他收入</w:t>
      </w:r>
      <w:r>
        <w:rPr>
          <w:rFonts w:hint="default" w:ascii="Times New Roman" w:hAnsi="Times New Roman" w:eastAsia="方正仿宋_GBK" w:cs="Times New Roman"/>
          <w:sz w:val="32"/>
          <w:szCs w:val="32"/>
          <w:lang w:val="en-US" w:eastAsia="zh-CN" w:bidi="ar-SA"/>
        </w:rPr>
        <w:t>0.00</w:t>
      </w:r>
      <w:r>
        <w:rPr>
          <w:rFonts w:hint="eastAsia" w:ascii="Times New Roman" w:hAnsi="Times New Roman" w:eastAsia="方正仿宋_GBK" w:cs="Times New Roman"/>
          <w:sz w:val="32"/>
          <w:szCs w:val="32"/>
          <w:lang w:val="en-US" w:eastAsia="zh-CN" w:bidi="ar-SA"/>
        </w:rPr>
        <w:t>万元，占</w:t>
      </w:r>
      <w:r>
        <w:rPr>
          <w:rFonts w:hint="default" w:ascii="Times New Roman" w:hAnsi="Times New Roman" w:eastAsia="方正仿宋_GBK" w:cs="Times New Roman"/>
          <w:sz w:val="32"/>
          <w:szCs w:val="32"/>
          <w:lang w:val="en-US" w:eastAsia="zh-CN" w:bidi="ar-SA"/>
        </w:rPr>
        <w:t>0.0%</w:t>
      </w:r>
      <w:r>
        <w:rPr>
          <w:rFonts w:hint="eastAsia" w:ascii="Times New Roman" w:hAnsi="Times New Roman" w:eastAsia="方正仿宋_GBK" w:cs="Times New Roman"/>
          <w:sz w:val="32"/>
          <w:szCs w:val="32"/>
          <w:lang w:val="en-US" w:eastAsia="zh-CN" w:bidi="ar-SA"/>
        </w:rPr>
        <w:t>。此外，使用非财政拨款结余（含专用结余）</w:t>
      </w:r>
      <w:r>
        <w:rPr>
          <w:rFonts w:hint="default" w:ascii="Times New Roman" w:hAnsi="Times New Roman" w:eastAsia="方正仿宋_GBK" w:cs="Times New Roman"/>
          <w:sz w:val="32"/>
          <w:szCs w:val="32"/>
          <w:lang w:val="en-US" w:eastAsia="zh-CN" w:bidi="ar-SA"/>
        </w:rPr>
        <w:t>0.00</w:t>
      </w:r>
      <w:r>
        <w:rPr>
          <w:rFonts w:hint="eastAsia" w:ascii="Times New Roman" w:hAnsi="Times New Roman" w:eastAsia="方正仿宋_GBK" w:cs="Times New Roman"/>
          <w:sz w:val="32"/>
          <w:szCs w:val="32"/>
          <w:lang w:val="en-US" w:eastAsia="zh-CN" w:bidi="ar-SA"/>
        </w:rPr>
        <w:t>万元，年初结转和结余</w:t>
      </w:r>
      <w:r>
        <w:rPr>
          <w:rFonts w:hint="default" w:ascii="Times New Roman" w:hAnsi="Times New Roman" w:eastAsia="方正仿宋_GBK" w:cs="Times New Roman"/>
          <w:sz w:val="32"/>
          <w:szCs w:val="32"/>
          <w:lang w:val="en-US" w:eastAsia="zh-CN" w:bidi="ar-SA"/>
        </w:rPr>
        <w:t>0.00</w:t>
      </w:r>
      <w:r>
        <w:rPr>
          <w:rFonts w:hint="eastAsia" w:ascii="Times New Roman" w:hAnsi="Times New Roman" w:eastAsia="方正仿宋_GBK" w:cs="Times New Roman"/>
          <w:sz w:val="32"/>
          <w:szCs w:val="32"/>
          <w:lang w:val="en-US" w:eastAsia="zh-CN" w:bidi="ar-SA"/>
        </w:rPr>
        <w:t>万元。</w:t>
      </w:r>
    </w:p>
    <w:p w14:paraId="15B58B12">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lang w:val="en-US" w:eastAsia="zh-CN" w:bidi="ar-SA"/>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sz w:val="32"/>
          <w:szCs w:val="32"/>
          <w:lang w:val="en-US" w:eastAsia="zh-CN" w:bidi="ar-SA"/>
        </w:rPr>
        <w:t>2024年度支出合计177.28万元，与2023年度相比，减少16.62万元，下降8.6%，主要原因是</w:t>
      </w:r>
      <w:r>
        <w:rPr>
          <w:rFonts w:hint="eastAsia" w:ascii="Times New Roman" w:hAnsi="Times New Roman" w:eastAsia="方正仿宋_GBK" w:cs="Times New Roman"/>
          <w:sz w:val="32"/>
          <w:szCs w:val="32"/>
          <w:lang w:val="en-US" w:eastAsia="zh-CN" w:bidi="ar-SA"/>
        </w:rPr>
        <w:t>调走老员工人员2名，招考新进人员2名，人员经费整体下降，本年支出减少16.62万元。</w:t>
      </w:r>
      <w:r>
        <w:rPr>
          <w:rFonts w:hint="default" w:ascii="Times New Roman" w:hAnsi="Times New Roman" w:eastAsia="方正仿宋_GBK" w:cs="Times New Roman"/>
          <w:sz w:val="32"/>
          <w:szCs w:val="32"/>
          <w:lang w:val="en-US" w:eastAsia="zh-CN" w:bidi="ar-SA"/>
        </w:rPr>
        <w:t>其中：基本支出177.28万元，占100.0%；项目支出0.00万元，占0.0%；经营支出0.00万元，占0.0%。此外，结余分配0.00万元。</w:t>
      </w:r>
    </w:p>
    <w:p w14:paraId="411E14CD">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cs="Times New Roman"/>
          <w:sz w:val="32"/>
          <w:szCs w:val="32"/>
          <w:lang w:val="en-US" w:eastAsia="zh-CN" w:bidi="ar-SA"/>
        </w:rPr>
        <w:t>2024年度年末结转和结余0.00万元，与2023年度相比，无增减，主要原因是</w:t>
      </w:r>
      <w:r>
        <w:rPr>
          <w:rFonts w:hint="eastAsia" w:ascii="Times New Roman" w:hAnsi="Times New Roman" w:eastAsia="方正仿宋_GBK" w:cs="Times New Roman"/>
          <w:sz w:val="32"/>
          <w:szCs w:val="32"/>
          <w:lang w:val="en-US" w:eastAsia="zh-CN" w:bidi="ar-SA"/>
        </w:rPr>
        <w:t>严格执行预算。</w:t>
      </w:r>
    </w:p>
    <w:p w14:paraId="7664482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068B50E">
      <w:pPr>
        <w:pStyle w:val="5"/>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2024年度财政拨款收、支总计均为177.28万元。与2023年</w:t>
      </w:r>
      <w:r>
        <w:rPr>
          <w:rFonts w:hint="eastAsia" w:ascii="Times New Roman" w:hAnsi="Times New Roman" w:eastAsia="方正仿宋_GBK" w:cs="Times New Roman"/>
          <w:sz w:val="32"/>
          <w:szCs w:val="32"/>
          <w:lang w:val="en-US" w:eastAsia="zh-CN" w:bidi="ar-SA"/>
        </w:rPr>
        <w:t>度</w:t>
      </w:r>
      <w:r>
        <w:rPr>
          <w:rFonts w:hint="default" w:ascii="Times New Roman" w:hAnsi="Times New Roman" w:eastAsia="方正仿宋_GBK" w:cs="Times New Roman"/>
          <w:sz w:val="32"/>
          <w:szCs w:val="32"/>
          <w:lang w:val="en-US" w:eastAsia="zh-CN" w:bidi="ar-SA"/>
        </w:rPr>
        <w:t>相比，财政拨款收、支总计各减少16.62万元，下降8.6%。主要原因是</w:t>
      </w:r>
      <w:r>
        <w:rPr>
          <w:rFonts w:hint="eastAsia" w:ascii="Times New Roman" w:hAnsi="Times New Roman" w:eastAsia="方正仿宋_GBK" w:cs="Times New Roman"/>
          <w:sz w:val="32"/>
          <w:szCs w:val="32"/>
          <w:lang w:val="en-US" w:eastAsia="zh-CN" w:bidi="ar-SA"/>
        </w:rPr>
        <w:t>调走老员工人员2名，招考新进人员2名，人员经费整体下降。</w:t>
      </w:r>
    </w:p>
    <w:p w14:paraId="3F16554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87EDF1D">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lang w:val="en-US" w:eastAsia="zh-CN" w:bidi="ar-SA"/>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lang w:val="en-US" w:eastAsia="zh-CN" w:bidi="ar-SA"/>
        </w:rPr>
        <w:t>2024年度一般公共预算财政拨款收入177.28万元，与2023年度相比，减少16.62万元，下降8.6%。主要原因是</w:t>
      </w:r>
      <w:r>
        <w:rPr>
          <w:rFonts w:hint="eastAsia" w:ascii="Times New Roman" w:hAnsi="Times New Roman" w:eastAsia="方正仿宋_GBK" w:cs="Times New Roman"/>
          <w:sz w:val="32"/>
          <w:szCs w:val="32"/>
          <w:lang w:val="en-US" w:eastAsia="zh-CN" w:bidi="ar-SA"/>
        </w:rPr>
        <w:t>调走老员工人员2名，招考新进人员2名，人员经费整体下降。</w:t>
      </w:r>
      <w:r>
        <w:rPr>
          <w:rFonts w:hint="default" w:ascii="Times New Roman" w:hAnsi="Times New Roman" w:eastAsia="方正仿宋_GBK" w:cs="Times New Roman"/>
          <w:sz w:val="32"/>
          <w:szCs w:val="32"/>
          <w:lang w:val="en-US" w:eastAsia="zh-CN" w:bidi="ar-SA"/>
        </w:rPr>
        <w:t>较年初预算数增加6.36万元，增长3.7%。主要原因是</w:t>
      </w:r>
      <w:r>
        <w:rPr>
          <w:rFonts w:hint="eastAsia" w:ascii="Times New Roman" w:hAnsi="Times New Roman" w:eastAsia="方正仿宋_GBK" w:cs="Times New Roman"/>
          <w:sz w:val="32"/>
          <w:szCs w:val="32"/>
          <w:lang w:val="en-US" w:eastAsia="zh-CN" w:bidi="ar-SA"/>
        </w:rPr>
        <w:t>人员增加及人员工资调标。</w:t>
      </w:r>
      <w:r>
        <w:rPr>
          <w:rFonts w:hint="default" w:ascii="Times New Roman" w:hAnsi="Times New Roman" w:eastAsia="方正仿宋_GBK" w:cs="Times New Roman"/>
          <w:sz w:val="32"/>
          <w:szCs w:val="32"/>
          <w:lang w:val="en-US" w:eastAsia="zh-CN" w:bidi="ar-SA"/>
        </w:rPr>
        <w:t>此外，年初财政拨款结转和结余0.00万元。</w:t>
      </w:r>
    </w:p>
    <w:p w14:paraId="3D391BD5">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sz w:val="32"/>
          <w:szCs w:val="32"/>
          <w:lang w:val="en-US" w:eastAsia="zh-CN" w:bidi="ar-SA"/>
        </w:rPr>
        <w:t>2024年度一般公共预算财政拨款支出177.28万元，与2023年度相比，减少16.62万元，下降8.6%。主要原因是</w:t>
      </w:r>
      <w:r>
        <w:rPr>
          <w:rFonts w:hint="eastAsia" w:ascii="Times New Roman" w:hAnsi="Times New Roman" w:eastAsia="方正仿宋_GBK" w:cs="Times New Roman"/>
          <w:sz w:val="32"/>
          <w:szCs w:val="32"/>
          <w:lang w:val="en-US" w:eastAsia="zh-CN" w:bidi="ar-SA"/>
        </w:rPr>
        <w:t>调走老员工人员2名，招考新进人员2名，人员经费整体下降。</w:t>
      </w:r>
      <w:r>
        <w:rPr>
          <w:rFonts w:hint="default" w:ascii="Times New Roman" w:hAnsi="Times New Roman" w:eastAsia="方正仿宋_GBK" w:cs="Times New Roman"/>
          <w:sz w:val="32"/>
          <w:szCs w:val="32"/>
          <w:lang w:val="en-US" w:eastAsia="zh-CN" w:bidi="ar-SA"/>
        </w:rPr>
        <w:t>较年初预算数增加6.36万元，增长3.7%。主要原因是</w:t>
      </w:r>
      <w:r>
        <w:rPr>
          <w:rFonts w:hint="eastAsia" w:ascii="Times New Roman" w:hAnsi="Times New Roman" w:eastAsia="方正仿宋_GBK" w:cs="Times New Roman"/>
          <w:sz w:val="32"/>
          <w:szCs w:val="32"/>
          <w:lang w:val="en-US" w:eastAsia="zh-CN" w:bidi="ar-SA"/>
        </w:rPr>
        <w:t>人员增加及人员工资调标。</w:t>
      </w:r>
    </w:p>
    <w:p w14:paraId="687A6A6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一般公共预算财政拨款支出主要</w:t>
      </w:r>
      <w:r>
        <w:rPr>
          <w:rFonts w:hint="eastAsia" w:ascii="Times New Roman" w:hAnsi="Times New Roman" w:eastAsia="方正仿宋_GBK" w:cs="Times New Roman"/>
          <w:sz w:val="32"/>
          <w:szCs w:val="32"/>
          <w:lang w:val="en-US" w:eastAsia="zh-CN" w:bidi="ar-SA"/>
        </w:rPr>
        <w:t>用途如下</w:t>
      </w:r>
      <w:r>
        <w:rPr>
          <w:rFonts w:hint="default" w:ascii="Times New Roman" w:hAnsi="Times New Roman" w:eastAsia="方正仿宋_GBK" w:cs="Times New Roman"/>
          <w:sz w:val="32"/>
          <w:szCs w:val="32"/>
          <w:lang w:val="en-US" w:eastAsia="zh-CN" w:bidi="ar-SA"/>
        </w:rPr>
        <w:t>：</w:t>
      </w:r>
    </w:p>
    <w:p w14:paraId="7442B94A">
      <w:pPr>
        <w:pStyle w:val="5"/>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（1）社会保障与就业支出38.75万元，占21.86%，较年初预算数增加7.58万元，主要原因是职业年金和养老保险支出增加。</w:t>
      </w:r>
    </w:p>
    <w:p w14:paraId="04778CB4">
      <w:pPr>
        <w:pStyle w:val="5"/>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（2）卫生健康支出10.03万元，占5.66%，较年初预算数增减0万元，主要原因是严格按预算执行。</w:t>
      </w:r>
    </w:p>
    <w:p w14:paraId="3077F28C">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（3）农林水支出120.15万元，占67.78%，较年初预算数减少1.23万元，主要原因</w:t>
      </w:r>
      <w:r>
        <w:rPr>
          <w:rFonts w:hint="default" w:ascii="Times New Roman" w:hAnsi="Times New Roman" w:eastAsia="方正仿宋_GBK" w:cs="Times New Roman"/>
          <w:sz w:val="32"/>
          <w:szCs w:val="32"/>
          <w:lang w:val="en-US" w:eastAsia="zh-CN" w:bidi="ar-SA"/>
        </w:rPr>
        <w:t>是</w:t>
      </w:r>
      <w:r>
        <w:rPr>
          <w:rFonts w:hint="eastAsia" w:ascii="Times New Roman" w:hAnsi="Times New Roman" w:eastAsia="方正仿宋_GBK" w:cs="Times New Roman"/>
          <w:sz w:val="32"/>
          <w:szCs w:val="32"/>
          <w:lang w:val="en-US" w:eastAsia="zh-CN" w:bidi="ar-SA"/>
        </w:rPr>
        <w:t>调走老员工人员2名，招考新进人员2名，人员经费整体下降</w:t>
      </w:r>
      <w:r>
        <w:rPr>
          <w:rFonts w:hint="default" w:ascii="Times New Roman" w:hAnsi="Times New Roman" w:eastAsia="方正仿宋_GBK" w:cs="Times New Roman"/>
          <w:sz w:val="32"/>
          <w:szCs w:val="32"/>
          <w:lang w:val="en-US" w:eastAsia="zh-CN" w:bidi="ar-SA"/>
        </w:rPr>
        <w:t>。</w:t>
      </w:r>
    </w:p>
    <w:p w14:paraId="5B56FB27">
      <w:pPr>
        <w:pStyle w:val="5"/>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（4）住房保障支出8.34万元，占4.70%，较年初预算数增减0万元，主要原因是严格按预算执行。</w:t>
      </w:r>
    </w:p>
    <w:p w14:paraId="1B1EC495">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lang w:val="en-US" w:eastAsia="zh-CN" w:bidi="ar-SA"/>
        </w:rPr>
        <w:t>严格按预算执行。</w:t>
      </w:r>
    </w:p>
    <w:p w14:paraId="7F56116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B778F37">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177.28</w:t>
      </w:r>
      <w:r>
        <w:rPr>
          <w:rFonts w:ascii="方正仿宋_GBK" w:hAnsi="方正仿宋_GBK" w:eastAsia="方正仿宋_GBK" w:cs="方正仿宋_GBK"/>
          <w:sz w:val="32"/>
          <w:szCs w:val="32"/>
          <w:shd w:val="clear" w:color="auto" w:fill="FFFFFF"/>
        </w:rPr>
        <w:t>万元。</w:t>
      </w:r>
    </w:p>
    <w:p w14:paraId="4B98086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A693B5A">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159.89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与2023年度相比，减少16.78万元，下降9.5%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lang w:val="en-US" w:eastAsia="zh-CN" w:bidi="ar-SA"/>
        </w:rPr>
        <w:t>调走老员工人员2名，招考新进人员2名</w:t>
      </w:r>
      <w:r>
        <w:rPr>
          <w:rFonts w:hint="eastAsia" w:ascii="方正仿宋_GBK" w:hAnsi="方正仿宋_GBK" w:eastAsia="方正仿宋_GBK" w:cs="方正仿宋_GBK"/>
          <w:sz w:val="32"/>
          <w:szCs w:val="32"/>
          <w:shd w:val="clear" w:color="auto" w:fill="FFFFFF"/>
          <w:lang w:val="en-US" w:eastAsia="zh-CN"/>
        </w:rPr>
        <w:t>，人员经费整体下降</w:t>
      </w:r>
      <w:r>
        <w:rPr>
          <w:rFonts w:hint="default"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基本工资、津补贴、基础绩效工资、养老保险、职业年金、医疗保险等</w:t>
      </w:r>
      <w:r>
        <w:rPr>
          <w:rFonts w:hint="eastAsia" w:ascii="方正仿宋_GBK" w:hAnsi="方正仿宋_GBK" w:eastAsia="方正仿宋_GBK" w:cs="方正仿宋_GBK"/>
          <w:sz w:val="32"/>
          <w:szCs w:val="32"/>
          <w:shd w:val="clear" w:color="auto" w:fill="FFFFFF"/>
          <w:lang w:val="en-US" w:eastAsia="zh-CN"/>
        </w:rPr>
        <w:t>。</w:t>
      </w:r>
    </w:p>
    <w:p w14:paraId="2AE4AFC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17.39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与2023年度相比，增加0.17万元，增长1.0%</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cs="Times New Roman"/>
          <w:sz w:val="32"/>
          <w:szCs w:val="32"/>
          <w:shd w:val="clear" w:color="auto" w:fill="FFFFFF"/>
        </w:rPr>
        <w:t>是</w:t>
      </w:r>
      <w:r>
        <w:rPr>
          <w:rFonts w:hint="eastAsia" w:ascii="Times New Roman" w:hAnsi="Times New Roman" w:eastAsia="方正仿宋_GBK" w:cs="Times New Roman"/>
          <w:sz w:val="32"/>
          <w:szCs w:val="32"/>
          <w:shd w:val="clear" w:color="auto" w:fill="FFFFFF"/>
          <w:lang w:eastAsia="zh-CN"/>
        </w:rPr>
        <w:t>办公支出增多</w:t>
      </w:r>
      <w:r>
        <w:rPr>
          <w:rFonts w:hint="default" w:ascii="Times New Roman" w:hAnsi="Times New Roman" w:eastAsia="方正仿宋_GBK" w:cs="Times New Roman"/>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办公费、水费、电费等。</w:t>
      </w:r>
    </w:p>
    <w:p w14:paraId="4179FDC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C4C0E2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本部门2024年度无政府性基金预算财政拨款收支。</w:t>
      </w:r>
    </w:p>
    <w:p w14:paraId="28BE14D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C2DDFCB">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p>
    <w:p w14:paraId="3E80E2B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04297F0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56DDFC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2024年度“三公”经费支出共计0.79万元，</w:t>
      </w:r>
      <w:r>
        <w:rPr>
          <w:rFonts w:hint="default" w:ascii="Times New Roman" w:hAnsi="Times New Roman" w:eastAsia="方正仿宋_GBK"/>
          <w:sz w:val="32"/>
          <w:szCs w:val="32"/>
          <w:shd w:val="clear" w:color="auto" w:fill="FFFFFF"/>
        </w:rPr>
        <w:t>较年初预算数增加0.</w:t>
      </w:r>
      <w:r>
        <w:rPr>
          <w:rFonts w:hint="eastAsia" w:ascii="Times New Roman" w:hAnsi="Times New Roman" w:eastAsia="方正仿宋_GBK"/>
          <w:sz w:val="32"/>
          <w:szCs w:val="32"/>
          <w:shd w:val="clear" w:color="auto" w:fill="FFFFFF"/>
          <w:lang w:val="en-US" w:eastAsia="zh-CN"/>
        </w:rPr>
        <w:t>7</w:t>
      </w:r>
      <w:r>
        <w:rPr>
          <w:rFonts w:hint="default" w:ascii="Times New Roman" w:hAnsi="Times New Roman" w:eastAsia="方正仿宋_GBK"/>
          <w:sz w:val="32"/>
          <w:szCs w:val="32"/>
          <w:shd w:val="clear" w:color="auto" w:fill="FFFFFF"/>
        </w:rPr>
        <w:t>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机构改革。</w:t>
      </w:r>
      <w:r>
        <w:rPr>
          <w:rFonts w:hint="default" w:ascii="Times New Roman" w:hAnsi="Times New Roman" w:eastAsia="方正仿宋_GBK" w:cs="Times New Roman"/>
          <w:sz w:val="32"/>
          <w:szCs w:val="32"/>
          <w:shd w:val="clear" w:color="auto" w:fill="FFFFFF"/>
        </w:rPr>
        <w:t>较上年支出数无增减，主要原因是</w:t>
      </w:r>
      <w:r>
        <w:rPr>
          <w:rFonts w:hint="eastAsia" w:ascii="Times New Roman" w:hAnsi="Times New Roman" w:eastAsia="方正仿宋_GBK" w:cs="Times New Roman"/>
          <w:sz w:val="32"/>
          <w:szCs w:val="32"/>
          <w:shd w:val="clear" w:color="auto" w:fill="FFFFFF"/>
          <w:lang w:val="en-US" w:eastAsia="zh-CN"/>
        </w:rPr>
        <w:t>落实过紧日子要求，严控支出。</w:t>
      </w:r>
    </w:p>
    <w:p w14:paraId="490EECA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94FF13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rPr>
        <w:t>年度本单位无因公出国（境）费用。</w:t>
      </w:r>
    </w:p>
    <w:p w14:paraId="02B4B6CA">
      <w:pPr>
        <w:pStyle w:val="5"/>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rPr>
        <w:t>年度本单位无公务车购置费</w:t>
      </w:r>
      <w:r>
        <w:rPr>
          <w:rFonts w:hint="eastAsia" w:ascii="Times New Roman" w:hAnsi="Times New Roman" w:eastAsia="方正仿宋_GBK" w:cs="Times New Roman"/>
          <w:sz w:val="32"/>
          <w:szCs w:val="32"/>
          <w:shd w:val="clear" w:color="auto" w:fill="FFFFFF"/>
          <w:lang w:eastAsia="zh-CN"/>
        </w:rPr>
        <w:t>。</w:t>
      </w:r>
    </w:p>
    <w:p w14:paraId="48A214B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rPr>
        <w:t>年度本单位无公务车运行维护费</w:t>
      </w:r>
      <w:r>
        <w:rPr>
          <w:rFonts w:hint="eastAsia" w:ascii="Times New Roman" w:hAnsi="Times New Roman" w:eastAsia="方正仿宋_GBK" w:cs="Times New Roman"/>
          <w:sz w:val="32"/>
          <w:szCs w:val="32"/>
          <w:shd w:val="clear" w:color="auto" w:fill="FFFFFF"/>
          <w:lang w:eastAsia="zh-CN"/>
        </w:rPr>
        <w:t>。</w:t>
      </w:r>
    </w:p>
    <w:p w14:paraId="542E6B9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0.79</w:t>
      </w:r>
      <w:r>
        <w:rPr>
          <w:rFonts w:ascii="方正仿宋_GBK" w:hAnsi="方正仿宋_GBK" w:eastAsia="方正仿宋_GBK" w:cs="方正仿宋_GBK"/>
          <w:sz w:val="32"/>
          <w:szCs w:val="32"/>
          <w:shd w:val="clear" w:color="auto" w:fill="FFFFFF"/>
        </w:rPr>
        <w:t>万元，主要用于接待</w:t>
      </w:r>
      <w:r>
        <w:rPr>
          <w:rFonts w:hint="eastAsia" w:ascii="Times New Roman" w:hAnsi="Times New Roman" w:eastAsia="方正仿宋_GBK"/>
          <w:sz w:val="32"/>
          <w:szCs w:val="32"/>
        </w:rPr>
        <w:t>上级及相关部门检查指导工作发生的接待开支</w:t>
      </w:r>
      <w:r>
        <w:rPr>
          <w:rFonts w:hint="eastAsia" w:ascii="Times New Roman" w:hAnsi="Times New Roman" w:eastAsia="方正仿宋_GBK" w:cs="Times New Roman"/>
          <w:sz w:val="32"/>
          <w:szCs w:val="32"/>
          <w:lang w:val="en-US" w:eastAsia="zh-CN" w:bidi="ar-SA"/>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较年初预算数增加0.</w:t>
      </w:r>
      <w:r>
        <w:rPr>
          <w:rFonts w:hint="eastAsia" w:ascii="Times New Roman" w:hAnsi="Times New Roman" w:eastAsia="方正仿宋_GBK"/>
          <w:sz w:val="32"/>
          <w:szCs w:val="32"/>
          <w:shd w:val="clear" w:color="auto" w:fill="FFFFFF"/>
          <w:lang w:val="en-US" w:eastAsia="zh-CN"/>
        </w:rPr>
        <w:t>7</w:t>
      </w:r>
      <w:r>
        <w:rPr>
          <w:rFonts w:hint="default" w:ascii="Times New Roman" w:hAnsi="Times New Roman" w:eastAsia="方正仿宋_GBK"/>
          <w:sz w:val="32"/>
          <w:szCs w:val="32"/>
          <w:shd w:val="clear" w:color="auto" w:fill="FFFFFF"/>
        </w:rPr>
        <w:t>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机构改革。</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落实过紧日子要求，严控支出。</w:t>
      </w:r>
    </w:p>
    <w:p w14:paraId="23DDCE8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BA5E48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62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320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24.69</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2A47195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559E395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122ADF2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与2023年度相比，减少0.50万元，下降62.5%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lang w:val="en-US" w:eastAsia="zh-CN" w:bidi="ar-SA"/>
        </w:rPr>
        <w:t>落实过紧日子要求，严控支出。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与2023年度相比，减少0.23万元，下降43.4%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lang w:val="en-US" w:eastAsia="zh-CN" w:bidi="ar-SA"/>
        </w:rPr>
        <w:t>落实过紧日子要求，严控支出。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与2023年度相比，增加0.20万元，增长25.0%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县上会议增多。</w:t>
      </w:r>
    </w:p>
    <w:p w14:paraId="3DBC826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6A2B6D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部门</w:t>
      </w:r>
      <w:r>
        <w:rPr>
          <w:rFonts w:hint="default" w:ascii="方正仿宋_GBK" w:hAnsi="方正仿宋_GBK" w:eastAsia="方正仿宋_GBK" w:cs="方正仿宋_GBK"/>
          <w:sz w:val="32"/>
          <w:szCs w:val="32"/>
          <w:shd w:val="clear" w:color="auto" w:fill="FFFFFF"/>
        </w:rPr>
        <w:t>不在机关运行经费统计范围之内。</w:t>
      </w:r>
    </w:p>
    <w:p w14:paraId="5B855A7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76CDF51">
      <w:pPr>
        <w:keepNext/>
        <w:keepLines w:val="0"/>
        <w:pageBreakBefore w:val="0"/>
        <w:widowControl/>
        <w:suppressLineNumbers/>
        <w:kinsoku/>
        <w:wordWrap/>
        <w:overflowPunct/>
        <w:autoSpaceDE w:val="0"/>
        <w:autoSpaceDN w:val="0"/>
        <w:bidi w:val="0"/>
        <w:adjustRightInd w:val="0"/>
        <w:spacing w:beforeLines="0" w:afterLines="0" w:line="540" w:lineRule="exact"/>
        <w:ind w:firstLine="640" w:firstLineChars="20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因本单位属于二级预算单位，我单位资产未纳入部门决算报表。</w:t>
      </w:r>
    </w:p>
    <w:p w14:paraId="3ED96AE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3CED0A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2024年度我部门未发生政府采购事项，无相关经费支出。</w:t>
      </w:r>
    </w:p>
    <w:p w14:paraId="25FBD21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eastAsia="zh-CN"/>
        </w:rPr>
        <w:t>五、</w:t>
      </w:r>
      <w:r>
        <w:rPr>
          <w:rStyle w:val="8"/>
          <w:rFonts w:hint="eastAsia" w:ascii="黑体" w:hAnsi="黑体" w:eastAsia="黑体" w:cs="黑体"/>
          <w:sz w:val="32"/>
          <w:szCs w:val="32"/>
          <w:shd w:val="clear" w:color="auto" w:fill="FFFFFF"/>
        </w:rPr>
        <w:t>预算绩效管理情况说明</w:t>
      </w:r>
    </w:p>
    <w:p w14:paraId="0F57DD8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0DF28B31">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因本单位属于二级预算单位，预算绩效管理项目全部由本级管理，故</w:t>
      </w:r>
      <w:r>
        <w:rPr>
          <w:rFonts w:hint="default" w:ascii="Times New Roman" w:hAnsi="Times New Roman" w:eastAsia="方正仿宋_GBK" w:cs="Times New Roman"/>
          <w:sz w:val="32"/>
          <w:szCs w:val="32"/>
          <w:lang w:val="en-US" w:eastAsia="zh-CN" w:bidi="ar-SA"/>
        </w:rPr>
        <w:t>202</w:t>
      </w:r>
      <w:r>
        <w:rPr>
          <w:rFonts w:hint="eastAsia" w:ascii="Times New Roman" w:hAnsi="Times New Roman" w:eastAsia="方正仿宋_GBK" w:cs="Times New Roman"/>
          <w:sz w:val="32"/>
          <w:szCs w:val="32"/>
          <w:lang w:val="en-US" w:eastAsia="zh-CN" w:bidi="ar-SA"/>
        </w:rPr>
        <w:t>4年度我单位无预算绩效项目。</w:t>
      </w:r>
    </w:p>
    <w:p w14:paraId="4245CAEE">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（二）部门绩效评价情况</w:t>
      </w:r>
    </w:p>
    <w:p w14:paraId="13EDA892">
      <w:pPr>
        <w:pStyle w:val="9"/>
        <w:keepLines w:val="0"/>
        <w:pageBreakBefore w:val="0"/>
        <w:widowControl/>
        <w:kinsoku/>
        <w:wordWrap/>
        <w:overflowPunct/>
        <w:autoSpaceDE w:val="0"/>
        <w:bidi w:val="0"/>
        <w:spacing w:line="540" w:lineRule="exact"/>
        <w:ind w:left="0" w:leftChars="0" w:firstLine="640" w:firstLineChars="200"/>
        <w:textAlignment w:val="auto"/>
        <w:rPr>
          <w:rFonts w:hint="eastAsia" w:ascii="宋体" w:hAnsi="宋体"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我单位未组织开展绩效评价。</w:t>
      </w:r>
      <w:bookmarkStart w:id="0" w:name="_GoBack"/>
      <w:bookmarkEnd w:id="0"/>
    </w:p>
    <w:p w14:paraId="70B5ABA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14:paraId="418321CD">
      <w:pPr>
        <w:pStyle w:val="9"/>
        <w:keepNext w:val="0"/>
        <w:keepLines/>
        <w:pageBreakBefore w:val="0"/>
        <w:widowControl/>
        <w:kinsoku/>
        <w:wordWrap/>
        <w:overflowPunct/>
        <w:topLinePunct w:val="0"/>
        <w:autoSpaceDE w:val="0"/>
        <w:autoSpaceDN/>
        <w:bidi w:val="0"/>
        <w:adjustRightInd/>
        <w:snapToGrid/>
        <w:spacing w:line="540" w:lineRule="exact"/>
        <w:ind w:left="0" w:leftChars="0" w:firstLine="640" w:firstLineChars="200"/>
        <w:textAlignment w:val="auto"/>
        <w:rPr>
          <w:rFonts w:hint="eastAsia" w:ascii="方正仿宋_GBK" w:hAnsi="方正仿宋_GBK" w:eastAsia="方正仿宋_GBK" w:cs="方正仿宋_GBK"/>
          <w:color w:val="FF0000"/>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市财政局未委托第三方对我部门开展绩效评价。</w:t>
      </w:r>
    </w:p>
    <w:p w14:paraId="36232B12">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六、专业名词解释</w:t>
      </w:r>
    </w:p>
    <w:p w14:paraId="7D26F9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AF0CCB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40C847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BDC7D1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DED170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A4EAAD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50CED3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E3C8A3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8B9CB0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1512FA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4B22CF2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E60161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5E5581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C7E90B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D65E81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5B6567F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C97562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7815B6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77DB591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023-73367001</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7C95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1BC0DC2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2FD5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0A793721">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石柱土家族自治县沿溪镇产业发展服务中心</w:t>
            </w:r>
          </w:p>
        </w:tc>
        <w:tc>
          <w:tcPr>
            <w:tcW w:w="4344" w:type="dxa"/>
            <w:tcBorders>
              <w:top w:val="nil"/>
              <w:left w:val="nil"/>
              <w:bottom w:val="nil"/>
              <w:right w:val="nil"/>
            </w:tcBorders>
            <w:shd w:val="clear" w:color="auto" w:fill="auto"/>
            <w:vAlign w:val="bottom"/>
          </w:tcPr>
          <w:p w14:paraId="5CFE42C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4E4C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40980C2B">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4C3B4D6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34B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392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475455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459F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ED599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5A1836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19EA8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7F588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7B34C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002A94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92EF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60209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22A079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6D03E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54A3B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362155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707E23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1C2D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71224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4978F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4499C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1,772,779.83 </w:t>
            </w:r>
          </w:p>
        </w:tc>
        <w:tc>
          <w:tcPr>
            <w:tcW w:w="4433" w:type="dxa"/>
            <w:tcBorders>
              <w:top w:val="nil"/>
              <w:left w:val="nil"/>
              <w:bottom w:val="single" w:color="000000" w:sz="4" w:space="0"/>
              <w:right w:val="single" w:color="000000" w:sz="4" w:space="0"/>
            </w:tcBorders>
            <w:shd w:val="clear" w:color="auto" w:fill="auto"/>
            <w:vAlign w:val="center"/>
          </w:tcPr>
          <w:p w14:paraId="61550E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64E74B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55CB33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1C1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CC8A2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09BFF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1EDC15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F6545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43BC4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15A21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6A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5366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311B61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49B72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67967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7F6DD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8D51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97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DD26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2C87A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7408A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3B70A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5CC509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AFBA7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BC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4BAD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2785F2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5E2D99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9BCD8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2550CF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80D0C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90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A2CE0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5C2DF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057DB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5ED04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61C67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773E1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95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10616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0BAB4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461A7F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6BFA1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27A35F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4365A9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04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F0C4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45F94F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6576D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37A0F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6BD744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2934D5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387,538.16 </w:t>
            </w:r>
          </w:p>
        </w:tc>
      </w:tr>
      <w:tr w14:paraId="1AA5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D65E21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5BC7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CC0A1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6C30B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73D779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05057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100,315.12 </w:t>
            </w:r>
          </w:p>
        </w:tc>
      </w:tr>
      <w:tr w14:paraId="5575D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F744E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55FCA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9FA45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A486E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204259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46FC13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9A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23BE56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E77D3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30D9F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46675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7930B7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98A6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C0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1718B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2D6D4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5137A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6FFF0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60174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D404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1,201,539.03 </w:t>
            </w:r>
          </w:p>
        </w:tc>
      </w:tr>
      <w:tr w14:paraId="3C00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6E6CCD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C4F7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D37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8836F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0C4F07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EB60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36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1A268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D6686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7E8190E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01D78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06250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2D90C2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4C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34E060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D9509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756295C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73398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3C067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5781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D2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E528E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1C33B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77D0859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1FDD5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2204A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D5597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B4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A9A638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279AF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4FFE2FB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8058F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25CD2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76B4D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70F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C86462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1CA9F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010262D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17200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7E2BEB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67DC17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07A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DC12EB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1A97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2732F4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25307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19A79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7D2C65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83,387.52 </w:t>
            </w:r>
          </w:p>
        </w:tc>
      </w:tr>
      <w:tr w14:paraId="76FF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60230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DB57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0C61A84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C0F73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3FA5C9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7AE7DD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45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C5C89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2633D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2ABE1FA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59849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752B4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D4C82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3F9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40C42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7B3B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161F942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04DBC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0A4C7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1F98B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25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60CB3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D77D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25F92D8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C9884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358223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09A479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52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BDB5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DBAEC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5A7A59A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84211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290F75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B974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EC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612DF4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C650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2C946FD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A1FD2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16DE94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52EF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88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B23C1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FF2A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357E75F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08B78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49214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B167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54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4D2E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0336EF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07CBB5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1,772,779.83 </w:t>
            </w:r>
          </w:p>
        </w:tc>
        <w:tc>
          <w:tcPr>
            <w:tcW w:w="4433" w:type="dxa"/>
            <w:tcBorders>
              <w:top w:val="nil"/>
              <w:left w:val="nil"/>
              <w:bottom w:val="single" w:color="000000" w:sz="4" w:space="0"/>
              <w:right w:val="single" w:color="000000" w:sz="4" w:space="0"/>
            </w:tcBorders>
            <w:shd w:val="clear" w:color="auto" w:fill="auto"/>
            <w:vAlign w:val="center"/>
          </w:tcPr>
          <w:p w14:paraId="689B6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61F458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BC3C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1,772,779.83 </w:t>
            </w:r>
          </w:p>
        </w:tc>
      </w:tr>
      <w:tr w14:paraId="62B0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2EDBB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3326F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6166E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A5C8F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3CE66C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50F0C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FEC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F364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315D9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3D2006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BF63B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3189C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3FCF3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83A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C875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3E2339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9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1,772,779.83 </w:t>
            </w:r>
          </w:p>
        </w:tc>
        <w:tc>
          <w:tcPr>
            <w:tcW w:w="4433" w:type="dxa"/>
            <w:tcBorders>
              <w:top w:val="nil"/>
              <w:left w:val="nil"/>
              <w:bottom w:val="single" w:color="000000" w:sz="4" w:space="0"/>
              <w:right w:val="single" w:color="000000" w:sz="4" w:space="0"/>
            </w:tcBorders>
            <w:shd w:val="clear" w:color="auto" w:fill="auto"/>
            <w:vAlign w:val="center"/>
          </w:tcPr>
          <w:p w14:paraId="22FDC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2AFF16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1C2039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1,772,779.83</w:t>
            </w:r>
          </w:p>
        </w:tc>
      </w:tr>
    </w:tbl>
    <w:p w14:paraId="02E8FFF8">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8FA58F4">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639F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7D6A057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474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858DBD0">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石柱土家族自治县沿溪镇产业发展服务中心</w:t>
            </w:r>
          </w:p>
        </w:tc>
        <w:tc>
          <w:tcPr>
            <w:tcW w:w="2408" w:type="dxa"/>
            <w:tcBorders>
              <w:top w:val="nil"/>
              <w:left w:val="nil"/>
              <w:right w:val="nil"/>
            </w:tcBorders>
            <w:shd w:val="clear" w:color="auto" w:fill="auto"/>
            <w:vAlign w:val="bottom"/>
          </w:tcPr>
          <w:p w14:paraId="7CF720E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202EA64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370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AC3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114EEA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CBE3E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3975B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B68C0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A0D7F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520F7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30F73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B5198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754D8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CD572">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DF4DCC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1132A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75DF1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34C7E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634B2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C7A35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D499E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5A9701E">
            <w:pPr>
              <w:jc w:val="center"/>
              <w:rPr>
                <w:rFonts w:hint="eastAsia" w:ascii="宋体" w:hAnsi="宋体" w:eastAsia="宋体" w:cs="宋体"/>
                <w:i w:val="0"/>
                <w:iCs w:val="0"/>
                <w:color w:val="000000"/>
                <w:sz w:val="22"/>
                <w:szCs w:val="22"/>
                <w:u w:val="none"/>
              </w:rPr>
            </w:pPr>
          </w:p>
        </w:tc>
      </w:tr>
      <w:tr w14:paraId="003C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7EB6E">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648CC7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C54D5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5FFF1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640EA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A789F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9601A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3F788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207D0D9">
            <w:pPr>
              <w:jc w:val="center"/>
              <w:rPr>
                <w:rFonts w:hint="eastAsia" w:ascii="宋体" w:hAnsi="宋体" w:eastAsia="宋体" w:cs="宋体"/>
                <w:i w:val="0"/>
                <w:iCs w:val="0"/>
                <w:color w:val="000000"/>
                <w:sz w:val="22"/>
                <w:szCs w:val="22"/>
                <w:u w:val="none"/>
              </w:rPr>
            </w:pPr>
          </w:p>
        </w:tc>
      </w:tr>
      <w:tr w14:paraId="0C22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E5932">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931201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0099E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6D1F08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8DFE0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E6C48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2521E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95502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7B850D2">
            <w:pPr>
              <w:jc w:val="center"/>
              <w:rPr>
                <w:rFonts w:hint="eastAsia" w:ascii="宋体" w:hAnsi="宋体" w:eastAsia="宋体" w:cs="宋体"/>
                <w:i w:val="0"/>
                <w:iCs w:val="0"/>
                <w:color w:val="000000"/>
                <w:sz w:val="22"/>
                <w:szCs w:val="22"/>
                <w:u w:val="none"/>
              </w:rPr>
            </w:pPr>
          </w:p>
        </w:tc>
      </w:tr>
      <w:tr w14:paraId="0425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2CEA76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7A54A7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278A67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5AEB2E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30D5C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24C5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4A812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69E7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4859E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1A68B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792F2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7658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13FAB881">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3795D826">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063EB394">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36E8A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6404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1,772,779.83 </w:t>
            </w:r>
          </w:p>
        </w:tc>
        <w:tc>
          <w:tcPr>
            <w:tcW w:w="2403" w:type="dxa"/>
            <w:tcBorders>
              <w:top w:val="nil"/>
              <w:left w:val="nil"/>
              <w:bottom w:val="single" w:color="000000" w:sz="4" w:space="0"/>
              <w:right w:val="single" w:color="000000" w:sz="4" w:space="0"/>
            </w:tcBorders>
            <w:shd w:val="clear" w:color="auto" w:fill="auto"/>
            <w:vAlign w:val="center"/>
          </w:tcPr>
          <w:p w14:paraId="07CF77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1,772,779.83 </w:t>
            </w:r>
          </w:p>
        </w:tc>
        <w:tc>
          <w:tcPr>
            <w:tcW w:w="2403" w:type="dxa"/>
            <w:tcBorders>
              <w:top w:val="nil"/>
              <w:left w:val="nil"/>
              <w:bottom w:val="single" w:color="000000" w:sz="4" w:space="0"/>
              <w:right w:val="single" w:color="000000" w:sz="4" w:space="0"/>
            </w:tcBorders>
            <w:shd w:val="clear" w:color="auto" w:fill="auto"/>
            <w:vAlign w:val="center"/>
          </w:tcPr>
          <w:p w14:paraId="2BDB8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AA4E9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9C74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1EAF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A881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334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F3C479">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6FE0E3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F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387,538.16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2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387,538.16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1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0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AF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7A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EB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56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132EA1">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62ABF0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C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387,538.16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04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387,538.16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9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8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CD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4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1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97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E71D06">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0391B1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E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146,625.00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77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146,625.00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E7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5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2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75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71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C9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F6D42E">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190823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8D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160,482.24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F3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160,482.24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9F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75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8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A0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6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80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941116">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051EA7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A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80,430.92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12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80,430.92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0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A6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C0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85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7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D9D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16F7D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284272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3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100,315.12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5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100,315.12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C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3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5E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9B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53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E5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E58DDC">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6CED5F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4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100,315.12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5E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100,315.12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F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39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83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8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E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16F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723735">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746D69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4C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66,015.12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7C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66,015.12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2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6A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7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1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A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33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A8D53A">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7C8331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B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2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B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2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D0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D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3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FD5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F9284D">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6C4108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9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1,201,539.03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15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1,201,539.03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1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E9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2D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65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5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D1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3DD6E5">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2D16AA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0E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1,201,539.03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B2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1,201,539.03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7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6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AA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9E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71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4ED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2CEAD0">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166" w:type="dxa"/>
            <w:tcBorders>
              <w:top w:val="nil"/>
              <w:left w:val="nil"/>
              <w:bottom w:val="single" w:color="000000" w:sz="4" w:space="0"/>
              <w:right w:val="single" w:color="000000" w:sz="4" w:space="0"/>
            </w:tcBorders>
            <w:shd w:val="clear" w:color="auto" w:fill="auto"/>
            <w:vAlign w:val="center"/>
          </w:tcPr>
          <w:p w14:paraId="02E36F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C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1,201,539.03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2B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1,201,539.03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A6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E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0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A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E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E5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9E585A6">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582900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3A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83,387.52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8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83,387.52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2D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AA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E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8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9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C4F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EDEA0A">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1C0826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A1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83,387.52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A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83,387.52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3C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ED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9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4C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2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5C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9FD0CFF">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064C09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A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83,387.52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6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83,387.52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C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1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C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E0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42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052A07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5AA61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2B9962C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1C9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A4B5307">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石柱土家族自治县沿溪镇产业发展服务中心 </w:t>
            </w:r>
          </w:p>
        </w:tc>
        <w:tc>
          <w:tcPr>
            <w:tcW w:w="2741" w:type="dxa"/>
            <w:tcBorders>
              <w:top w:val="nil"/>
              <w:left w:val="nil"/>
              <w:bottom w:val="nil"/>
              <w:right w:val="nil"/>
            </w:tcBorders>
            <w:shd w:val="clear" w:color="auto" w:fill="auto"/>
            <w:vAlign w:val="bottom"/>
          </w:tcPr>
          <w:p w14:paraId="636B71B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2E4F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CBA10DF">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776A662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C89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A4E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34D90F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4A12F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40CA3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A818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D1928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3DDE6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CB0DA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3FAB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E9B6C">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7C1D1B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FEA97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E83C8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644DA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C8724B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CCE1A8">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E9AA3A1">
            <w:pPr>
              <w:jc w:val="center"/>
              <w:rPr>
                <w:rFonts w:hint="eastAsia" w:ascii="宋体" w:hAnsi="宋体" w:eastAsia="宋体" w:cs="宋体"/>
                <w:i w:val="0"/>
                <w:iCs w:val="0"/>
                <w:color w:val="000000"/>
                <w:sz w:val="22"/>
                <w:szCs w:val="22"/>
                <w:u w:val="none"/>
              </w:rPr>
            </w:pPr>
          </w:p>
        </w:tc>
      </w:tr>
      <w:tr w14:paraId="5049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E28B7">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00D1A21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6A625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F3B3D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F8B29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A845D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18992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12B51A8">
            <w:pPr>
              <w:jc w:val="center"/>
              <w:rPr>
                <w:rFonts w:hint="eastAsia" w:ascii="宋体" w:hAnsi="宋体" w:eastAsia="宋体" w:cs="宋体"/>
                <w:i w:val="0"/>
                <w:iCs w:val="0"/>
                <w:color w:val="000000"/>
                <w:sz w:val="22"/>
                <w:szCs w:val="22"/>
                <w:u w:val="none"/>
              </w:rPr>
            </w:pPr>
          </w:p>
        </w:tc>
      </w:tr>
      <w:tr w14:paraId="7AC7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5D999">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23BB8E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9F2EF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0073B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086EF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C1730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99163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D2AAD84">
            <w:pPr>
              <w:jc w:val="center"/>
              <w:rPr>
                <w:rFonts w:hint="eastAsia" w:ascii="宋体" w:hAnsi="宋体" w:eastAsia="宋体" w:cs="宋体"/>
                <w:i w:val="0"/>
                <w:iCs w:val="0"/>
                <w:color w:val="000000"/>
                <w:sz w:val="22"/>
                <w:szCs w:val="22"/>
                <w:u w:val="none"/>
              </w:rPr>
            </w:pPr>
          </w:p>
        </w:tc>
      </w:tr>
      <w:tr w14:paraId="56A3C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700E2A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3E0819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2001D1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1AC29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B2AA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A0EC9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1A166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BCCAE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3FC1F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0C05D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4B35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5E734967">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34A371F2">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1CD068DA">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3B72B3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4E74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1,772,779.83 </w:t>
            </w:r>
          </w:p>
        </w:tc>
        <w:tc>
          <w:tcPr>
            <w:tcW w:w="2737" w:type="dxa"/>
            <w:tcBorders>
              <w:top w:val="nil"/>
              <w:left w:val="nil"/>
              <w:bottom w:val="single" w:color="000000" w:sz="4" w:space="0"/>
              <w:right w:val="single" w:color="000000" w:sz="4" w:space="0"/>
            </w:tcBorders>
            <w:shd w:val="clear" w:color="auto" w:fill="auto"/>
            <w:vAlign w:val="center"/>
          </w:tcPr>
          <w:p w14:paraId="6DBE1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1,772,779.83 </w:t>
            </w:r>
          </w:p>
        </w:tc>
        <w:tc>
          <w:tcPr>
            <w:tcW w:w="2737" w:type="dxa"/>
            <w:tcBorders>
              <w:top w:val="nil"/>
              <w:left w:val="nil"/>
              <w:bottom w:val="single" w:color="000000" w:sz="4" w:space="0"/>
              <w:right w:val="single" w:color="000000" w:sz="4" w:space="0"/>
            </w:tcBorders>
            <w:shd w:val="clear" w:color="auto" w:fill="auto"/>
            <w:vAlign w:val="center"/>
          </w:tcPr>
          <w:p w14:paraId="289CDE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FAC73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33B8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F756E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A8FC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FD1F72A">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23F886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6B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387,538.16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9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387,538.16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C6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B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D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97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B7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0D919F">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043E35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D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387,538.16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42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387,538.16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D9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C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B6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A4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210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17EB11">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2AB2CD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1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146,625.00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1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146,625.00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3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B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A3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7F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DC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072C09">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7B6C9F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7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160,482.24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DA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160,482.24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12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F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B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8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AC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1ED76C">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321999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4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80,430.92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B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80,430.92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B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B7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A6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3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FFB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84F45D">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44AE18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E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100,315.12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9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100,315.12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92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FB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67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1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077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E41D0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454B45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FD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100,315.12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B7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100,315.12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F0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49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7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0F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C9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B696A1">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7FD2BB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1D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66,015.12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1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66,015.12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16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2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A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6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A6A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3002BC">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16DF5B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BC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99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C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9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1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D1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12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E53763">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00A41F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1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1,201,539.03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0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1,201,539.03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E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0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4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12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1B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A725A6">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7BE59E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D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1,201,539.03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2F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1,201,539.03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8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D3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0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A4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6E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17C772">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316" w:type="dxa"/>
            <w:tcBorders>
              <w:top w:val="nil"/>
              <w:left w:val="nil"/>
              <w:bottom w:val="single" w:color="000000" w:sz="4" w:space="0"/>
              <w:right w:val="single" w:color="000000" w:sz="4" w:space="0"/>
            </w:tcBorders>
            <w:shd w:val="clear" w:color="auto" w:fill="auto"/>
            <w:vAlign w:val="center"/>
          </w:tcPr>
          <w:p w14:paraId="062C16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DC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1,201,539.03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E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1,201,539.03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99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10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7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D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51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AD906F">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402C4F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D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83,387.52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6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83,387.52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B2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C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C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B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D7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BE4E0C">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4E72F3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6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83,387.52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9B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83,387.52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44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1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AA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B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1A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E008C4">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440B71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1A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83,387.52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65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83,387.52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A7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98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1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D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9CBC7D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4CE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F54F8E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79CF2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162BC9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石柱土家族自治县沿溪镇产业发展服务中心</w:t>
            </w:r>
          </w:p>
        </w:tc>
        <w:tc>
          <w:tcPr>
            <w:tcW w:w="2874" w:type="dxa"/>
            <w:tcBorders>
              <w:top w:val="nil"/>
              <w:left w:val="nil"/>
              <w:bottom w:val="nil"/>
              <w:right w:val="nil"/>
            </w:tcBorders>
            <w:shd w:val="clear" w:color="auto" w:fill="auto"/>
            <w:vAlign w:val="bottom"/>
          </w:tcPr>
          <w:p w14:paraId="2F19AB0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1874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011F8EE">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53CF418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6C5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08F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73F9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642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D3E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A7D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F32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6CF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425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439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8C7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104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481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1A98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964AB">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B5713">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5C822">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96471">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DCD4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138D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D61E7">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1993C">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96785">
            <w:pPr>
              <w:jc w:val="center"/>
              <w:rPr>
                <w:rFonts w:hint="eastAsia" w:ascii="宋体" w:hAnsi="宋体" w:eastAsia="宋体" w:cs="宋体"/>
                <w:i w:val="0"/>
                <w:iCs w:val="0"/>
                <w:color w:val="000000"/>
                <w:sz w:val="22"/>
                <w:szCs w:val="22"/>
                <w:u w:val="none"/>
              </w:rPr>
            </w:pPr>
          </w:p>
        </w:tc>
      </w:tr>
      <w:tr w14:paraId="4718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C4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F48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7A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93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2AB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2B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CD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A2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7C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2898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99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CF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A1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1,772,779.83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7A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59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26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58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32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56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2D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A5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1B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C8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51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13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D9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FB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68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97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69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36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4F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A5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5C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EF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37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B9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E5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08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A2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9CD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53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BD7DE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C7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1D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72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C4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98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1D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288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D09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77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505CF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F0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A9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06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BF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67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36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260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C2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51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D4233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EA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0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93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DE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6F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56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CD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A8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5B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298D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9D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00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51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BD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9C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81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67E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D68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C3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7079A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1A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D1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5B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387,538.16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8A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387,538.16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07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8D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8E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270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1F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BB036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B8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76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29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100,315.12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59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100,315.12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95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AD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A2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D5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68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15B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13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A8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0D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0D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88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8F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C8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1FE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59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90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39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99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63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CA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1D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C8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8E5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600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EC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64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F5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9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00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1,201,539.03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8E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1,201,539.03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0D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CB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E75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204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F8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BEC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1D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27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E3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D1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C3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1B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A6A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65F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11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6D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71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26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9B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17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EB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15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C6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C15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C4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E4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9B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27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4C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20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28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78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6F2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F3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9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6A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C1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D0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24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12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9E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54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FFE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E6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3B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28A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7E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42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A4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F7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F1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B5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B6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B16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85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9BD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A2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33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55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30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B8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EC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76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3BD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6F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708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AE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2D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33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83,387.52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33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83,387.52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FD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A0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9C6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239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17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6F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96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18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F7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DA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97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D4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F6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F52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E8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37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75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1C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CA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6E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69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6B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43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E6E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42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C3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84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1B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22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C8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68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3A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36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DD1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82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AED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C9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7A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C7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B6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F5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3D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05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C17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99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C1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E6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A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0B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9C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B7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C6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128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5B8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30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333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F3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F1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FE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59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81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DF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C8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131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54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968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AF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21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C2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48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96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41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14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40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8D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98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1,772,779.83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71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FD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B8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1,772,779.83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B7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1,772,779.83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C8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16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A0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C2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7B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F2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65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DC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0D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C1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F9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26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00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81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21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30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090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8C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B7FF4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C0919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B3551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C737F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0669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A0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F6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0C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5EC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93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58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F9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9A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402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610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61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FB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E5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2F2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02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DBE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1AE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AC8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720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450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C4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18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56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1,772,779.83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66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B4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76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1,772,779.83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DF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1,772,779.83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E8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5E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A6DB16B">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CBB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BE0B7A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04C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678E95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石柱土家族自治县沿溪镇产业发展服务中心</w:t>
            </w:r>
          </w:p>
        </w:tc>
        <w:tc>
          <w:tcPr>
            <w:tcW w:w="1156" w:type="dxa"/>
            <w:tcBorders>
              <w:top w:val="nil"/>
              <w:left w:val="nil"/>
              <w:bottom w:val="nil"/>
              <w:right w:val="nil"/>
            </w:tcBorders>
            <w:shd w:val="clear" w:color="auto" w:fill="auto"/>
            <w:vAlign w:val="bottom"/>
          </w:tcPr>
          <w:p w14:paraId="3897F9A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1CA7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7CA367A">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269763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F22F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017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D21E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AA2B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6F51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B8E12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AEB5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8F0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07D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E9974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5575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05AE7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7435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268C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395A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06C43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0ACE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F5905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3D0B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A971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43981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F466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331E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3A8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23F38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601F6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FC16E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19E09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49A5E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43DF2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155D4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0ED77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E07F0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B9AC9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AAD6F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99B72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7DD9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6CE25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9BE2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D9D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FCDA3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025AD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6B36E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0049F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F4CE9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ED4EA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72E8D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608F5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B842E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E2C74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FA231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07814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D2EFC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A11FC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5E7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CFF0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9722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B2D8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9999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BF9D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82C1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D157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7CB0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2FF4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D907D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FBA39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68AE8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87B9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303A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F15F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D1E7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797D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67C2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289B4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CA98A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814C0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4F5F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EED9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9F0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CDC8E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DDB6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1,772,779.83 </w:t>
            </w:r>
          </w:p>
        </w:tc>
        <w:tc>
          <w:tcPr>
            <w:tcW w:w="1666" w:type="dxa"/>
            <w:tcBorders>
              <w:top w:val="nil"/>
              <w:left w:val="nil"/>
              <w:bottom w:val="single" w:color="000000" w:sz="4" w:space="0"/>
              <w:right w:val="single" w:color="000000" w:sz="4" w:space="0"/>
            </w:tcBorders>
            <w:shd w:val="clear" w:color="auto" w:fill="auto"/>
            <w:vAlign w:val="center"/>
          </w:tcPr>
          <w:p w14:paraId="25337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1,772,779.83 </w:t>
            </w:r>
          </w:p>
        </w:tc>
        <w:tc>
          <w:tcPr>
            <w:tcW w:w="1684" w:type="dxa"/>
            <w:tcBorders>
              <w:top w:val="nil"/>
              <w:left w:val="nil"/>
              <w:bottom w:val="single" w:color="000000" w:sz="4" w:space="0"/>
              <w:right w:val="single" w:color="000000" w:sz="4" w:space="0"/>
            </w:tcBorders>
            <w:shd w:val="clear" w:color="auto" w:fill="auto"/>
            <w:vAlign w:val="center"/>
          </w:tcPr>
          <w:p w14:paraId="793AFD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07E2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1,772,779.83 </w:t>
            </w:r>
          </w:p>
        </w:tc>
        <w:tc>
          <w:tcPr>
            <w:tcW w:w="1700" w:type="dxa"/>
            <w:tcBorders>
              <w:top w:val="nil"/>
              <w:left w:val="nil"/>
              <w:bottom w:val="single" w:color="000000" w:sz="4" w:space="0"/>
              <w:right w:val="single" w:color="000000" w:sz="4" w:space="0"/>
            </w:tcBorders>
            <w:shd w:val="clear" w:color="auto" w:fill="auto"/>
            <w:vAlign w:val="center"/>
          </w:tcPr>
          <w:p w14:paraId="67D9C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1,772,779.83 </w:t>
            </w:r>
          </w:p>
        </w:tc>
        <w:tc>
          <w:tcPr>
            <w:tcW w:w="1733" w:type="dxa"/>
            <w:tcBorders>
              <w:top w:val="nil"/>
              <w:left w:val="nil"/>
              <w:bottom w:val="single" w:color="000000" w:sz="4" w:space="0"/>
              <w:right w:val="single" w:color="000000" w:sz="4" w:space="0"/>
            </w:tcBorders>
            <w:shd w:val="clear" w:color="auto" w:fill="auto"/>
            <w:vAlign w:val="center"/>
          </w:tcPr>
          <w:p w14:paraId="22F43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D9A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CEEF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9812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ACEA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82A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CD50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094943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AB49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C63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E555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740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387,538.16 </w:t>
            </w:r>
          </w:p>
        </w:tc>
        <w:tc>
          <w:tcPr>
            <w:tcW w:w="1666" w:type="dxa"/>
            <w:tcBorders>
              <w:top w:val="nil"/>
              <w:left w:val="nil"/>
              <w:bottom w:val="single" w:color="000000" w:sz="4" w:space="0"/>
              <w:right w:val="single" w:color="000000" w:sz="4" w:space="0"/>
            </w:tcBorders>
            <w:shd w:val="clear" w:color="auto" w:fill="auto"/>
            <w:vAlign w:val="center"/>
          </w:tcPr>
          <w:p w14:paraId="0F4CD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387,538.16 </w:t>
            </w:r>
          </w:p>
        </w:tc>
        <w:tc>
          <w:tcPr>
            <w:tcW w:w="1684" w:type="dxa"/>
            <w:tcBorders>
              <w:top w:val="nil"/>
              <w:left w:val="nil"/>
              <w:bottom w:val="single" w:color="000000" w:sz="4" w:space="0"/>
              <w:right w:val="single" w:color="000000" w:sz="4" w:space="0"/>
            </w:tcBorders>
            <w:shd w:val="clear" w:color="auto" w:fill="auto"/>
            <w:vAlign w:val="center"/>
          </w:tcPr>
          <w:p w14:paraId="54AA9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3E22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387,538.16 </w:t>
            </w:r>
          </w:p>
        </w:tc>
        <w:tc>
          <w:tcPr>
            <w:tcW w:w="1700" w:type="dxa"/>
            <w:tcBorders>
              <w:top w:val="nil"/>
              <w:left w:val="nil"/>
              <w:bottom w:val="single" w:color="000000" w:sz="4" w:space="0"/>
              <w:right w:val="single" w:color="000000" w:sz="4" w:space="0"/>
            </w:tcBorders>
            <w:shd w:val="clear" w:color="auto" w:fill="auto"/>
            <w:vAlign w:val="center"/>
          </w:tcPr>
          <w:p w14:paraId="06FFC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387,538.16 </w:t>
            </w:r>
          </w:p>
        </w:tc>
        <w:tc>
          <w:tcPr>
            <w:tcW w:w="1733" w:type="dxa"/>
            <w:tcBorders>
              <w:top w:val="nil"/>
              <w:left w:val="nil"/>
              <w:bottom w:val="single" w:color="000000" w:sz="4" w:space="0"/>
              <w:right w:val="single" w:color="000000" w:sz="4" w:space="0"/>
            </w:tcBorders>
            <w:shd w:val="clear" w:color="auto" w:fill="auto"/>
            <w:vAlign w:val="center"/>
          </w:tcPr>
          <w:p w14:paraId="0D81B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8DC3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2EC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27A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9EE5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31D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00ED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A4068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24C67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301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A9A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7BF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387,538.16 </w:t>
            </w:r>
          </w:p>
        </w:tc>
        <w:tc>
          <w:tcPr>
            <w:tcW w:w="1666" w:type="dxa"/>
            <w:tcBorders>
              <w:top w:val="nil"/>
              <w:left w:val="nil"/>
              <w:bottom w:val="single" w:color="000000" w:sz="4" w:space="0"/>
              <w:right w:val="single" w:color="000000" w:sz="4" w:space="0"/>
            </w:tcBorders>
            <w:shd w:val="clear" w:color="auto" w:fill="auto"/>
            <w:vAlign w:val="center"/>
          </w:tcPr>
          <w:p w14:paraId="330717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387,538.16 </w:t>
            </w:r>
          </w:p>
        </w:tc>
        <w:tc>
          <w:tcPr>
            <w:tcW w:w="1684" w:type="dxa"/>
            <w:tcBorders>
              <w:top w:val="nil"/>
              <w:left w:val="nil"/>
              <w:bottom w:val="single" w:color="000000" w:sz="4" w:space="0"/>
              <w:right w:val="single" w:color="000000" w:sz="4" w:space="0"/>
            </w:tcBorders>
            <w:shd w:val="clear" w:color="auto" w:fill="auto"/>
            <w:vAlign w:val="center"/>
          </w:tcPr>
          <w:p w14:paraId="58C0F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098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387,538.16 </w:t>
            </w:r>
          </w:p>
        </w:tc>
        <w:tc>
          <w:tcPr>
            <w:tcW w:w="1700" w:type="dxa"/>
            <w:tcBorders>
              <w:top w:val="nil"/>
              <w:left w:val="nil"/>
              <w:bottom w:val="single" w:color="000000" w:sz="4" w:space="0"/>
              <w:right w:val="single" w:color="000000" w:sz="4" w:space="0"/>
            </w:tcBorders>
            <w:shd w:val="clear" w:color="auto" w:fill="auto"/>
            <w:vAlign w:val="center"/>
          </w:tcPr>
          <w:p w14:paraId="02E09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387,538.16 </w:t>
            </w:r>
          </w:p>
        </w:tc>
        <w:tc>
          <w:tcPr>
            <w:tcW w:w="1733" w:type="dxa"/>
            <w:tcBorders>
              <w:top w:val="nil"/>
              <w:left w:val="nil"/>
              <w:bottom w:val="single" w:color="000000" w:sz="4" w:space="0"/>
              <w:right w:val="single" w:color="000000" w:sz="4" w:space="0"/>
            </w:tcBorders>
            <w:shd w:val="clear" w:color="auto" w:fill="auto"/>
            <w:vAlign w:val="center"/>
          </w:tcPr>
          <w:p w14:paraId="42230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297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214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DC5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287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726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203C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338FA9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65B93C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58BD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994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FF0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146,625.00 </w:t>
            </w:r>
          </w:p>
        </w:tc>
        <w:tc>
          <w:tcPr>
            <w:tcW w:w="1666" w:type="dxa"/>
            <w:tcBorders>
              <w:top w:val="nil"/>
              <w:left w:val="nil"/>
              <w:bottom w:val="single" w:color="000000" w:sz="4" w:space="0"/>
              <w:right w:val="single" w:color="000000" w:sz="4" w:space="0"/>
            </w:tcBorders>
            <w:shd w:val="clear" w:color="auto" w:fill="auto"/>
            <w:vAlign w:val="center"/>
          </w:tcPr>
          <w:p w14:paraId="4FDDD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146,625.00 </w:t>
            </w:r>
          </w:p>
        </w:tc>
        <w:tc>
          <w:tcPr>
            <w:tcW w:w="1684" w:type="dxa"/>
            <w:tcBorders>
              <w:top w:val="nil"/>
              <w:left w:val="nil"/>
              <w:bottom w:val="single" w:color="000000" w:sz="4" w:space="0"/>
              <w:right w:val="single" w:color="000000" w:sz="4" w:space="0"/>
            </w:tcBorders>
            <w:shd w:val="clear" w:color="auto" w:fill="auto"/>
            <w:vAlign w:val="center"/>
          </w:tcPr>
          <w:p w14:paraId="0F74E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D02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146,625.00 </w:t>
            </w:r>
          </w:p>
        </w:tc>
        <w:tc>
          <w:tcPr>
            <w:tcW w:w="1700" w:type="dxa"/>
            <w:tcBorders>
              <w:top w:val="nil"/>
              <w:left w:val="nil"/>
              <w:bottom w:val="single" w:color="000000" w:sz="4" w:space="0"/>
              <w:right w:val="single" w:color="000000" w:sz="4" w:space="0"/>
            </w:tcBorders>
            <w:shd w:val="clear" w:color="auto" w:fill="auto"/>
            <w:vAlign w:val="center"/>
          </w:tcPr>
          <w:p w14:paraId="4791C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146,625.00 </w:t>
            </w:r>
          </w:p>
        </w:tc>
        <w:tc>
          <w:tcPr>
            <w:tcW w:w="1733" w:type="dxa"/>
            <w:tcBorders>
              <w:top w:val="nil"/>
              <w:left w:val="nil"/>
              <w:bottom w:val="single" w:color="000000" w:sz="4" w:space="0"/>
              <w:right w:val="single" w:color="000000" w:sz="4" w:space="0"/>
            </w:tcBorders>
            <w:shd w:val="clear" w:color="auto" w:fill="auto"/>
            <w:vAlign w:val="center"/>
          </w:tcPr>
          <w:p w14:paraId="1F4E2F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949C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28C7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7E9F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ECC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8E5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1702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4AFA6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8C536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441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A0F4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13D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160,482.24 </w:t>
            </w:r>
          </w:p>
        </w:tc>
        <w:tc>
          <w:tcPr>
            <w:tcW w:w="1666" w:type="dxa"/>
            <w:tcBorders>
              <w:top w:val="nil"/>
              <w:left w:val="nil"/>
              <w:bottom w:val="single" w:color="000000" w:sz="4" w:space="0"/>
              <w:right w:val="single" w:color="000000" w:sz="4" w:space="0"/>
            </w:tcBorders>
            <w:shd w:val="clear" w:color="auto" w:fill="auto"/>
            <w:vAlign w:val="center"/>
          </w:tcPr>
          <w:p w14:paraId="055077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160,482.24 </w:t>
            </w:r>
          </w:p>
        </w:tc>
        <w:tc>
          <w:tcPr>
            <w:tcW w:w="1684" w:type="dxa"/>
            <w:tcBorders>
              <w:top w:val="nil"/>
              <w:left w:val="nil"/>
              <w:bottom w:val="single" w:color="000000" w:sz="4" w:space="0"/>
              <w:right w:val="single" w:color="000000" w:sz="4" w:space="0"/>
            </w:tcBorders>
            <w:shd w:val="clear" w:color="auto" w:fill="auto"/>
            <w:vAlign w:val="center"/>
          </w:tcPr>
          <w:p w14:paraId="47C36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D31F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160,482.24 </w:t>
            </w:r>
          </w:p>
        </w:tc>
        <w:tc>
          <w:tcPr>
            <w:tcW w:w="1700" w:type="dxa"/>
            <w:tcBorders>
              <w:top w:val="nil"/>
              <w:left w:val="nil"/>
              <w:bottom w:val="single" w:color="000000" w:sz="4" w:space="0"/>
              <w:right w:val="single" w:color="000000" w:sz="4" w:space="0"/>
            </w:tcBorders>
            <w:shd w:val="clear" w:color="auto" w:fill="auto"/>
            <w:vAlign w:val="center"/>
          </w:tcPr>
          <w:p w14:paraId="21C24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160,482.24 </w:t>
            </w:r>
          </w:p>
        </w:tc>
        <w:tc>
          <w:tcPr>
            <w:tcW w:w="1733" w:type="dxa"/>
            <w:tcBorders>
              <w:top w:val="nil"/>
              <w:left w:val="nil"/>
              <w:bottom w:val="single" w:color="000000" w:sz="4" w:space="0"/>
              <w:right w:val="single" w:color="000000" w:sz="4" w:space="0"/>
            </w:tcBorders>
            <w:shd w:val="clear" w:color="auto" w:fill="auto"/>
            <w:vAlign w:val="center"/>
          </w:tcPr>
          <w:p w14:paraId="2E2C00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52C4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4F9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46EA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C60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D00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AF00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38890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C122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005D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B486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7BD7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80,430.92 </w:t>
            </w:r>
          </w:p>
        </w:tc>
        <w:tc>
          <w:tcPr>
            <w:tcW w:w="1666" w:type="dxa"/>
            <w:tcBorders>
              <w:top w:val="nil"/>
              <w:left w:val="nil"/>
              <w:bottom w:val="single" w:color="000000" w:sz="4" w:space="0"/>
              <w:right w:val="single" w:color="000000" w:sz="4" w:space="0"/>
            </w:tcBorders>
            <w:shd w:val="clear" w:color="auto" w:fill="auto"/>
            <w:vAlign w:val="center"/>
          </w:tcPr>
          <w:p w14:paraId="38360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80,430.92 </w:t>
            </w:r>
          </w:p>
        </w:tc>
        <w:tc>
          <w:tcPr>
            <w:tcW w:w="1684" w:type="dxa"/>
            <w:tcBorders>
              <w:top w:val="nil"/>
              <w:left w:val="nil"/>
              <w:bottom w:val="single" w:color="000000" w:sz="4" w:space="0"/>
              <w:right w:val="single" w:color="000000" w:sz="4" w:space="0"/>
            </w:tcBorders>
            <w:shd w:val="clear" w:color="auto" w:fill="auto"/>
            <w:vAlign w:val="center"/>
          </w:tcPr>
          <w:p w14:paraId="5F8E0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B21D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80,430.92 </w:t>
            </w:r>
          </w:p>
        </w:tc>
        <w:tc>
          <w:tcPr>
            <w:tcW w:w="1700" w:type="dxa"/>
            <w:tcBorders>
              <w:top w:val="nil"/>
              <w:left w:val="nil"/>
              <w:bottom w:val="single" w:color="000000" w:sz="4" w:space="0"/>
              <w:right w:val="single" w:color="000000" w:sz="4" w:space="0"/>
            </w:tcBorders>
            <w:shd w:val="clear" w:color="auto" w:fill="auto"/>
            <w:vAlign w:val="center"/>
          </w:tcPr>
          <w:p w14:paraId="00129B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80,430.92 </w:t>
            </w:r>
          </w:p>
        </w:tc>
        <w:tc>
          <w:tcPr>
            <w:tcW w:w="1733" w:type="dxa"/>
            <w:tcBorders>
              <w:top w:val="nil"/>
              <w:left w:val="nil"/>
              <w:bottom w:val="single" w:color="000000" w:sz="4" w:space="0"/>
              <w:right w:val="single" w:color="000000" w:sz="4" w:space="0"/>
            </w:tcBorders>
            <w:shd w:val="clear" w:color="auto" w:fill="auto"/>
            <w:vAlign w:val="center"/>
          </w:tcPr>
          <w:p w14:paraId="6B10F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A61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5C0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7C7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3A5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48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1587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0B57FE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7C5B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541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322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8FF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100,315.12 </w:t>
            </w:r>
          </w:p>
        </w:tc>
        <w:tc>
          <w:tcPr>
            <w:tcW w:w="1666" w:type="dxa"/>
            <w:tcBorders>
              <w:top w:val="nil"/>
              <w:left w:val="nil"/>
              <w:bottom w:val="single" w:color="000000" w:sz="4" w:space="0"/>
              <w:right w:val="single" w:color="000000" w:sz="4" w:space="0"/>
            </w:tcBorders>
            <w:shd w:val="clear" w:color="auto" w:fill="auto"/>
            <w:vAlign w:val="center"/>
          </w:tcPr>
          <w:p w14:paraId="18E4C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100,315.12 </w:t>
            </w:r>
          </w:p>
        </w:tc>
        <w:tc>
          <w:tcPr>
            <w:tcW w:w="1684" w:type="dxa"/>
            <w:tcBorders>
              <w:top w:val="nil"/>
              <w:left w:val="nil"/>
              <w:bottom w:val="single" w:color="000000" w:sz="4" w:space="0"/>
              <w:right w:val="single" w:color="000000" w:sz="4" w:space="0"/>
            </w:tcBorders>
            <w:shd w:val="clear" w:color="auto" w:fill="auto"/>
            <w:vAlign w:val="center"/>
          </w:tcPr>
          <w:p w14:paraId="2351D3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810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100,315.12 </w:t>
            </w:r>
          </w:p>
        </w:tc>
        <w:tc>
          <w:tcPr>
            <w:tcW w:w="1700" w:type="dxa"/>
            <w:tcBorders>
              <w:top w:val="nil"/>
              <w:left w:val="nil"/>
              <w:bottom w:val="single" w:color="000000" w:sz="4" w:space="0"/>
              <w:right w:val="single" w:color="000000" w:sz="4" w:space="0"/>
            </w:tcBorders>
            <w:shd w:val="clear" w:color="auto" w:fill="auto"/>
            <w:vAlign w:val="center"/>
          </w:tcPr>
          <w:p w14:paraId="4F437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100,315.12 </w:t>
            </w:r>
          </w:p>
        </w:tc>
        <w:tc>
          <w:tcPr>
            <w:tcW w:w="1733" w:type="dxa"/>
            <w:tcBorders>
              <w:top w:val="nil"/>
              <w:left w:val="nil"/>
              <w:bottom w:val="single" w:color="000000" w:sz="4" w:space="0"/>
              <w:right w:val="single" w:color="000000" w:sz="4" w:space="0"/>
            </w:tcBorders>
            <w:shd w:val="clear" w:color="auto" w:fill="auto"/>
            <w:vAlign w:val="center"/>
          </w:tcPr>
          <w:p w14:paraId="6732D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3753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015D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726D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FED2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638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BFAA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4B225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1418DC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3C52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4404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B56C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100,315.12 </w:t>
            </w:r>
          </w:p>
        </w:tc>
        <w:tc>
          <w:tcPr>
            <w:tcW w:w="1666" w:type="dxa"/>
            <w:tcBorders>
              <w:top w:val="nil"/>
              <w:left w:val="nil"/>
              <w:bottom w:val="single" w:color="000000" w:sz="4" w:space="0"/>
              <w:right w:val="single" w:color="000000" w:sz="4" w:space="0"/>
            </w:tcBorders>
            <w:shd w:val="clear" w:color="auto" w:fill="auto"/>
            <w:vAlign w:val="center"/>
          </w:tcPr>
          <w:p w14:paraId="1F64B9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100,315.12 </w:t>
            </w:r>
          </w:p>
        </w:tc>
        <w:tc>
          <w:tcPr>
            <w:tcW w:w="1684" w:type="dxa"/>
            <w:tcBorders>
              <w:top w:val="nil"/>
              <w:left w:val="nil"/>
              <w:bottom w:val="single" w:color="000000" w:sz="4" w:space="0"/>
              <w:right w:val="single" w:color="000000" w:sz="4" w:space="0"/>
            </w:tcBorders>
            <w:shd w:val="clear" w:color="auto" w:fill="auto"/>
            <w:vAlign w:val="center"/>
          </w:tcPr>
          <w:p w14:paraId="029098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C69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100,315.12 </w:t>
            </w:r>
          </w:p>
        </w:tc>
        <w:tc>
          <w:tcPr>
            <w:tcW w:w="1700" w:type="dxa"/>
            <w:tcBorders>
              <w:top w:val="nil"/>
              <w:left w:val="nil"/>
              <w:bottom w:val="single" w:color="000000" w:sz="4" w:space="0"/>
              <w:right w:val="single" w:color="000000" w:sz="4" w:space="0"/>
            </w:tcBorders>
            <w:shd w:val="clear" w:color="auto" w:fill="auto"/>
            <w:vAlign w:val="center"/>
          </w:tcPr>
          <w:p w14:paraId="509CF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100,315.12 </w:t>
            </w:r>
          </w:p>
        </w:tc>
        <w:tc>
          <w:tcPr>
            <w:tcW w:w="1733" w:type="dxa"/>
            <w:tcBorders>
              <w:top w:val="nil"/>
              <w:left w:val="nil"/>
              <w:bottom w:val="single" w:color="000000" w:sz="4" w:space="0"/>
              <w:right w:val="single" w:color="000000" w:sz="4" w:space="0"/>
            </w:tcBorders>
            <w:shd w:val="clear" w:color="auto" w:fill="auto"/>
            <w:vAlign w:val="center"/>
          </w:tcPr>
          <w:p w14:paraId="4816C2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C3A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B24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AAB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462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3E69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F9E7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30C6ED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412D1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1150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82F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4A8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66,015.12 </w:t>
            </w:r>
          </w:p>
        </w:tc>
        <w:tc>
          <w:tcPr>
            <w:tcW w:w="1666" w:type="dxa"/>
            <w:tcBorders>
              <w:top w:val="nil"/>
              <w:left w:val="nil"/>
              <w:bottom w:val="single" w:color="000000" w:sz="4" w:space="0"/>
              <w:right w:val="single" w:color="000000" w:sz="4" w:space="0"/>
            </w:tcBorders>
            <w:shd w:val="clear" w:color="auto" w:fill="auto"/>
            <w:vAlign w:val="center"/>
          </w:tcPr>
          <w:p w14:paraId="703534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66,015.12 </w:t>
            </w:r>
          </w:p>
        </w:tc>
        <w:tc>
          <w:tcPr>
            <w:tcW w:w="1684" w:type="dxa"/>
            <w:tcBorders>
              <w:top w:val="nil"/>
              <w:left w:val="nil"/>
              <w:bottom w:val="single" w:color="000000" w:sz="4" w:space="0"/>
              <w:right w:val="single" w:color="000000" w:sz="4" w:space="0"/>
            </w:tcBorders>
            <w:shd w:val="clear" w:color="auto" w:fill="auto"/>
            <w:vAlign w:val="center"/>
          </w:tcPr>
          <w:p w14:paraId="63891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3C12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66,015.12 </w:t>
            </w:r>
          </w:p>
        </w:tc>
        <w:tc>
          <w:tcPr>
            <w:tcW w:w="1700" w:type="dxa"/>
            <w:tcBorders>
              <w:top w:val="nil"/>
              <w:left w:val="nil"/>
              <w:bottom w:val="single" w:color="000000" w:sz="4" w:space="0"/>
              <w:right w:val="single" w:color="000000" w:sz="4" w:space="0"/>
            </w:tcBorders>
            <w:shd w:val="clear" w:color="auto" w:fill="auto"/>
            <w:vAlign w:val="center"/>
          </w:tcPr>
          <w:p w14:paraId="63F830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66,015.12 </w:t>
            </w:r>
          </w:p>
        </w:tc>
        <w:tc>
          <w:tcPr>
            <w:tcW w:w="1733" w:type="dxa"/>
            <w:tcBorders>
              <w:top w:val="nil"/>
              <w:left w:val="nil"/>
              <w:bottom w:val="single" w:color="000000" w:sz="4" w:space="0"/>
              <w:right w:val="single" w:color="000000" w:sz="4" w:space="0"/>
            </w:tcBorders>
            <w:shd w:val="clear" w:color="auto" w:fill="auto"/>
            <w:vAlign w:val="center"/>
          </w:tcPr>
          <w:p w14:paraId="1DC18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1006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398B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91E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97C3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987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91AB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6690A4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55ED1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162E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DC1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1110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34,300.00 </w:t>
            </w:r>
          </w:p>
        </w:tc>
        <w:tc>
          <w:tcPr>
            <w:tcW w:w="1666" w:type="dxa"/>
            <w:tcBorders>
              <w:top w:val="nil"/>
              <w:left w:val="nil"/>
              <w:bottom w:val="single" w:color="000000" w:sz="4" w:space="0"/>
              <w:right w:val="single" w:color="000000" w:sz="4" w:space="0"/>
            </w:tcBorders>
            <w:shd w:val="clear" w:color="auto" w:fill="auto"/>
            <w:vAlign w:val="center"/>
          </w:tcPr>
          <w:p w14:paraId="7FB8C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34,300.00 </w:t>
            </w:r>
          </w:p>
        </w:tc>
        <w:tc>
          <w:tcPr>
            <w:tcW w:w="1684" w:type="dxa"/>
            <w:tcBorders>
              <w:top w:val="nil"/>
              <w:left w:val="nil"/>
              <w:bottom w:val="single" w:color="000000" w:sz="4" w:space="0"/>
              <w:right w:val="single" w:color="000000" w:sz="4" w:space="0"/>
            </w:tcBorders>
            <w:shd w:val="clear" w:color="auto" w:fill="auto"/>
            <w:vAlign w:val="center"/>
          </w:tcPr>
          <w:p w14:paraId="58813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00D9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34,300.00 </w:t>
            </w:r>
          </w:p>
        </w:tc>
        <w:tc>
          <w:tcPr>
            <w:tcW w:w="1700" w:type="dxa"/>
            <w:tcBorders>
              <w:top w:val="nil"/>
              <w:left w:val="nil"/>
              <w:bottom w:val="single" w:color="000000" w:sz="4" w:space="0"/>
              <w:right w:val="single" w:color="000000" w:sz="4" w:space="0"/>
            </w:tcBorders>
            <w:shd w:val="clear" w:color="auto" w:fill="auto"/>
            <w:vAlign w:val="center"/>
          </w:tcPr>
          <w:p w14:paraId="28157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34,300.00 </w:t>
            </w:r>
          </w:p>
        </w:tc>
        <w:tc>
          <w:tcPr>
            <w:tcW w:w="1733" w:type="dxa"/>
            <w:tcBorders>
              <w:top w:val="nil"/>
              <w:left w:val="nil"/>
              <w:bottom w:val="single" w:color="000000" w:sz="4" w:space="0"/>
              <w:right w:val="single" w:color="000000" w:sz="4" w:space="0"/>
            </w:tcBorders>
            <w:shd w:val="clear" w:color="auto" w:fill="auto"/>
            <w:vAlign w:val="center"/>
          </w:tcPr>
          <w:p w14:paraId="4291F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370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F33D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59D8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FC3B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242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9A51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3562D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299220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FEF0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E0E2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DEB3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1,201,539.03 </w:t>
            </w:r>
          </w:p>
        </w:tc>
        <w:tc>
          <w:tcPr>
            <w:tcW w:w="1666" w:type="dxa"/>
            <w:tcBorders>
              <w:top w:val="nil"/>
              <w:left w:val="nil"/>
              <w:bottom w:val="single" w:color="000000" w:sz="4" w:space="0"/>
              <w:right w:val="single" w:color="000000" w:sz="4" w:space="0"/>
            </w:tcBorders>
            <w:shd w:val="clear" w:color="auto" w:fill="auto"/>
            <w:vAlign w:val="center"/>
          </w:tcPr>
          <w:p w14:paraId="09532D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1,201,539.03 </w:t>
            </w:r>
          </w:p>
        </w:tc>
        <w:tc>
          <w:tcPr>
            <w:tcW w:w="1684" w:type="dxa"/>
            <w:tcBorders>
              <w:top w:val="nil"/>
              <w:left w:val="nil"/>
              <w:bottom w:val="single" w:color="000000" w:sz="4" w:space="0"/>
              <w:right w:val="single" w:color="000000" w:sz="4" w:space="0"/>
            </w:tcBorders>
            <w:shd w:val="clear" w:color="auto" w:fill="auto"/>
            <w:vAlign w:val="center"/>
          </w:tcPr>
          <w:p w14:paraId="279BC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4F0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1,201,539.03 </w:t>
            </w:r>
          </w:p>
        </w:tc>
        <w:tc>
          <w:tcPr>
            <w:tcW w:w="1700" w:type="dxa"/>
            <w:tcBorders>
              <w:top w:val="nil"/>
              <w:left w:val="nil"/>
              <w:bottom w:val="single" w:color="000000" w:sz="4" w:space="0"/>
              <w:right w:val="single" w:color="000000" w:sz="4" w:space="0"/>
            </w:tcBorders>
            <w:shd w:val="clear" w:color="auto" w:fill="auto"/>
            <w:vAlign w:val="center"/>
          </w:tcPr>
          <w:p w14:paraId="0DF5E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1,201,539.03 </w:t>
            </w:r>
          </w:p>
        </w:tc>
        <w:tc>
          <w:tcPr>
            <w:tcW w:w="1733" w:type="dxa"/>
            <w:tcBorders>
              <w:top w:val="nil"/>
              <w:left w:val="nil"/>
              <w:bottom w:val="single" w:color="000000" w:sz="4" w:space="0"/>
              <w:right w:val="single" w:color="000000" w:sz="4" w:space="0"/>
            </w:tcBorders>
            <w:shd w:val="clear" w:color="auto" w:fill="auto"/>
            <w:vAlign w:val="center"/>
          </w:tcPr>
          <w:p w14:paraId="2AC3F9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9CFC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6D75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1285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7AFF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0D4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4C04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7B8830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3936F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85C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6261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7C99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1,201,539.03 </w:t>
            </w:r>
          </w:p>
        </w:tc>
        <w:tc>
          <w:tcPr>
            <w:tcW w:w="1666" w:type="dxa"/>
            <w:tcBorders>
              <w:top w:val="nil"/>
              <w:left w:val="nil"/>
              <w:bottom w:val="single" w:color="000000" w:sz="4" w:space="0"/>
              <w:right w:val="single" w:color="000000" w:sz="4" w:space="0"/>
            </w:tcBorders>
            <w:shd w:val="clear" w:color="auto" w:fill="auto"/>
            <w:vAlign w:val="center"/>
          </w:tcPr>
          <w:p w14:paraId="65F6E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1,201,539.03 </w:t>
            </w:r>
          </w:p>
        </w:tc>
        <w:tc>
          <w:tcPr>
            <w:tcW w:w="1684" w:type="dxa"/>
            <w:tcBorders>
              <w:top w:val="nil"/>
              <w:left w:val="nil"/>
              <w:bottom w:val="single" w:color="000000" w:sz="4" w:space="0"/>
              <w:right w:val="single" w:color="000000" w:sz="4" w:space="0"/>
            </w:tcBorders>
            <w:shd w:val="clear" w:color="auto" w:fill="auto"/>
            <w:vAlign w:val="center"/>
          </w:tcPr>
          <w:p w14:paraId="6911D1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C2A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1,201,539.03 </w:t>
            </w:r>
          </w:p>
        </w:tc>
        <w:tc>
          <w:tcPr>
            <w:tcW w:w="1700" w:type="dxa"/>
            <w:tcBorders>
              <w:top w:val="nil"/>
              <w:left w:val="nil"/>
              <w:bottom w:val="single" w:color="000000" w:sz="4" w:space="0"/>
              <w:right w:val="single" w:color="000000" w:sz="4" w:space="0"/>
            </w:tcBorders>
            <w:shd w:val="clear" w:color="auto" w:fill="auto"/>
            <w:vAlign w:val="center"/>
          </w:tcPr>
          <w:p w14:paraId="1EFF70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1,201,539.03 </w:t>
            </w:r>
          </w:p>
        </w:tc>
        <w:tc>
          <w:tcPr>
            <w:tcW w:w="1733" w:type="dxa"/>
            <w:tcBorders>
              <w:top w:val="nil"/>
              <w:left w:val="nil"/>
              <w:bottom w:val="single" w:color="000000" w:sz="4" w:space="0"/>
              <w:right w:val="single" w:color="000000" w:sz="4" w:space="0"/>
            </w:tcBorders>
            <w:shd w:val="clear" w:color="auto" w:fill="auto"/>
            <w:vAlign w:val="center"/>
          </w:tcPr>
          <w:p w14:paraId="20B19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6939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870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3EC9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3FC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909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3E3A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14:paraId="745FD8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79FC16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CDE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9860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602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1,201,539.03 </w:t>
            </w:r>
          </w:p>
        </w:tc>
        <w:tc>
          <w:tcPr>
            <w:tcW w:w="1666" w:type="dxa"/>
            <w:tcBorders>
              <w:top w:val="nil"/>
              <w:left w:val="nil"/>
              <w:bottom w:val="single" w:color="000000" w:sz="4" w:space="0"/>
              <w:right w:val="single" w:color="000000" w:sz="4" w:space="0"/>
            </w:tcBorders>
            <w:shd w:val="clear" w:color="auto" w:fill="auto"/>
            <w:vAlign w:val="center"/>
          </w:tcPr>
          <w:p w14:paraId="06F0D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1,201,539.03 </w:t>
            </w:r>
          </w:p>
        </w:tc>
        <w:tc>
          <w:tcPr>
            <w:tcW w:w="1684" w:type="dxa"/>
            <w:tcBorders>
              <w:top w:val="nil"/>
              <w:left w:val="nil"/>
              <w:bottom w:val="single" w:color="000000" w:sz="4" w:space="0"/>
              <w:right w:val="single" w:color="000000" w:sz="4" w:space="0"/>
            </w:tcBorders>
            <w:shd w:val="clear" w:color="auto" w:fill="auto"/>
            <w:vAlign w:val="center"/>
          </w:tcPr>
          <w:p w14:paraId="6DD91C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C2C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1,201,539.03 </w:t>
            </w:r>
          </w:p>
        </w:tc>
        <w:tc>
          <w:tcPr>
            <w:tcW w:w="1700" w:type="dxa"/>
            <w:tcBorders>
              <w:top w:val="nil"/>
              <w:left w:val="nil"/>
              <w:bottom w:val="single" w:color="000000" w:sz="4" w:space="0"/>
              <w:right w:val="single" w:color="000000" w:sz="4" w:space="0"/>
            </w:tcBorders>
            <w:shd w:val="clear" w:color="auto" w:fill="auto"/>
            <w:vAlign w:val="center"/>
          </w:tcPr>
          <w:p w14:paraId="553D35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1,201,539.03 </w:t>
            </w:r>
          </w:p>
        </w:tc>
        <w:tc>
          <w:tcPr>
            <w:tcW w:w="1733" w:type="dxa"/>
            <w:tcBorders>
              <w:top w:val="nil"/>
              <w:left w:val="nil"/>
              <w:bottom w:val="single" w:color="000000" w:sz="4" w:space="0"/>
              <w:right w:val="single" w:color="000000" w:sz="4" w:space="0"/>
            </w:tcBorders>
            <w:shd w:val="clear" w:color="auto" w:fill="auto"/>
            <w:vAlign w:val="center"/>
          </w:tcPr>
          <w:p w14:paraId="4EA3AB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EF1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161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3881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5A6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5AE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9C09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6B19DE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A2F4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D28D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451D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AFC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83,387.52 </w:t>
            </w:r>
          </w:p>
        </w:tc>
        <w:tc>
          <w:tcPr>
            <w:tcW w:w="1666" w:type="dxa"/>
            <w:tcBorders>
              <w:top w:val="nil"/>
              <w:left w:val="nil"/>
              <w:bottom w:val="single" w:color="000000" w:sz="4" w:space="0"/>
              <w:right w:val="single" w:color="000000" w:sz="4" w:space="0"/>
            </w:tcBorders>
            <w:shd w:val="clear" w:color="auto" w:fill="auto"/>
            <w:vAlign w:val="center"/>
          </w:tcPr>
          <w:p w14:paraId="30505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83,387.52 </w:t>
            </w:r>
          </w:p>
        </w:tc>
        <w:tc>
          <w:tcPr>
            <w:tcW w:w="1684" w:type="dxa"/>
            <w:tcBorders>
              <w:top w:val="nil"/>
              <w:left w:val="nil"/>
              <w:bottom w:val="single" w:color="000000" w:sz="4" w:space="0"/>
              <w:right w:val="single" w:color="000000" w:sz="4" w:space="0"/>
            </w:tcBorders>
            <w:shd w:val="clear" w:color="auto" w:fill="auto"/>
            <w:vAlign w:val="center"/>
          </w:tcPr>
          <w:p w14:paraId="2CB7AA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9CF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83,387.52 </w:t>
            </w:r>
          </w:p>
        </w:tc>
        <w:tc>
          <w:tcPr>
            <w:tcW w:w="1700" w:type="dxa"/>
            <w:tcBorders>
              <w:top w:val="nil"/>
              <w:left w:val="nil"/>
              <w:bottom w:val="single" w:color="000000" w:sz="4" w:space="0"/>
              <w:right w:val="single" w:color="000000" w:sz="4" w:space="0"/>
            </w:tcBorders>
            <w:shd w:val="clear" w:color="auto" w:fill="auto"/>
            <w:vAlign w:val="center"/>
          </w:tcPr>
          <w:p w14:paraId="7F8EAB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83,387.52 </w:t>
            </w:r>
          </w:p>
        </w:tc>
        <w:tc>
          <w:tcPr>
            <w:tcW w:w="1733" w:type="dxa"/>
            <w:tcBorders>
              <w:top w:val="nil"/>
              <w:left w:val="nil"/>
              <w:bottom w:val="single" w:color="000000" w:sz="4" w:space="0"/>
              <w:right w:val="single" w:color="000000" w:sz="4" w:space="0"/>
            </w:tcBorders>
            <w:shd w:val="clear" w:color="auto" w:fill="auto"/>
            <w:vAlign w:val="center"/>
          </w:tcPr>
          <w:p w14:paraId="12C9F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C18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6DBF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EA5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483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A00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6ACF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4480BE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2F39B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C2E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4049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6B59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83,387.52 </w:t>
            </w:r>
          </w:p>
        </w:tc>
        <w:tc>
          <w:tcPr>
            <w:tcW w:w="1666" w:type="dxa"/>
            <w:tcBorders>
              <w:top w:val="nil"/>
              <w:left w:val="nil"/>
              <w:bottom w:val="single" w:color="000000" w:sz="4" w:space="0"/>
              <w:right w:val="single" w:color="000000" w:sz="4" w:space="0"/>
            </w:tcBorders>
            <w:shd w:val="clear" w:color="auto" w:fill="auto"/>
            <w:vAlign w:val="center"/>
          </w:tcPr>
          <w:p w14:paraId="3617B0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83,387.52 </w:t>
            </w:r>
          </w:p>
        </w:tc>
        <w:tc>
          <w:tcPr>
            <w:tcW w:w="1684" w:type="dxa"/>
            <w:tcBorders>
              <w:top w:val="nil"/>
              <w:left w:val="nil"/>
              <w:bottom w:val="single" w:color="000000" w:sz="4" w:space="0"/>
              <w:right w:val="single" w:color="000000" w:sz="4" w:space="0"/>
            </w:tcBorders>
            <w:shd w:val="clear" w:color="auto" w:fill="auto"/>
            <w:vAlign w:val="center"/>
          </w:tcPr>
          <w:p w14:paraId="3660AA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7F3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83,387.52 </w:t>
            </w:r>
          </w:p>
        </w:tc>
        <w:tc>
          <w:tcPr>
            <w:tcW w:w="1700" w:type="dxa"/>
            <w:tcBorders>
              <w:top w:val="nil"/>
              <w:left w:val="nil"/>
              <w:bottom w:val="single" w:color="000000" w:sz="4" w:space="0"/>
              <w:right w:val="single" w:color="000000" w:sz="4" w:space="0"/>
            </w:tcBorders>
            <w:shd w:val="clear" w:color="auto" w:fill="auto"/>
            <w:vAlign w:val="center"/>
          </w:tcPr>
          <w:p w14:paraId="56815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83,387.52 </w:t>
            </w:r>
          </w:p>
        </w:tc>
        <w:tc>
          <w:tcPr>
            <w:tcW w:w="1733" w:type="dxa"/>
            <w:tcBorders>
              <w:top w:val="nil"/>
              <w:left w:val="nil"/>
              <w:bottom w:val="single" w:color="000000" w:sz="4" w:space="0"/>
              <w:right w:val="single" w:color="000000" w:sz="4" w:space="0"/>
            </w:tcBorders>
            <w:shd w:val="clear" w:color="auto" w:fill="auto"/>
            <w:vAlign w:val="center"/>
          </w:tcPr>
          <w:p w14:paraId="503EFD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BC26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198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537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1130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1D9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6278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092E6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4E62F9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A89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E07B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BFAF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83,387.52 </w:t>
            </w:r>
          </w:p>
        </w:tc>
        <w:tc>
          <w:tcPr>
            <w:tcW w:w="1666" w:type="dxa"/>
            <w:tcBorders>
              <w:top w:val="nil"/>
              <w:left w:val="nil"/>
              <w:bottom w:val="single" w:color="000000" w:sz="4" w:space="0"/>
              <w:right w:val="single" w:color="000000" w:sz="4" w:space="0"/>
            </w:tcBorders>
            <w:shd w:val="clear" w:color="auto" w:fill="auto"/>
            <w:vAlign w:val="center"/>
          </w:tcPr>
          <w:p w14:paraId="617FA7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83,387.52 </w:t>
            </w:r>
          </w:p>
        </w:tc>
        <w:tc>
          <w:tcPr>
            <w:tcW w:w="1684" w:type="dxa"/>
            <w:tcBorders>
              <w:top w:val="nil"/>
              <w:left w:val="nil"/>
              <w:bottom w:val="single" w:color="000000" w:sz="4" w:space="0"/>
              <w:right w:val="single" w:color="000000" w:sz="4" w:space="0"/>
            </w:tcBorders>
            <w:shd w:val="clear" w:color="auto" w:fill="auto"/>
            <w:vAlign w:val="center"/>
          </w:tcPr>
          <w:p w14:paraId="1122B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504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83,387.52 </w:t>
            </w:r>
          </w:p>
        </w:tc>
        <w:tc>
          <w:tcPr>
            <w:tcW w:w="1700" w:type="dxa"/>
            <w:tcBorders>
              <w:top w:val="nil"/>
              <w:left w:val="nil"/>
              <w:bottom w:val="single" w:color="000000" w:sz="4" w:space="0"/>
              <w:right w:val="single" w:color="000000" w:sz="4" w:space="0"/>
            </w:tcBorders>
            <w:shd w:val="clear" w:color="auto" w:fill="auto"/>
            <w:vAlign w:val="center"/>
          </w:tcPr>
          <w:p w14:paraId="0CDCDF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83,387.52 </w:t>
            </w:r>
          </w:p>
        </w:tc>
        <w:tc>
          <w:tcPr>
            <w:tcW w:w="1733" w:type="dxa"/>
            <w:tcBorders>
              <w:top w:val="nil"/>
              <w:left w:val="nil"/>
              <w:bottom w:val="single" w:color="000000" w:sz="4" w:space="0"/>
              <w:right w:val="single" w:color="000000" w:sz="4" w:space="0"/>
            </w:tcBorders>
            <w:shd w:val="clear" w:color="auto" w:fill="auto"/>
            <w:vAlign w:val="center"/>
          </w:tcPr>
          <w:p w14:paraId="6AFC0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A1F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DBF2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1020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0285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6F8E5D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5F8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0A2ADA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15DA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EA84BA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石柱土家族自治县沿溪镇产业发展服务中心</w:t>
            </w:r>
          </w:p>
        </w:tc>
        <w:tc>
          <w:tcPr>
            <w:tcW w:w="2682" w:type="dxa"/>
            <w:tcBorders>
              <w:top w:val="nil"/>
              <w:left w:val="nil"/>
              <w:bottom w:val="nil"/>
              <w:right w:val="nil"/>
            </w:tcBorders>
            <w:shd w:val="clear" w:color="auto" w:fill="auto"/>
            <w:vAlign w:val="bottom"/>
          </w:tcPr>
          <w:p w14:paraId="1EC5770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F06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061288D">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42D843A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4E7F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0B2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78044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55FC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17346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A02FF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8A5F9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2713C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CCAC0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BDA81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AEB9F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C7D2A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D12BF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65C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484CB4AB">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D32D9D8">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C29D867">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9F19170">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5420201">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2CF5A10">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55AB672">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18778AE">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E0B5DAD">
            <w:pPr>
              <w:jc w:val="center"/>
              <w:rPr>
                <w:rFonts w:hint="eastAsia" w:ascii="宋体" w:hAnsi="宋体" w:eastAsia="宋体" w:cs="宋体"/>
                <w:i w:val="0"/>
                <w:iCs w:val="0"/>
                <w:color w:val="000000"/>
                <w:sz w:val="22"/>
                <w:szCs w:val="22"/>
                <w:u w:val="none"/>
              </w:rPr>
            </w:pPr>
          </w:p>
        </w:tc>
      </w:tr>
      <w:tr w14:paraId="721DC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722B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F2F28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B72AC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1,434,756.91 </w:t>
            </w:r>
          </w:p>
        </w:tc>
        <w:tc>
          <w:tcPr>
            <w:tcW w:w="1234" w:type="dxa"/>
            <w:tcBorders>
              <w:top w:val="nil"/>
              <w:left w:val="nil"/>
              <w:bottom w:val="single" w:color="000000" w:sz="4" w:space="0"/>
              <w:right w:val="single" w:color="000000" w:sz="4" w:space="0"/>
            </w:tcBorders>
            <w:shd w:val="clear" w:color="auto" w:fill="auto"/>
            <w:vAlign w:val="center"/>
          </w:tcPr>
          <w:p w14:paraId="72902C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9DA2B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E5108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173,897.92 </w:t>
            </w:r>
          </w:p>
        </w:tc>
        <w:tc>
          <w:tcPr>
            <w:tcW w:w="1133" w:type="dxa"/>
            <w:tcBorders>
              <w:top w:val="nil"/>
              <w:left w:val="nil"/>
              <w:bottom w:val="single" w:color="000000" w:sz="4" w:space="0"/>
              <w:right w:val="single" w:color="000000" w:sz="4" w:space="0"/>
            </w:tcBorders>
            <w:shd w:val="clear" w:color="auto" w:fill="auto"/>
            <w:vAlign w:val="center"/>
          </w:tcPr>
          <w:p w14:paraId="74D2C1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6B53A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5158E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36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C125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4FF210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408F49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324,955.50 </w:t>
            </w:r>
          </w:p>
        </w:tc>
        <w:tc>
          <w:tcPr>
            <w:tcW w:w="1234" w:type="dxa"/>
            <w:tcBorders>
              <w:top w:val="nil"/>
              <w:left w:val="nil"/>
              <w:bottom w:val="single" w:color="000000" w:sz="4" w:space="0"/>
              <w:right w:val="single" w:color="000000" w:sz="4" w:space="0"/>
            </w:tcBorders>
            <w:shd w:val="clear" w:color="auto" w:fill="auto"/>
            <w:vAlign w:val="center"/>
          </w:tcPr>
          <w:p w14:paraId="45D5A0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3112C1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73FAE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76,100.00 </w:t>
            </w:r>
          </w:p>
        </w:tc>
        <w:tc>
          <w:tcPr>
            <w:tcW w:w="1133" w:type="dxa"/>
            <w:tcBorders>
              <w:top w:val="nil"/>
              <w:left w:val="nil"/>
              <w:bottom w:val="single" w:color="000000" w:sz="4" w:space="0"/>
              <w:right w:val="single" w:color="000000" w:sz="4" w:space="0"/>
            </w:tcBorders>
            <w:shd w:val="clear" w:color="auto" w:fill="auto"/>
            <w:vAlign w:val="center"/>
          </w:tcPr>
          <w:p w14:paraId="32F796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743E6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113436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4D7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259C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5C90E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17951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106,046.00 </w:t>
            </w:r>
          </w:p>
        </w:tc>
        <w:tc>
          <w:tcPr>
            <w:tcW w:w="1234" w:type="dxa"/>
            <w:tcBorders>
              <w:top w:val="nil"/>
              <w:left w:val="nil"/>
              <w:bottom w:val="single" w:color="000000" w:sz="4" w:space="0"/>
              <w:right w:val="single" w:color="000000" w:sz="4" w:space="0"/>
            </w:tcBorders>
            <w:shd w:val="clear" w:color="auto" w:fill="auto"/>
            <w:vAlign w:val="center"/>
          </w:tcPr>
          <w:p w14:paraId="2005AF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7ECDB0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A37A6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1133" w:type="dxa"/>
            <w:tcBorders>
              <w:top w:val="nil"/>
              <w:left w:val="nil"/>
              <w:bottom w:val="single" w:color="000000" w:sz="4" w:space="0"/>
              <w:right w:val="single" w:color="000000" w:sz="4" w:space="0"/>
            </w:tcBorders>
            <w:shd w:val="clear" w:color="auto" w:fill="auto"/>
            <w:vAlign w:val="center"/>
          </w:tcPr>
          <w:p w14:paraId="6A4F78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C8CD1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BFB53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2AA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1649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38501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A6E37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104A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4A78EC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DAE31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7006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51494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09D51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5B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18AA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88A13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5479D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562B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65C267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A11D4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1133" w:type="dxa"/>
            <w:tcBorders>
              <w:top w:val="nil"/>
              <w:left w:val="nil"/>
              <w:bottom w:val="single" w:color="000000" w:sz="4" w:space="0"/>
              <w:right w:val="single" w:color="000000" w:sz="4" w:space="0"/>
            </w:tcBorders>
            <w:shd w:val="clear" w:color="auto" w:fill="auto"/>
            <w:vAlign w:val="center"/>
          </w:tcPr>
          <w:p w14:paraId="02C3C2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14BA26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E52B1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54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3E5F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4116B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A22B1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588,375.00 </w:t>
            </w:r>
          </w:p>
        </w:tc>
        <w:tc>
          <w:tcPr>
            <w:tcW w:w="1234" w:type="dxa"/>
            <w:tcBorders>
              <w:top w:val="nil"/>
              <w:left w:val="nil"/>
              <w:bottom w:val="single" w:color="000000" w:sz="4" w:space="0"/>
              <w:right w:val="single" w:color="000000" w:sz="4" w:space="0"/>
            </w:tcBorders>
            <w:shd w:val="clear" w:color="auto" w:fill="auto"/>
            <w:vAlign w:val="center"/>
          </w:tcPr>
          <w:p w14:paraId="5E441F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495937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ED453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1133" w:type="dxa"/>
            <w:tcBorders>
              <w:top w:val="nil"/>
              <w:left w:val="nil"/>
              <w:bottom w:val="single" w:color="000000" w:sz="4" w:space="0"/>
              <w:right w:val="single" w:color="000000" w:sz="4" w:space="0"/>
            </w:tcBorders>
            <w:shd w:val="clear" w:color="auto" w:fill="auto"/>
            <w:vAlign w:val="center"/>
          </w:tcPr>
          <w:p w14:paraId="2A4ABC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11FD80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2B687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D7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20A1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2E76E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25B08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160,482.24 </w:t>
            </w:r>
          </w:p>
        </w:tc>
        <w:tc>
          <w:tcPr>
            <w:tcW w:w="1234" w:type="dxa"/>
            <w:tcBorders>
              <w:top w:val="nil"/>
              <w:left w:val="nil"/>
              <w:bottom w:val="single" w:color="000000" w:sz="4" w:space="0"/>
              <w:right w:val="single" w:color="000000" w:sz="4" w:space="0"/>
            </w:tcBorders>
            <w:shd w:val="clear" w:color="auto" w:fill="auto"/>
            <w:vAlign w:val="center"/>
          </w:tcPr>
          <w:p w14:paraId="0550A5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5CA532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81A6A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1133" w:type="dxa"/>
            <w:tcBorders>
              <w:top w:val="nil"/>
              <w:left w:val="nil"/>
              <w:bottom w:val="single" w:color="000000" w:sz="4" w:space="0"/>
              <w:right w:val="single" w:color="000000" w:sz="4" w:space="0"/>
            </w:tcBorders>
            <w:shd w:val="clear" w:color="auto" w:fill="auto"/>
            <w:vAlign w:val="center"/>
          </w:tcPr>
          <w:p w14:paraId="7889AC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619171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756CA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2A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B37E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F71C9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D3829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80,430.92 </w:t>
            </w:r>
          </w:p>
        </w:tc>
        <w:tc>
          <w:tcPr>
            <w:tcW w:w="1234" w:type="dxa"/>
            <w:tcBorders>
              <w:top w:val="nil"/>
              <w:left w:val="nil"/>
              <w:bottom w:val="single" w:color="000000" w:sz="4" w:space="0"/>
              <w:right w:val="single" w:color="000000" w:sz="4" w:space="0"/>
            </w:tcBorders>
            <w:shd w:val="clear" w:color="auto" w:fill="auto"/>
            <w:vAlign w:val="center"/>
          </w:tcPr>
          <w:p w14:paraId="126F9A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6167DA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CE7DF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1133" w:type="dxa"/>
            <w:tcBorders>
              <w:top w:val="nil"/>
              <w:left w:val="nil"/>
              <w:bottom w:val="single" w:color="000000" w:sz="4" w:space="0"/>
              <w:right w:val="single" w:color="000000" w:sz="4" w:space="0"/>
            </w:tcBorders>
            <w:shd w:val="clear" w:color="auto" w:fill="auto"/>
            <w:vAlign w:val="center"/>
          </w:tcPr>
          <w:p w14:paraId="59ACFC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8BCE7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CBE9E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82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D2CD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26C9B9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A79DA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69,489.60 </w:t>
            </w:r>
          </w:p>
        </w:tc>
        <w:tc>
          <w:tcPr>
            <w:tcW w:w="1234" w:type="dxa"/>
            <w:tcBorders>
              <w:top w:val="nil"/>
              <w:left w:val="nil"/>
              <w:bottom w:val="single" w:color="000000" w:sz="4" w:space="0"/>
              <w:right w:val="single" w:color="000000" w:sz="4" w:space="0"/>
            </w:tcBorders>
            <w:shd w:val="clear" w:color="auto" w:fill="auto"/>
            <w:vAlign w:val="center"/>
          </w:tcPr>
          <w:p w14:paraId="121931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01C39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54037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E67E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7452DE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BEFF8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7A6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F303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800C3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5C3B5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002B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942A9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CE628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813A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53EEF3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AE004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0D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57ED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CF22D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68439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4,790.13 </w:t>
            </w:r>
          </w:p>
        </w:tc>
        <w:tc>
          <w:tcPr>
            <w:tcW w:w="1234" w:type="dxa"/>
            <w:tcBorders>
              <w:top w:val="nil"/>
              <w:left w:val="nil"/>
              <w:bottom w:val="single" w:color="000000" w:sz="4" w:space="0"/>
              <w:right w:val="single" w:color="000000" w:sz="4" w:space="0"/>
            </w:tcBorders>
            <w:shd w:val="clear" w:color="auto" w:fill="auto"/>
            <w:vAlign w:val="center"/>
          </w:tcPr>
          <w:p w14:paraId="2AE731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47A50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1D170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14:paraId="76A8A4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0BAA9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B576C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0E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F185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FE97F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56EAC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83,387.52 </w:t>
            </w:r>
          </w:p>
        </w:tc>
        <w:tc>
          <w:tcPr>
            <w:tcW w:w="1234" w:type="dxa"/>
            <w:tcBorders>
              <w:top w:val="nil"/>
              <w:left w:val="nil"/>
              <w:bottom w:val="single" w:color="000000" w:sz="4" w:space="0"/>
              <w:right w:val="single" w:color="000000" w:sz="4" w:space="0"/>
            </w:tcBorders>
            <w:shd w:val="clear" w:color="auto" w:fill="auto"/>
            <w:vAlign w:val="center"/>
          </w:tcPr>
          <w:p w14:paraId="53FDE4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367625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98B39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2EE8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480C2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240D3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2B2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0E23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D1814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36EDB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16,800.00 </w:t>
            </w:r>
          </w:p>
        </w:tc>
        <w:tc>
          <w:tcPr>
            <w:tcW w:w="1234" w:type="dxa"/>
            <w:tcBorders>
              <w:top w:val="nil"/>
              <w:left w:val="nil"/>
              <w:bottom w:val="single" w:color="000000" w:sz="4" w:space="0"/>
              <w:right w:val="single" w:color="000000" w:sz="4" w:space="0"/>
            </w:tcBorders>
            <w:shd w:val="clear" w:color="auto" w:fill="auto"/>
            <w:vAlign w:val="center"/>
          </w:tcPr>
          <w:p w14:paraId="314C8B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526F3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80385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1133" w:type="dxa"/>
            <w:tcBorders>
              <w:top w:val="nil"/>
              <w:left w:val="nil"/>
              <w:bottom w:val="single" w:color="000000" w:sz="4" w:space="0"/>
              <w:right w:val="single" w:color="000000" w:sz="4" w:space="0"/>
            </w:tcBorders>
            <w:shd w:val="clear" w:color="auto" w:fill="auto"/>
            <w:vAlign w:val="center"/>
          </w:tcPr>
          <w:p w14:paraId="4DEA8A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1266B5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763AD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F6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AACE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82EBF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FA313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CE67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315B7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5ED4B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1F0A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3F102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0B52E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35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05F2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D70E9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0D7A4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164,125.00 </w:t>
            </w:r>
          </w:p>
        </w:tc>
        <w:tc>
          <w:tcPr>
            <w:tcW w:w="1234" w:type="dxa"/>
            <w:tcBorders>
              <w:top w:val="nil"/>
              <w:left w:val="nil"/>
              <w:bottom w:val="single" w:color="000000" w:sz="4" w:space="0"/>
              <w:right w:val="single" w:color="000000" w:sz="4" w:space="0"/>
            </w:tcBorders>
            <w:shd w:val="clear" w:color="auto" w:fill="auto"/>
            <w:vAlign w:val="center"/>
          </w:tcPr>
          <w:p w14:paraId="5DE7A8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EF3C2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370C2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14:paraId="3F197D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A6424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26198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D0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1D63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18032E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85C37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B6FD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EF5F3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F272B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14:paraId="75FAE9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2E6034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27196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22F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9C0B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077409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83FEE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FA9F7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394171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D6515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7,900.00 </w:t>
            </w:r>
          </w:p>
        </w:tc>
        <w:tc>
          <w:tcPr>
            <w:tcW w:w="1133" w:type="dxa"/>
            <w:tcBorders>
              <w:top w:val="nil"/>
              <w:left w:val="nil"/>
              <w:bottom w:val="single" w:color="000000" w:sz="4" w:space="0"/>
              <w:right w:val="single" w:color="000000" w:sz="4" w:space="0"/>
            </w:tcBorders>
            <w:shd w:val="clear" w:color="auto" w:fill="auto"/>
            <w:vAlign w:val="center"/>
          </w:tcPr>
          <w:p w14:paraId="569BD3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4320DD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22C118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9D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9A06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221442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29698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39425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4D1E5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341DA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F3AD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4A2598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FA5D4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9F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4FEC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30244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E8E44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E5F5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F660D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C900E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9FE6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0B2E9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3F481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02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B893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D2ACF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69EA2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146,625.00 </w:t>
            </w:r>
          </w:p>
        </w:tc>
        <w:tc>
          <w:tcPr>
            <w:tcW w:w="1234" w:type="dxa"/>
            <w:tcBorders>
              <w:top w:val="nil"/>
              <w:left w:val="nil"/>
              <w:bottom w:val="single" w:color="000000" w:sz="4" w:space="0"/>
              <w:right w:val="single" w:color="000000" w:sz="4" w:space="0"/>
            </w:tcBorders>
            <w:shd w:val="clear" w:color="auto" w:fill="auto"/>
            <w:vAlign w:val="center"/>
          </w:tcPr>
          <w:p w14:paraId="58C0B0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71ECCB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FA8C4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E4EB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9F9E4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A3F8B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F0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D0D9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0D37F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382ED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2505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EBC64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EAB4F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36,000.00 </w:t>
            </w:r>
          </w:p>
        </w:tc>
        <w:tc>
          <w:tcPr>
            <w:tcW w:w="1133" w:type="dxa"/>
            <w:tcBorders>
              <w:top w:val="nil"/>
              <w:left w:val="nil"/>
              <w:bottom w:val="single" w:color="000000" w:sz="4" w:space="0"/>
              <w:right w:val="single" w:color="000000" w:sz="4" w:space="0"/>
            </w:tcBorders>
            <w:shd w:val="clear" w:color="auto" w:fill="auto"/>
            <w:vAlign w:val="center"/>
          </w:tcPr>
          <w:p w14:paraId="72B9DD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1464B0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31170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1C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C91E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F97B6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05B9A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17,500.00 </w:t>
            </w:r>
          </w:p>
        </w:tc>
        <w:tc>
          <w:tcPr>
            <w:tcW w:w="1234" w:type="dxa"/>
            <w:tcBorders>
              <w:top w:val="nil"/>
              <w:left w:val="nil"/>
              <w:bottom w:val="single" w:color="000000" w:sz="4" w:space="0"/>
              <w:right w:val="single" w:color="000000" w:sz="4" w:space="0"/>
            </w:tcBorders>
            <w:shd w:val="clear" w:color="auto" w:fill="auto"/>
            <w:vAlign w:val="center"/>
          </w:tcPr>
          <w:p w14:paraId="2ED179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22EDD5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DAAA4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2708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F9981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B3317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2A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7ADC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0D984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90EAB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6C46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D3C78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5468C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13,897.92 </w:t>
            </w:r>
          </w:p>
        </w:tc>
        <w:tc>
          <w:tcPr>
            <w:tcW w:w="1133" w:type="dxa"/>
            <w:tcBorders>
              <w:top w:val="nil"/>
              <w:left w:val="nil"/>
              <w:bottom w:val="single" w:color="000000" w:sz="4" w:space="0"/>
              <w:right w:val="single" w:color="000000" w:sz="4" w:space="0"/>
            </w:tcBorders>
            <w:shd w:val="clear" w:color="auto" w:fill="auto"/>
            <w:vAlign w:val="center"/>
          </w:tcPr>
          <w:p w14:paraId="48DBED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05C77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CDF1F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28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B3C4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61ACFE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FE407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6453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753053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936F5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DC59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F27E7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04F7B4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63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C401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8468B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0D6D5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649E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F390E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9C6CC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2829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35332E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1C023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E1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7F1D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8AC0E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867AE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DB78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3D783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C1F0F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31EB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BE3CB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7B25B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E9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BC90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BA3F5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69A4F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0126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554F89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334C9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BAED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CC8B7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42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4F6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77EF2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A1F197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D8623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BFD88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D1EA3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B5806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5466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53F174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D7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871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63FEC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0B90BF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1E0A3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E33D3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50C7BB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C7019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2B15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BAC59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EE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33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0DE43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0CE795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D00F7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EF695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38BC4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8C4FA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4F527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DE9BD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C1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FEC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EEEBE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717902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6872A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3BA18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155592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6411D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45812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EE0EE8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26F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5C7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83279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7A2C98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94E0E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72939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338E5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B079E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7A846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BD785A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CAA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8C6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42CE2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7D36C2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15B7F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4B483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17CB46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C2827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408E1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C6C380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929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EE7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369966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5184C4">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1,598,881.91 </w:t>
            </w:r>
          </w:p>
        </w:tc>
        <w:tc>
          <w:tcPr>
            <w:tcW w:w="12067" w:type="dxa"/>
            <w:gridSpan w:val="5"/>
            <w:tcBorders>
              <w:top w:val="nil"/>
              <w:left w:val="nil"/>
              <w:bottom w:val="single" w:color="000000" w:sz="4" w:space="0"/>
              <w:right w:val="single" w:color="000000" w:sz="4" w:space="0"/>
            </w:tcBorders>
            <w:shd w:val="clear" w:color="auto" w:fill="auto"/>
            <w:vAlign w:val="center"/>
          </w:tcPr>
          <w:p w14:paraId="48EBF5C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19C6D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173,897.92 </w:t>
            </w:r>
          </w:p>
        </w:tc>
      </w:tr>
    </w:tbl>
    <w:p w14:paraId="317D736E">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D19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CE7A24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CFDC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76EB0CE">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石柱土家族自治县沿溪镇产业发展服务中心</w:t>
            </w:r>
          </w:p>
        </w:tc>
        <w:tc>
          <w:tcPr>
            <w:tcW w:w="1156" w:type="dxa"/>
            <w:tcBorders>
              <w:top w:val="nil"/>
              <w:left w:val="nil"/>
              <w:bottom w:val="nil"/>
              <w:right w:val="nil"/>
            </w:tcBorders>
            <w:shd w:val="clear" w:color="auto" w:fill="auto"/>
            <w:vAlign w:val="bottom"/>
          </w:tcPr>
          <w:p w14:paraId="1D7836B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364C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81E3343">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95E844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470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BD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9029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E5485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6F39F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46AA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47C7D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63E6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316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8B92F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83328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D2CC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2044A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5ECC9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CFCBC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9E34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4505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9470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AAFC8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6837E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069B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8D978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97A5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630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DE3C1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0750B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ED446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8B53F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80A37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42590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077DB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901E6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B2DB3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A7616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7D6AC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DA6C3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A46D0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D7E4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992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14D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2A865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CCB8D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912DE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D2DB6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FFDD6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11CA6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F3115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16DDA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546B7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26B73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F241B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B9EA8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364D2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25A31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24D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EC72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5AE5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792B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F249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BC56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EBA8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EF12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E45B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2D14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D07B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A924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DCA6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4956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27AF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2116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6442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9E63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45C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8ED63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2837A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1437A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BA77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2139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5DFA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3A393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E948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50795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3E55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796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786D7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69A8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A76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80A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ED2B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60E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98E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B139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2B4682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1DAB7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EBC7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7BE5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AAA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B79E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31DA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755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2BC8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9A0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CA6F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F43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A85B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319E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9DF7F3D">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989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4EAA786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75FD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23DCD74">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石柱土家族自治县沿溪镇产业发展服务中心</w:t>
            </w:r>
          </w:p>
        </w:tc>
        <w:tc>
          <w:tcPr>
            <w:tcW w:w="2116" w:type="dxa"/>
            <w:tcBorders>
              <w:top w:val="nil"/>
              <w:left w:val="nil"/>
              <w:bottom w:val="nil"/>
              <w:right w:val="nil"/>
            </w:tcBorders>
            <w:shd w:val="clear" w:color="auto" w:fill="auto"/>
            <w:vAlign w:val="bottom"/>
          </w:tcPr>
          <w:p w14:paraId="4E4C484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4477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864250D">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485F5D7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6BB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9B5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F69D4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9F8D2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11A06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3B40F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1B912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969B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FE80F">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8FDB1E7">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CCB08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A1ACA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25FF0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30A0CAB">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920722A">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E798A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86620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4A05E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4C82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2887A">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26E666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20503E1">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5566474">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267C4FE">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41C8ADA">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0EDE64E">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1CBDE72">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B3E565E">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F2FE5EE">
            <w:pPr>
              <w:jc w:val="center"/>
              <w:rPr>
                <w:rFonts w:hint="eastAsia" w:ascii="宋体" w:hAnsi="宋体" w:eastAsia="宋体" w:cs="宋体"/>
                <w:i w:val="0"/>
                <w:iCs w:val="0"/>
                <w:color w:val="000000"/>
                <w:sz w:val="22"/>
                <w:szCs w:val="22"/>
                <w:u w:val="none"/>
              </w:rPr>
            </w:pPr>
          </w:p>
        </w:tc>
      </w:tr>
      <w:tr w14:paraId="7A4F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0CCBC">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5559E8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72FB0BA">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A6B857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226E863">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9DB2BA9">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9F69B70">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529556C">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7B3FD5D">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024715A">
            <w:pPr>
              <w:jc w:val="center"/>
              <w:rPr>
                <w:rFonts w:hint="eastAsia" w:ascii="宋体" w:hAnsi="宋体" w:eastAsia="宋体" w:cs="宋体"/>
                <w:i w:val="0"/>
                <w:iCs w:val="0"/>
                <w:color w:val="000000"/>
                <w:sz w:val="22"/>
                <w:szCs w:val="22"/>
                <w:u w:val="none"/>
              </w:rPr>
            </w:pPr>
          </w:p>
        </w:tc>
      </w:tr>
      <w:tr w14:paraId="0CA5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A65B3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A6869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3251F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4D03C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6D16C3A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35CDAB5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7DCE73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01A2AA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051B6C9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1D3C179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F61083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285832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62F98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0310C91E">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28A399C">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D6A0D03">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8BE05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1314C23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8E3922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1F5C5F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7D45E9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278A77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B75342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1AB39C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B48922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4C5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60B590B">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CB1B3DD">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FA627A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78F17B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BD378B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8F87C0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6D7197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6F9290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CF6840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9728A0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5BE049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6FB7F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097088D2">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3E63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4A48838F">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石柱土家族自治县沿溪镇产业发展服务中心</w:t>
            </w:r>
          </w:p>
        </w:tc>
        <w:tc>
          <w:tcPr>
            <w:tcW w:w="4134" w:type="dxa"/>
            <w:tcBorders>
              <w:top w:val="nil"/>
              <w:left w:val="nil"/>
              <w:bottom w:val="nil"/>
              <w:right w:val="nil"/>
            </w:tcBorders>
            <w:shd w:val="clear" w:color="auto" w:fill="auto"/>
            <w:vAlign w:val="bottom"/>
          </w:tcPr>
          <w:p w14:paraId="6B3CFFD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5A92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36F457FD">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4DA5307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D2FB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B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1C798F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2EF94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7AE66C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DC82C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09AB8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073A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E275C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2B690C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8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BC907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2106D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C5D08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BB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0E893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45F23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491EA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7,900.00 </w:t>
            </w:r>
          </w:p>
        </w:tc>
        <w:tc>
          <w:tcPr>
            <w:tcW w:w="5416" w:type="dxa"/>
            <w:tcBorders>
              <w:top w:val="nil"/>
              <w:left w:val="nil"/>
              <w:bottom w:val="single" w:color="000000" w:sz="4" w:space="0"/>
              <w:right w:val="single" w:color="000000" w:sz="4" w:space="0"/>
            </w:tcBorders>
            <w:shd w:val="clear" w:color="auto" w:fill="auto"/>
            <w:vAlign w:val="center"/>
          </w:tcPr>
          <w:p w14:paraId="651EDD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36E2F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2884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C2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214FA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12C9C0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CDD7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DD99B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6872FA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0A13F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290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F5B20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309194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B5C2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5274F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7BE84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3AA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166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875E1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1E30E9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E64C1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CDBCD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19C86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83D80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4C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5BB3D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12A71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56F4C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24C7C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4353A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FB465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21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80B0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68E70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2DE0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7,900.00 </w:t>
            </w:r>
          </w:p>
        </w:tc>
        <w:tc>
          <w:tcPr>
            <w:tcW w:w="5416" w:type="dxa"/>
            <w:tcBorders>
              <w:top w:val="nil"/>
              <w:left w:val="nil"/>
              <w:bottom w:val="single" w:color="000000" w:sz="4" w:space="0"/>
              <w:right w:val="single" w:color="000000" w:sz="4" w:space="0"/>
            </w:tcBorders>
            <w:shd w:val="clear" w:color="auto" w:fill="auto"/>
            <w:vAlign w:val="center"/>
          </w:tcPr>
          <w:p w14:paraId="1F957B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0C88E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C67C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11C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71131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7ACAF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3DF4D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7,900.00 </w:t>
            </w:r>
          </w:p>
        </w:tc>
        <w:tc>
          <w:tcPr>
            <w:tcW w:w="5416" w:type="dxa"/>
            <w:tcBorders>
              <w:top w:val="nil"/>
              <w:left w:val="nil"/>
              <w:bottom w:val="single" w:color="000000" w:sz="4" w:space="0"/>
              <w:right w:val="single" w:color="000000" w:sz="4" w:space="0"/>
            </w:tcBorders>
            <w:shd w:val="clear" w:color="auto" w:fill="auto"/>
            <w:vAlign w:val="center"/>
          </w:tcPr>
          <w:p w14:paraId="07B43D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542730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42754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A5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4E077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4D766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D03AE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92988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5494D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D9CF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51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ED87F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7A51CC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430AD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E075F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4DB65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29E78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F4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2077B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253A5C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5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6E6713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0FBB9C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E2B7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B5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5526C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3F2DD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C397C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5613F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217408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B3993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A6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3DFD4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55692D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F6167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60714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40D89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13D2D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87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C99C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790E5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51E00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310FB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1F66A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F0E2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46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2D1E0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060DDE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28443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04694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28FF7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5E0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538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85201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302DAB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283BF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62</w:t>
            </w:r>
          </w:p>
        </w:tc>
        <w:tc>
          <w:tcPr>
            <w:tcW w:w="5416" w:type="dxa"/>
            <w:tcBorders>
              <w:top w:val="nil"/>
              <w:left w:val="nil"/>
              <w:bottom w:val="single" w:color="000000" w:sz="4" w:space="0"/>
              <w:right w:val="single" w:color="000000" w:sz="4" w:space="0"/>
            </w:tcBorders>
            <w:shd w:val="clear" w:color="auto" w:fill="auto"/>
            <w:vAlign w:val="center"/>
          </w:tcPr>
          <w:p w14:paraId="19B561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48DC44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1E73C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BC4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69528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42E10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98BDB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55020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2100E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B939E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6A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F828C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0DB30C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46109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320</w:t>
            </w:r>
          </w:p>
        </w:tc>
        <w:tc>
          <w:tcPr>
            <w:tcW w:w="5416" w:type="dxa"/>
            <w:tcBorders>
              <w:top w:val="nil"/>
              <w:left w:val="nil"/>
              <w:bottom w:val="single" w:color="000000" w:sz="4" w:space="0"/>
              <w:right w:val="single" w:color="000000" w:sz="4" w:space="0"/>
            </w:tcBorders>
            <w:shd w:val="clear" w:color="auto" w:fill="auto"/>
            <w:vAlign w:val="center"/>
          </w:tcPr>
          <w:p w14:paraId="54CE71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4BC77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114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F8F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60A88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0997E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C89BD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98C07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0EDABC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6DB74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B91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2EA09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7F607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DAD7E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104D3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493629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E6FE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DBD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8F74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097F4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F155D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A0B2C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76070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40CD1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C8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26EA54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236E20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00B42DE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3,000.00</w:t>
            </w:r>
          </w:p>
        </w:tc>
        <w:tc>
          <w:tcPr>
            <w:tcW w:w="5416" w:type="dxa"/>
            <w:tcBorders>
              <w:top w:val="nil"/>
              <w:left w:val="nil"/>
              <w:bottom w:val="single" w:color="auto" w:sz="4" w:space="0"/>
              <w:right w:val="single" w:color="000000" w:sz="4" w:space="0"/>
            </w:tcBorders>
            <w:shd w:val="clear" w:color="auto" w:fill="auto"/>
            <w:vAlign w:val="center"/>
          </w:tcPr>
          <w:p w14:paraId="4694B37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0DACC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9BACB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6E1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FD2CE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1DAC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0BC4FEA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7891F9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4924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BB53A0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F36F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99612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C0B7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333B5AE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3A1CF4A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64066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97A73F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2AEC56C1">
      <w:pPr>
        <w:rPr>
          <w:rFonts w:hint="eastAsia" w:ascii="宋体" w:hAnsi="宋体" w:eastAsia="宋体" w:cs="宋体"/>
          <w:color w:val="000000"/>
          <w:sz w:val="21"/>
          <w:szCs w:val="21"/>
          <w:lang w:bidi="ar"/>
        </w:rPr>
      </w:pPr>
    </w:p>
    <w:p w14:paraId="79539C38">
      <w:pPr>
        <w:rPr>
          <w:rFonts w:hint="eastAsia" w:ascii="宋体" w:hAnsi="宋体" w:eastAsia="宋体" w:cs="宋体"/>
          <w:color w:val="000000"/>
          <w:sz w:val="21"/>
          <w:szCs w:val="21"/>
          <w:lang w:bidi="ar"/>
        </w:rPr>
      </w:pPr>
    </w:p>
    <w:p w14:paraId="751CE335">
      <w:pPr>
        <w:rPr>
          <w:rFonts w:hint="eastAsia" w:ascii="宋体" w:hAnsi="宋体" w:eastAsia="宋体" w:cs="宋体"/>
          <w:color w:val="000000"/>
          <w:sz w:val="21"/>
          <w:szCs w:val="21"/>
          <w:lang w:bidi="ar"/>
        </w:rPr>
      </w:pPr>
    </w:p>
    <w:p w14:paraId="682FB3D6">
      <w:pPr>
        <w:rPr>
          <w:rFonts w:hint="eastAsia" w:ascii="宋体" w:hAnsi="宋体" w:eastAsia="宋体" w:cs="宋体"/>
          <w:color w:val="000000"/>
          <w:sz w:val="21"/>
          <w:szCs w:val="21"/>
          <w:lang w:bidi="ar"/>
        </w:rPr>
      </w:pPr>
    </w:p>
    <w:p w14:paraId="61B78846">
      <w:pPr>
        <w:rPr>
          <w:rFonts w:hint="eastAsia" w:ascii="宋体" w:hAnsi="宋体" w:eastAsia="宋体" w:cs="宋体"/>
          <w:color w:val="000000"/>
          <w:sz w:val="21"/>
          <w:szCs w:val="21"/>
          <w:lang w:bidi="ar"/>
        </w:rPr>
      </w:pPr>
    </w:p>
    <w:p w14:paraId="372611D5">
      <w:pPr>
        <w:rPr>
          <w:rFonts w:hint="eastAsia" w:ascii="宋体" w:hAnsi="宋体" w:eastAsia="宋体" w:cs="宋体"/>
          <w:color w:val="000000"/>
          <w:sz w:val="21"/>
          <w:szCs w:val="21"/>
          <w:lang w:bidi="ar"/>
        </w:rPr>
      </w:pPr>
    </w:p>
    <w:p w14:paraId="637A0EE7">
      <w:pPr>
        <w:rPr>
          <w:rFonts w:hint="eastAsia" w:ascii="宋体" w:hAnsi="宋体" w:eastAsia="宋体" w:cs="宋体"/>
          <w:color w:val="000000"/>
          <w:sz w:val="21"/>
          <w:szCs w:val="21"/>
          <w:lang w:bidi="ar"/>
        </w:rPr>
      </w:pPr>
    </w:p>
    <w:p w14:paraId="5706CBB0">
      <w:pPr>
        <w:rPr>
          <w:rFonts w:hint="eastAsia" w:ascii="宋体" w:hAnsi="宋体" w:eastAsia="宋体" w:cs="宋体"/>
          <w:color w:val="000000"/>
          <w:sz w:val="21"/>
          <w:szCs w:val="21"/>
          <w:lang w:bidi="ar"/>
        </w:rPr>
      </w:pPr>
    </w:p>
    <w:p w14:paraId="4A2BFDCA">
      <w:pPr>
        <w:rPr>
          <w:rFonts w:hint="eastAsia" w:ascii="宋体" w:hAnsi="宋体" w:eastAsia="宋体" w:cs="宋体"/>
          <w:color w:val="000000"/>
          <w:sz w:val="21"/>
          <w:szCs w:val="21"/>
          <w:lang w:bidi="ar"/>
        </w:rPr>
      </w:pPr>
    </w:p>
    <w:p w14:paraId="19831316">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24A07">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2A98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2A98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F8E44">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19EF2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819EF2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045455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0454552">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588FC">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ZTAzN2JkMjk3MDVhMmMzOWI3NjY2YzRmYWIwMDIifQ=="/>
  </w:docVars>
  <w:rsids>
    <w:rsidRoot w:val="00B03CCD"/>
    <w:rsid w:val="000D7BCC"/>
    <w:rsid w:val="00550ABE"/>
    <w:rsid w:val="007B419D"/>
    <w:rsid w:val="009B67B8"/>
    <w:rsid w:val="00B03CCD"/>
    <w:rsid w:val="01474EBF"/>
    <w:rsid w:val="01F3521E"/>
    <w:rsid w:val="02BF3A4A"/>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5A3B01"/>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B236E6D"/>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1947C0"/>
    <w:rsid w:val="7FBF6486"/>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8440</Words>
  <Characters>12785</Characters>
  <Lines>161</Lines>
  <Paragraphs>45</Paragraphs>
  <TotalTime>0</TotalTime>
  <ScaleCrop>false</ScaleCrop>
  <LinksUpToDate>false</LinksUpToDate>
  <CharactersWithSpaces>13943</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2025-10-10T07:57:56Z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BB46EABDBB2749749395447164B066B3_12</vt:lpwstr>
  </property>
</Properties>
</file>