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line="540" w:lineRule="exact"/>
        <w:jc w:val="center"/>
        <w:textAlignment w:val="auto"/>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石柱土家族自治县沿溪镇</w:t>
      </w:r>
    </w:p>
    <w:p>
      <w:pPr>
        <w:pStyle w:val="6"/>
        <w:keepNext w:val="0"/>
        <w:keepLines w:val="0"/>
        <w:pageBreakBefore w:val="0"/>
        <w:widowControl/>
        <w:kinsoku/>
        <w:wordWrap/>
        <w:overflowPunct/>
        <w:topLinePunct w:val="0"/>
        <w:autoSpaceDN/>
        <w:bidi w:val="0"/>
        <w:adjustRightInd/>
        <w:spacing w:before="0" w:beforeAutospacing="0" w:line="54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文化服务中心</w:t>
      </w:r>
    </w:p>
    <w:p>
      <w:pPr>
        <w:pStyle w:val="6"/>
        <w:keepNext w:val="0"/>
        <w:keepLines w:val="0"/>
        <w:pageBreakBefore w:val="0"/>
        <w:widowControl/>
        <w:kinsoku/>
        <w:wordWrap/>
        <w:overflowPunct/>
        <w:topLinePunct w:val="0"/>
        <w:autoSpaceDN/>
        <w:bidi w:val="0"/>
        <w:adjustRightInd/>
        <w:spacing w:before="0" w:beforeAutospacing="0" w:line="54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Fonts w:hint="eastAsia" w:ascii="方正小标宋_GBK" w:hAnsi="方正小标宋_GBK" w:eastAsia="方正小标宋_GBK" w:cs="方正小标宋_GBK"/>
          <w:b w:val="0"/>
          <w:bCs/>
          <w:sz w:val="32"/>
          <w:szCs w:val="32"/>
        </w:rPr>
      </w:pPr>
      <w:r>
        <w:rPr>
          <w:rStyle w:val="10"/>
          <w:rFonts w:hint="eastAsia" w:ascii="方正小标宋_GBK" w:hAnsi="方正小标宋_GBK" w:eastAsia="方正小标宋_GBK" w:cs="方正小标宋_GBK"/>
          <w:b w:val="0"/>
          <w:bCs/>
          <w:sz w:val="32"/>
          <w:szCs w:val="32"/>
          <w:shd w:val="clear" w:color="auto" w:fill="FFFFFF"/>
        </w:rPr>
        <w:t>一、单位基本情况</w:t>
      </w:r>
    </w:p>
    <w:p>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Calibri" w:hAnsi="Calibri" w:eastAsia="宋体" w:cs="Calibri"/>
          <w:kern w:val="0"/>
          <w:sz w:val="28"/>
          <w:szCs w:val="28"/>
        </w:rPr>
      </w:pPr>
      <w:r>
        <w:rPr>
          <w:rStyle w:val="10"/>
          <w:rFonts w:hint="eastAsia" w:ascii="方正楷体_GBK" w:eastAsia="方正楷体_GBK"/>
          <w:b w:val="0"/>
          <w:sz w:val="32"/>
          <w:szCs w:val="32"/>
        </w:rPr>
        <w:t>（一）职能职责</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仿宋" w:hAnsi="仿宋" w:eastAsia="仿宋" w:cs="仿宋"/>
          <w:sz w:val="32"/>
          <w:szCs w:val="24"/>
        </w:rPr>
      </w:pPr>
      <w:r>
        <w:rPr>
          <w:rFonts w:hint="eastAsia" w:ascii="Times New Roman" w:hAnsi="Times New Roman" w:eastAsia="方正仿宋_GBK"/>
          <w:sz w:val="32"/>
          <w:szCs w:val="32"/>
        </w:rPr>
        <w:t>宗旨：为文化、宣传、体育等工作服务。</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主要职责任务：主要承担文化、宣传、广播电视、体育、乡村旅游、科技培训等方面服务工作。</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具体职责任务：</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1</w:t>
      </w:r>
      <w:r>
        <w:rPr>
          <w:rFonts w:hint="eastAsia" w:ascii="Times New Roman" w:hAnsi="Times New Roman" w:eastAsia="方正仿宋_GBK"/>
          <w:sz w:val="32"/>
          <w:szCs w:val="32"/>
        </w:rPr>
        <w:t>）承担开展文化娱乐和体育活动等方面工作，指导各村（居）开展文体活动。</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2</w:t>
      </w:r>
      <w:r>
        <w:rPr>
          <w:rFonts w:hint="eastAsia" w:ascii="Times New Roman" w:hAnsi="Times New Roman" w:eastAsia="方正仿宋_GBK"/>
          <w:sz w:val="32"/>
          <w:szCs w:val="32"/>
        </w:rPr>
        <w:t>）承担普及科学文化知识，传递经济、科技、文化信息，为当地经济建设服务。</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3</w:t>
      </w:r>
      <w:r>
        <w:rPr>
          <w:rFonts w:hint="eastAsia" w:ascii="Times New Roman" w:hAnsi="Times New Roman" w:eastAsia="方正仿宋_GBK"/>
          <w:sz w:val="32"/>
          <w:szCs w:val="32"/>
        </w:rPr>
        <w:t>）承担广播、电视、电影方面的服务工作。</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4</w:t>
      </w:r>
      <w:r>
        <w:rPr>
          <w:rFonts w:hint="eastAsia" w:ascii="Times New Roman" w:hAnsi="Times New Roman" w:eastAsia="方正仿宋_GBK"/>
          <w:sz w:val="32"/>
          <w:szCs w:val="32"/>
        </w:rPr>
        <w:t>）承担综合文化场地的开放和服务工作。</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5</w:t>
      </w:r>
      <w:r>
        <w:rPr>
          <w:rFonts w:hint="eastAsia" w:ascii="Times New Roman" w:hAnsi="Times New Roman" w:eastAsia="方正仿宋_GBK"/>
          <w:sz w:val="32"/>
          <w:szCs w:val="32"/>
        </w:rPr>
        <w:t>）承担辖区内文物、非物质文化遗产的挖掘、保护等工作。</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6</w:t>
      </w:r>
      <w:r>
        <w:rPr>
          <w:rFonts w:hint="eastAsia" w:ascii="Times New Roman" w:hAnsi="Times New Roman" w:eastAsia="方正仿宋_GBK"/>
          <w:sz w:val="32"/>
          <w:szCs w:val="32"/>
        </w:rPr>
        <w:t>）承担乡村旅游服务工作。</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w:t>
      </w:r>
      <w:r>
        <w:rPr>
          <w:rFonts w:hint="default" w:ascii="Times New Roman" w:hAnsi="Times New Roman" w:eastAsia="方正仿宋_GBK"/>
          <w:sz w:val="32"/>
          <w:szCs w:val="32"/>
        </w:rPr>
        <w:t>7</w:t>
      </w:r>
      <w:r>
        <w:rPr>
          <w:rFonts w:hint="eastAsia" w:ascii="Times New Roman" w:hAnsi="Times New Roman" w:eastAsia="方正仿宋_GBK"/>
          <w:sz w:val="32"/>
          <w:szCs w:val="32"/>
        </w:rPr>
        <w:t>）承办镇党委、镇政府交办的其他工作任务。</w:t>
      </w:r>
    </w:p>
    <w:p>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Style w:val="10"/>
          <w:rFonts w:hint="default" w:ascii="方正楷体_GBK" w:eastAsia="方正楷体_GBK"/>
          <w:b w:val="0"/>
          <w:sz w:val="32"/>
          <w:szCs w:val="32"/>
        </w:rPr>
      </w:pPr>
      <w:r>
        <w:rPr>
          <w:rStyle w:val="10"/>
          <w:rFonts w:hint="eastAsia" w:ascii="方正楷体_GBK" w:eastAsia="方正楷体_GBK"/>
          <w:b w:val="0"/>
          <w:sz w:val="32"/>
          <w:szCs w:val="32"/>
        </w:rPr>
        <w:t>（二）机构设置</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本单位只有石柱土家族自治县人民政府沿溪镇人民政府文化服务中心一个机构。人员编制共</w:t>
      </w:r>
      <w:r>
        <w:rPr>
          <w:rFonts w:hint="default" w:ascii="Times New Roman" w:hAnsi="Times New Roman" w:eastAsia="方正仿宋_GBK"/>
          <w:sz w:val="32"/>
          <w:szCs w:val="32"/>
        </w:rPr>
        <w:t>1</w:t>
      </w:r>
      <w:r>
        <w:rPr>
          <w:rFonts w:hint="eastAsia" w:ascii="Times New Roman" w:hAnsi="Times New Roman" w:eastAsia="方正仿宋_GBK"/>
          <w:sz w:val="32"/>
          <w:szCs w:val="32"/>
        </w:rPr>
        <w:t>人，实有</w:t>
      </w:r>
      <w:r>
        <w:rPr>
          <w:rFonts w:hint="default" w:ascii="Times New Roman" w:hAnsi="Times New Roman" w:eastAsia="方正仿宋_GBK"/>
          <w:sz w:val="32"/>
          <w:szCs w:val="32"/>
        </w:rPr>
        <w:t>1</w:t>
      </w:r>
      <w:r>
        <w:rPr>
          <w:rFonts w:hint="eastAsia" w:ascii="Times New Roman" w:hAnsi="Times New Roman" w:eastAsia="方正仿宋_GBK"/>
          <w:sz w:val="32"/>
          <w:szCs w:val="32"/>
        </w:rPr>
        <w:t>人。</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Fonts w:hint="default" w:ascii="方正仿宋_GBK" w:hAnsi="方正仿宋_GBK" w:eastAsia="方正仿宋_GBK" w:cs="方正仿宋_GBK"/>
          <w:sz w:val="32"/>
          <w:szCs w:val="32"/>
        </w:rPr>
      </w:pPr>
      <w:r>
        <w:rPr>
          <w:rStyle w:val="10"/>
          <w:rFonts w:hint="eastAsia" w:ascii="方正小标宋_GBK" w:hAnsi="方正小标宋_GBK" w:eastAsia="方正小标宋_GBK" w:cs="方正小标宋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1.总体情况。2023年度收入总计20.37万元，支出总计20.37万元。收支较上年决算数减少0.11万元，下降0.54%，主要原因是落实过紧日子要求，严控支出。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收入情况。2023年度收入合计20.37万元，较上年决算数减少0.11万元，下降0.54%，主要原因是落实过紧日子要求，严控支出。其中：财政拨款收入20.37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支出情况。2023年度支出合计20.37万元，较上年决算数减少0.11万元，下降0.54%，主要原因是落实过紧日子要求，严控支出。其中：基本支出20.37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4.结转结余情况。2023年度年末结转和结余0.00万元，较上年决算数无增减，主要原因是严格执行预算。</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2023年度财政拨款收、支总计20.37万元。与2022年相比，财政拨款收、支总计各减少0.11万元，下降0.54%。主要原因是落实过紧日子要求，严控支出。</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收入情况。2023年度一般公共预算财政拨款收入20.37万元，较上年决算数减少0.11万元，下降0.54%。主要原因是落实过紧日子要求，严控支出。较年初预算数增加2.31万元，增长12.79%。主要原因是人员经费调标。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2.支出情况。2023年度一般公共预算财政拨款支出20.37万元，较上年决算数减少0.11万元，下降0.54%。主要原因是落实过紧日子要求，严控支出。较年初预算数增加2.31万元，增长12.79%。主要原因是人员经费调标。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3.结转结余情况。2023年度年末一般公共预算财政拨款结转和结余0.00万元，较上年决算数无增减，主要原因是严格执行预算。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xml:space="preserve"> 4.比较情况。本单位2023年度一般公共预算财政拨款支出主要用于以下几个方面：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（1）文化旅游体育与传媒支出14.22万元，占69.80%，较年初预算数增加1.73万元，增长13.85%，主要原因是</w:t>
      </w:r>
      <w:r>
        <w:rPr>
          <w:rFonts w:hint="eastAsia" w:ascii="Times New Roman" w:hAnsi="Times New Roman" w:eastAsia="方正仿宋_GBK"/>
          <w:sz w:val="32"/>
          <w:szCs w:val="32"/>
        </w:rPr>
        <w:t>乡村振兴项目增多，支出变大</w:t>
      </w:r>
      <w:r>
        <w:rPr>
          <w:rFonts w:hint="eastAsia" w:ascii="Times New Roman" w:hAnsi="Times New Roman" w:eastAsia="方正仿宋_GBK" w:cs="Times New Roman"/>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（2）社会保障与就业支出4.26万元，占20.93%，较年初预算数增加0.48万元，增长12.70%，主要原因是</w:t>
      </w:r>
      <w:r>
        <w:rPr>
          <w:rFonts w:hint="eastAsia" w:ascii="Times New Roman" w:hAnsi="Times New Roman" w:eastAsia="方正仿宋_GBK"/>
          <w:sz w:val="32"/>
          <w:szCs w:val="32"/>
        </w:rPr>
        <w:t>工资调标导致保险和职业年金支出增加</w:t>
      </w:r>
      <w:r>
        <w:rPr>
          <w:rFonts w:hint="eastAsia" w:ascii="Times New Roman" w:hAnsi="Times New Roman" w:eastAsia="方正仿宋_GBK" w:cs="Times New Roman"/>
          <w:sz w:val="32"/>
          <w:szCs w:val="32"/>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（3）卫生健康支出1.10万元，占5.38%，较年初预算数增加0.05万元，增长4.76%，主要原因是工资调标。</w:t>
      </w:r>
    </w:p>
    <w:p>
      <w:pPr>
        <w:keepNext w:val="0"/>
        <w:keepLines w:val="0"/>
        <w:pageBreakBefore w:val="0"/>
        <w:widowControl/>
        <w:kinsoku/>
        <w:wordWrap/>
        <w:overflowPunct/>
        <w:topLinePunct w:val="0"/>
        <w:autoSpaceDN/>
        <w:bidi w:val="0"/>
        <w:adjustRightInd/>
        <w:spacing w:beforeAutospacing="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（4）住房保障支出0.79万元，占3.88%，较年初预算数增加0.05万元，增长6.76%，主要原因是</w:t>
      </w:r>
      <w:r>
        <w:rPr>
          <w:rFonts w:hint="eastAsia" w:ascii="Times New Roman" w:hAnsi="Times New Roman" w:eastAsia="方正仿宋_GBK"/>
          <w:sz w:val="32"/>
          <w:szCs w:val="32"/>
        </w:rPr>
        <w:t>工资调标导致</w:t>
      </w:r>
      <w:r>
        <w:rPr>
          <w:rFonts w:hint="eastAsia" w:ascii="Times New Roman" w:hAnsi="Times New Roman" w:eastAsia="方正仿宋_GBK"/>
          <w:sz w:val="32"/>
          <w:szCs w:val="32"/>
          <w:lang w:eastAsia="zh-CN"/>
        </w:rPr>
        <w:t>住房公积金</w:t>
      </w:r>
      <w:r>
        <w:rPr>
          <w:rFonts w:hint="eastAsia" w:ascii="Times New Roman" w:hAnsi="Times New Roman" w:eastAsia="方正仿宋_GBK"/>
          <w:sz w:val="32"/>
          <w:szCs w:val="32"/>
        </w:rPr>
        <w:t>支出增加</w:t>
      </w:r>
      <w:r>
        <w:rPr>
          <w:rFonts w:hint="eastAsia" w:ascii="Times New Roman" w:hAnsi="Times New Roman" w:eastAsia="方正仿宋_GBK" w:cs="Times New Roman"/>
          <w:sz w:val="32"/>
          <w:szCs w:val="32"/>
          <w:lang w:val="en-US" w:eastAsia="zh-CN" w:bidi="ar-SA"/>
        </w:rPr>
        <w:t>。</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2023年度一般公共财政拨款基本支出20.37万元。其中：人员经费18.25万元，较上年决算数增加0.39万元，增长2.18%，主要原因是</w:t>
      </w:r>
      <w:r>
        <w:rPr>
          <w:rFonts w:hint="eastAsia" w:ascii="Times New Roman" w:hAnsi="Times New Roman" w:eastAsia="方正仿宋_GBK"/>
          <w:sz w:val="32"/>
          <w:szCs w:val="32"/>
        </w:rPr>
        <w:t>工资调标</w:t>
      </w:r>
      <w:r>
        <w:rPr>
          <w:rFonts w:hint="eastAsia" w:ascii="Times New Roman" w:hAnsi="Times New Roman" w:eastAsia="方正仿宋_GBK" w:cs="Times New Roman"/>
          <w:sz w:val="32"/>
          <w:szCs w:val="32"/>
          <w:lang w:val="en-US" w:eastAsia="zh-CN" w:bidi="ar-SA"/>
        </w:rPr>
        <w:t>。人员经费用途主要包括</w:t>
      </w:r>
      <w:r>
        <w:rPr>
          <w:rFonts w:hint="eastAsia" w:ascii="Times New Roman" w:hAnsi="Times New Roman" w:eastAsia="方正仿宋_GBK"/>
          <w:sz w:val="32"/>
          <w:szCs w:val="32"/>
        </w:rPr>
        <w:t>基本工资、津补贴、基础绩效工资、养老保险、职业年金、医疗保险等</w:t>
      </w:r>
      <w:r>
        <w:rPr>
          <w:rFonts w:hint="eastAsia" w:ascii="Times New Roman" w:hAnsi="Times New Roman" w:eastAsia="方正仿宋_GBK" w:cs="Times New Roman"/>
          <w:sz w:val="32"/>
          <w:szCs w:val="32"/>
          <w:lang w:val="en-US" w:eastAsia="zh-CN" w:bidi="ar-SA"/>
        </w:rPr>
        <w:t>。公用经费2.12万元，较上年决算数减少0.50万元，下降19.08%，主要原因是落实过紧日子要求，严控支出。公用经费用途主要包括</w:t>
      </w:r>
      <w:r>
        <w:rPr>
          <w:rFonts w:hint="eastAsia" w:ascii="Times New Roman" w:hAnsi="Times New Roman" w:eastAsia="方正仿宋_GBK"/>
          <w:sz w:val="32"/>
          <w:szCs w:val="32"/>
        </w:rPr>
        <w:t>办公费、水费、电费等</w:t>
      </w:r>
      <w:r>
        <w:rPr>
          <w:rFonts w:hint="eastAsia" w:ascii="Times New Roman" w:hAnsi="Times New Roman" w:eastAsia="方正仿宋_GBK" w:cs="Times New Roman"/>
          <w:sz w:val="32"/>
          <w:szCs w:val="32"/>
          <w:lang w:val="en-US" w:eastAsia="zh-CN" w:bidi="ar-SA"/>
        </w:rPr>
        <w:t>。</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（一）“三公”经费支出总体情况说明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2023年度“三公”经费支出共计0.49万元，较年初预算数减少0.41万元，下降45.56%，主要原因是落实过紧日子要求，严控支出。较上年支出数减少0.01万元，下降2.00%，主要原因是落实过紧日子要求，严控支出。</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（二）“三公”经费分项支出情况</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年度本单位无因公出国（境）费用。</w:t>
      </w:r>
    </w:p>
    <w:p>
      <w:pPr>
        <w:keepLines w:val="0"/>
        <w:pageBreakBefore w:val="0"/>
        <w:widowControl/>
        <w:kinsoku/>
        <w:wordWrap/>
        <w:overflowPunct/>
        <w:topLinePunct/>
        <w:bidi w:val="0"/>
        <w:spacing w:beforeLines="0" w:afterLines="0" w:line="540" w:lineRule="exact"/>
        <w:ind w:firstLine="640" w:firstLineChars="200"/>
        <w:textAlignment w:val="auto"/>
        <w:rPr>
          <w:rFonts w:hint="eastAsia" w:ascii="Times New Roman" w:hAnsi="Times New Roman" w:eastAsia="方正仿宋_GBK"/>
          <w:sz w:val="32"/>
          <w:szCs w:val="32"/>
          <w:lang w:val="en-US" w:eastAsia="zh-CN"/>
        </w:rPr>
      </w:pP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年度本单位无公务车购置费</w:t>
      </w:r>
      <w:r>
        <w:rPr>
          <w:rFonts w:hint="eastAsia" w:ascii="Times New Roman" w:hAnsi="Times New Roman" w:eastAsia="方正仿宋_GBK"/>
          <w:sz w:val="32"/>
          <w:szCs w:val="32"/>
          <w:lang w:eastAsia="zh-CN"/>
        </w:rPr>
        <w:t>。</w:t>
      </w:r>
    </w:p>
    <w:p>
      <w:pPr>
        <w:keepLines w:val="0"/>
        <w:pageBreakBefore w:val="0"/>
        <w:widowControl/>
        <w:kinsoku/>
        <w:wordWrap/>
        <w:overflowPunct/>
        <w:topLinePunct/>
        <w:bidi w:val="0"/>
        <w:spacing w:beforeLines="0" w:afterLines="0" w:line="540" w:lineRule="exact"/>
        <w:ind w:firstLine="640" w:firstLineChars="200"/>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年度本单位无公务车运行维护费</w:t>
      </w:r>
      <w:r>
        <w:rPr>
          <w:rFonts w:hint="eastAsia" w:ascii="Times New Roman" w:hAnsi="Times New Roman" w:eastAsia="方正仿宋_GBK"/>
          <w:sz w:val="32"/>
          <w:szCs w:val="32"/>
          <w:lang w:eastAsia="zh-CN"/>
        </w:rPr>
        <w:t>。</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公务接待费0.49万元，主要用于接待</w:t>
      </w:r>
      <w:r>
        <w:rPr>
          <w:rFonts w:hint="eastAsia" w:ascii="Times New Roman" w:hAnsi="Times New Roman" w:eastAsia="方正仿宋_GBK"/>
          <w:sz w:val="32"/>
          <w:szCs w:val="32"/>
        </w:rPr>
        <w:t>上级及相关部门检查指导工作发生的接待开支</w:t>
      </w:r>
      <w:r>
        <w:rPr>
          <w:rFonts w:hint="eastAsia" w:ascii="Times New Roman" w:hAnsi="Times New Roman" w:eastAsia="方正仿宋_GBK" w:cs="Times New Roman"/>
          <w:sz w:val="32"/>
          <w:szCs w:val="32"/>
          <w:lang w:val="en-US" w:eastAsia="zh-CN" w:bidi="ar-SA"/>
        </w:rPr>
        <w:t>。费用支出较年初预算数减少0.01万元，下降2.00%，主要原因是落实过紧日子要求，严控支出。较上年支出数减少0.01万元，下降2.00%，主要原因是落实过紧日子要求，严控支出。</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（三）“三公”经费实物量情况</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2023年度本单位因公出国（境）共计0个团组，0人；公务用车购置0辆，公务车保有量为0辆；国内公务接待87批次203人，其中：国内外事接待0批次，0人；国（境）外公务接待0批次，0人。2023年本单位人均接待费24.14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楷体" w:hAnsi="楷体" w:eastAsia="楷体" w:cs="楷体"/>
          <w:b/>
          <w:bCs/>
          <w:sz w:val="32"/>
          <w:szCs w:val="32"/>
          <w:shd w:val="clear" w:color="auto" w:fill="FFFFFF"/>
        </w:rPr>
        <w:t> </w:t>
      </w:r>
      <w:r>
        <w:rPr>
          <w:rFonts w:hint="eastAsia" w:ascii="Times New Roman" w:hAnsi="Times New Roman" w:eastAsia="方正仿宋_GBK" w:cs="Times New Roman"/>
          <w:sz w:val="32"/>
          <w:szCs w:val="32"/>
          <w:lang w:val="en-US" w:eastAsia="zh-CN" w:bidi="ar-SA"/>
        </w:rPr>
        <w:t>（一）财政拨款会议费和培训费情况说明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本年度会议费支出0.08万元，较上年决算数减少0.02万元，下降20.00%，主要原因是落实过紧日子要求，严控支出。本年度培训费支出0.08万元，较上年决算数减少0.02万元，下降20.00%，主要原因是落实过紧日子要求，严控支出。</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（三）国有资产占用情况说明</w:t>
      </w:r>
    </w:p>
    <w:p>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xml:space="preserve">  </w:t>
      </w:r>
      <w:r>
        <w:rPr>
          <w:rFonts w:hint="eastAsia" w:ascii="Times New Roman" w:hAnsi="Times New Roman" w:eastAsia="方正仿宋_GBK"/>
          <w:sz w:val="32"/>
          <w:szCs w:val="32"/>
        </w:rPr>
        <w:t>因本单位属于二级预算单位，我单位资产纳入本级决算报表。</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（四）政府采购支出情况说明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xml:space="preserve">  </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lang w:eastAsia="zh-CN"/>
        </w:rPr>
        <w:t>五、</w:t>
      </w:r>
      <w:r>
        <w:rPr>
          <w:rStyle w:val="10"/>
          <w:rFonts w:hint="eastAsia" w:ascii="方正小标宋_GBK" w:hAnsi="方正小标宋_GBK" w:eastAsia="方正小标宋_GBK" w:cs="方正小标宋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（一）单位自评情况</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default" w:ascii="Times New Roman" w:hAnsi="Times New Roman" w:eastAsia="方正仿宋_GBK"/>
          <w:sz w:val="32"/>
          <w:szCs w:val="32"/>
        </w:rPr>
      </w:pPr>
      <w:r>
        <w:rPr>
          <w:rFonts w:hint="eastAsia" w:ascii="Times New Roman" w:hAnsi="Times New Roman" w:eastAsia="方正仿宋_GBK"/>
          <w:sz w:val="32"/>
          <w:szCs w:val="32"/>
        </w:rPr>
        <w:t>因本单位属于二级预算单位，预算绩效管理项目全部由本级管理，故</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年度我单位无预算绩效项目。</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（二）单位绩效评价情况（如有）</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（三）财政绩效评价情况（如有）</w:t>
      </w:r>
    </w:p>
    <w:p>
      <w:pPr>
        <w:pStyle w:val="11"/>
        <w:keepNext w:val="0"/>
        <w:keepLines w:val="0"/>
        <w:pageBreakBefore w:val="0"/>
        <w:widowControl/>
        <w:kinsoku/>
        <w:wordWrap/>
        <w:overflowPunct/>
        <w:topLinePunct w:val="0"/>
        <w:autoSpaceDE w:val="0"/>
        <w:autoSpaceDN/>
        <w:bidi w:val="0"/>
        <w:adjustRightInd/>
        <w:spacing w:beforeAutospacing="0" w:line="540" w:lineRule="exact"/>
        <w:ind w:firstLine="643"/>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小标宋_GBK" w:hAnsi="方正小标宋_GBK" w:eastAsia="方正小标宋_GBK" w:cs="方正小标宋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（一）财政拨款收入：指本年度从本级财政部门取得的财政拨款，包括一般公共预算财政拨款和政府性基金预算财政拨款。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（二）事业收入：指事业单位开展专业业务活动及其辅助活动取得的现金流入；事业单位收到的财政专户实际核拨的教育收费等资金在此反映。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（三）经营收入：指事业单位在专业业务活动及其辅助活动之外开展非独立核算经营活动取得的现金流入。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（六）年初结转和结余：指单位上年结转本年使用的基本支出结转、项目支出结转和结余、经营结余。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（七）结余分配：指单位按照国家有关规定，缴纳所得税、提取专用基金、转入非财政拨款结余等当年结余的分配情况。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（八）年末结转和结余：指单位结转下年的基本支出结转、项目支出结转和结余、经营结余。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（十）项目支出：指在基本支出之外为完成特定行政任务和事业发展目标所发生的支出。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（十一）经营支出：指事业单位在专业业务活动及其辅助活动之外开展非独立核算经营活动发生的支出。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（十四）工资福利支出（支出经济分类科目类级）：反映单位开支的在职职工和编制外长期聘用人员的各类劳动报酬，以及为上述人员缴纳的各项社会保险费等。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（十五）商品和服务支出（支出经济分类科目类级）：反映单位购买商品和服务的支出（不包括用于购置固定资产的支出、战略性和应急储备支出）。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（十六）对个人和家庭的补助（支出经济分类科目类级）：反映用于对个人和家庭的补助支出。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  七、决算公开联系方式及信息反馈渠道</w:t>
      </w:r>
    </w:p>
    <w:p>
      <w:pPr>
        <w:keepNext/>
        <w:keepLines w:val="0"/>
        <w:pageBreakBefore w:val="0"/>
        <w:widowControl/>
        <w:suppressLineNumbers/>
        <w:kinsoku/>
        <w:wordWrap/>
        <w:overflowPunct/>
        <w:autoSpaceDE w:val="0"/>
        <w:autoSpaceDN w:val="0"/>
        <w:bidi w:val="0"/>
        <w:adjustRightInd w:val="0"/>
        <w:spacing w:beforeLines="0" w:afterLines="0" w:line="540" w:lineRule="exact"/>
        <w:ind w:firstLine="560"/>
        <w:jc w:val="left"/>
        <w:textAlignment w:val="auto"/>
        <w:rPr>
          <w:rFonts w:hint="default" w:ascii="Times New Roman" w:hAnsi="Times New Roman" w:eastAsia="方正仿宋_GBK"/>
          <w:sz w:val="32"/>
          <w:szCs w:val="32"/>
        </w:rPr>
      </w:pPr>
      <w:r>
        <w:rPr>
          <w:rFonts w:hint="eastAsia" w:ascii="Times New Roman" w:hAnsi="Times New Roman" w:eastAsia="方正仿宋_GBK" w:cs="Times New Roman"/>
          <w:sz w:val="32"/>
          <w:szCs w:val="32"/>
          <w:lang w:val="en-US" w:eastAsia="zh-CN" w:bidi="ar-SA"/>
        </w:rPr>
        <w:t>本单位决算公开信息反馈和联系方式：</w:t>
      </w:r>
      <w:r>
        <w:rPr>
          <w:rFonts w:hint="default" w:ascii="Times New Roman" w:hAnsi="Times New Roman" w:eastAsia="方正仿宋_GBK"/>
          <w:sz w:val="32"/>
          <w:szCs w:val="32"/>
        </w:rPr>
        <w:t>023-73367001</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rPr>
          <w:rFonts w:hint="eastAsia" w:ascii="Times New Roman" w:hAnsi="Times New Roman" w:eastAsia="方正仿宋_GBK" w:cs="Times New Roman"/>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重庆市石柱土家族自治县沿溪镇文化服务中心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重庆市石柱土家族自治县沿溪镇文化服务中心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重庆市石柱土家族自治县沿溪镇文化服务中心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18.25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wODg1MWJiNWVhNTYwOTgyMGQyNGFhNjA2ODk4N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381FD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61919"/>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BF0DB6"/>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10449</Words>
  <Characters>12519</Characters>
  <Lines>190</Lines>
  <Paragraphs>53</Paragraphs>
  <TotalTime>0</TotalTime>
  <ScaleCrop>false</ScaleCrop>
  <LinksUpToDate>false</LinksUpToDate>
  <CharactersWithSpaces>13602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2024-10-10T15:13:51Z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