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sz w:val="32"/>
        </w:rPr>
      </w:pPr>
      <w:r>
        <w:rPr>
          <w:rFonts w:ascii="仿宋_GB2312" w:hAnsi="仿宋_GB2312" w:eastAsia="仿宋_GB2312"/>
          <w:sz w:val="32"/>
        </w:rPr>
        <mc:AlternateContent>
          <mc:Choice Requires="wps">
            <w:drawing>
              <wp:anchor distT="0" distB="0" distL="114300" distR="114300" simplePos="0" relativeHeight="251658240" behindDoc="0" locked="0" layoutInCell="1" allowOverlap="0">
                <wp:simplePos x="0" y="0"/>
                <wp:positionH relativeFrom="page">
                  <wp:posOffset>1390650</wp:posOffset>
                </wp:positionH>
                <wp:positionV relativeFrom="page">
                  <wp:posOffset>1476375</wp:posOffset>
                </wp:positionV>
                <wp:extent cx="5276850" cy="724535"/>
                <wp:effectExtent l="0" t="0" r="0" b="0"/>
                <wp:wrapSquare wrapText="bothSides"/>
                <wp:docPr id="4" name="文本框 4"/>
                <wp:cNvGraphicFramePr/>
                <a:graphic xmlns:a="http://schemas.openxmlformats.org/drawingml/2006/main">
                  <a:graphicData uri="http://schemas.microsoft.com/office/word/2010/wordprocessingShape">
                    <wps:wsp>
                      <wps:cNvSpPr txBox="true">
                        <a:spLocks noChangeArrowheads="true" noChangeShapeType="true"/>
                      </wps:cNvSpPr>
                      <wps:spPr bwMode="auto">
                        <a:xfrm>
                          <a:off x="0" y="0"/>
                          <a:ext cx="5276850" cy="724535"/>
                        </a:xfrm>
                        <a:prstGeom prst="rect">
                          <a:avLst/>
                        </a:prstGeom>
                        <a:noFill/>
                        <a:ln>
                          <a:noFill/>
                        </a:ln>
                        <a:effectLst/>
                      </wps:spPr>
                      <wps:txbx>
                        <w:txbxContent>
                          <w:p>
                            <w:pPr>
                              <w:pStyle w:val="6"/>
                              <w:spacing w:before="0" w:beforeAutospacing="0" w:after="0" w:afterAutospacing="0"/>
                              <w:jc w:val="center"/>
                            </w:pPr>
                            <w:r>
                              <w:rPr>
                                <w:rFonts w:hint="eastAsia"/>
                                <w:color w:val="FF0000"/>
                                <w:sz w:val="72"/>
                                <w:szCs w:val="72"/>
                              </w:rPr>
                              <w:t>沿溪镇人民政府文件</w:t>
                            </w:r>
                          </w:p>
                        </w:txbxContent>
                      </wps:txbx>
                      <wps:bodyPr wrap="square" numCol="1" fromWordArt="true">
                        <a:prstTxWarp prst="textPlain">
                          <a:avLst>
                            <a:gd name="adj" fmla="val 50000"/>
                          </a:avLst>
                        </a:prstTxWarp>
                        <a:spAutoFit/>
                      </wps:bodyPr>
                    </wps:wsp>
                  </a:graphicData>
                </a:graphic>
              </wp:anchor>
            </w:drawing>
          </mc:Choice>
          <mc:Fallback>
            <w:pict>
              <v:shape id="_x0000_s1026" o:spid="_x0000_s1026" o:spt="202" type="#_x0000_t202" style="position:absolute;left:0pt;margin-left:109.5pt;margin-top:116.25pt;height:57.05pt;width:415.5pt;mso-position-horizontal-relative:page;mso-position-vertical-relative:page;mso-wrap-distance-bottom:0pt;mso-wrap-distance-left:9pt;mso-wrap-distance-right:9pt;mso-wrap-distance-top:0pt;z-index:251658240;mso-width-relative:page;mso-height-relative:page;" filled="f" stroked="f" coordsize="21600,21600" o:allowoverlap="f" o:gfxdata="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C0CWqNsAAAAMAQAADwAAAAAAAAABACAAAAA4AAAAZHJzL2Rvd25yZXYueG1s&#10;UEsBAhQAFAAAAAgAh07iQDE7gf8YAgAACQQAAA4AAAAAAAAAAQAgAAAAQAEAAGRycy9lMm9Eb2Mu&#10;eG1sUEsFBgAAAAAGAAYAWQEAAMoFAAAAAA==&#10;" adj="10800">
                <v:fill on="f" focussize="0,0"/>
                <v:stroke on="f"/>
                <v:imagedata o:title=""/>
                <o:lock v:ext="edit" aspectratio="f"/>
                <v:textbox style="mso-fit-shape-to-text:t;">
                  <w:txbxContent>
                    <w:p>
                      <w:pPr>
                        <w:pStyle w:val="6"/>
                        <w:spacing w:before="0" w:beforeAutospacing="0" w:after="0" w:afterAutospacing="0"/>
                        <w:jc w:val="center"/>
                      </w:pPr>
                      <w:r>
                        <w:rPr>
                          <w:rFonts w:hint="eastAsia"/>
                          <w:color w:val="FF0000"/>
                          <w:sz w:val="72"/>
                          <w:szCs w:val="72"/>
                        </w:rPr>
                        <w:t>沿溪镇人民政府文件</w:t>
                      </w:r>
                    </w:p>
                  </w:txbxContent>
                </v:textbox>
                <w10:wrap type="square"/>
              </v:shape>
            </w:pict>
          </mc:Fallback>
        </mc:AlternateContent>
      </w:r>
    </w:p>
    <w:p>
      <w:pPr>
        <w:spacing w:line="560" w:lineRule="exact"/>
        <w:jc w:val="center"/>
        <w:rPr>
          <w:rFonts w:ascii="仿宋_GB2312" w:hAnsi="仿宋_GB2312" w:eastAsia="仿宋_GB2312"/>
          <w:sz w:val="32"/>
        </w:rPr>
      </w:pPr>
    </w:p>
    <w:p>
      <w:pPr>
        <w:spacing w:line="560" w:lineRule="exact"/>
        <w:jc w:val="center"/>
        <w:rPr>
          <w:rFonts w:ascii="仿宋_GB2312" w:hAnsi="仿宋_GB2312" w:eastAsia="仿宋_GB2312"/>
          <w:sz w:val="32"/>
        </w:rPr>
      </w:pPr>
    </w:p>
    <w:p>
      <w:pPr>
        <w:spacing w:line="560" w:lineRule="exact"/>
        <w:jc w:val="center"/>
        <w:rPr>
          <w:rFonts w:ascii="仿宋_GB2312" w:hAnsi="仿宋_GB2312" w:eastAsia="仿宋_GB2312"/>
          <w:sz w:val="32"/>
        </w:rPr>
      </w:pPr>
    </w:p>
    <w:p>
      <w:pPr>
        <w:overflowPunct w:val="0"/>
        <w:spacing w:line="560" w:lineRule="exact"/>
        <w:jc w:val="center"/>
        <w:rPr>
          <w:rFonts w:eastAsia="方正仿宋_GBK"/>
          <w:sz w:val="32"/>
          <w:szCs w:val="32"/>
        </w:rPr>
      </w:pPr>
      <w:bookmarkStart w:id="0" w:name="_GoBack"/>
      <w:r>
        <w:rPr>
          <w:rFonts w:eastAsia="方正仿宋_GBK"/>
          <w:sz w:val="32"/>
          <w:szCs w:val="32"/>
        </w:rPr>
        <w:t>沿镇府发〔2022〕140号</w:t>
      </w:r>
    </w:p>
    <w:p>
      <w:pPr>
        <w:spacing w:line="560" w:lineRule="exact"/>
        <w:jc w:val="center"/>
        <w:rPr>
          <w:rFonts w:ascii="仿宋_GB2312" w:hAnsi="仿宋_GB2312" w:eastAsia="仿宋_GB2312"/>
          <w:sz w:val="32"/>
        </w:rPr>
      </w:pPr>
      <w:r>
        <w:rPr>
          <w:rFonts w:ascii="仿宋_GB2312" w:hAnsi="仿宋_GB2312" w:eastAsia="仿宋_GB2312"/>
          <w:sz w:val="32"/>
        </w:rPr>
        <mc:AlternateContent>
          <mc:Choice Requires="wps">
            <w:drawing>
              <wp:anchor distT="0" distB="0" distL="114300" distR="114300" simplePos="0" relativeHeight="251658240" behindDoc="0" locked="0" layoutInCell="1" allowOverlap="1">
                <wp:simplePos x="0" y="0"/>
                <wp:positionH relativeFrom="column">
                  <wp:posOffset>277495</wp:posOffset>
                </wp:positionH>
                <wp:positionV relativeFrom="paragraph">
                  <wp:posOffset>33020</wp:posOffset>
                </wp:positionV>
                <wp:extent cx="5467350" cy="0"/>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467350" cy="0"/>
                        </a:xfrm>
                        <a:prstGeom prst="line">
                          <a:avLst/>
                        </a:prstGeom>
                        <a:noFill/>
                        <a:ln w="15875">
                          <a:solidFill>
                            <a:srgbClr val="FF0000"/>
                          </a:solidFill>
                          <a:round/>
                        </a:ln>
                        <a:effectLst/>
                      </wps:spPr>
                      <wps:bodyPr/>
                    </wps:wsp>
                  </a:graphicData>
                </a:graphic>
              </wp:anchor>
            </w:drawing>
          </mc:Choice>
          <mc:Fallback>
            <w:pict>
              <v:line id="_x0000_s1026" o:spid="_x0000_s1026" o:spt="20" style="position:absolute;left:0pt;margin-left:21.85pt;margin-top:2.6pt;height:0pt;width:430.5pt;z-index:251658240;mso-width-relative:page;mso-height-relative:page;" filled="f" stroked="t" coordsize="21600,21600" o:gfxdata="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fC6SvTAAAA&#10;BgEAAA8AAAAAAAAAAQAgAAAAOAAAAGRycy9kb3ducmV2LnhtbFBLAQIUABQAAAAIAIdO4kCzLFSx&#10;0wEAAG4DAAAOAAAAAAAAAAEAIAAAADgBAABkcnMvZTJvRG9jLnhtbFBLBQYAAAAABgAGAFkBAAB9&#10;BQAAAAA=&#10;">
                <v:fill on="f" focussize="0,0"/>
                <v:stroke weight="1.25pt" color="#FF0000" joinstyle="round"/>
                <v:imagedata o:title=""/>
                <o:lock v:ext="edit" aspectratio="f"/>
              </v:line>
            </w:pict>
          </mc:Fallback>
        </mc:AlternateContent>
      </w:r>
    </w:p>
    <w:p>
      <w:pPr>
        <w:spacing w:line="594" w:lineRule="exact"/>
        <w:ind w:left="61"/>
        <w:jc w:val="center"/>
        <w:rPr>
          <w:rFonts w:eastAsia="方正小标宋_GBK"/>
          <w:sz w:val="44"/>
          <w:szCs w:val="44"/>
        </w:rPr>
      </w:pPr>
      <w:r>
        <w:rPr>
          <w:rFonts w:eastAsia="方正小标宋_GBK"/>
          <w:sz w:val="44"/>
          <w:szCs w:val="44"/>
        </w:rPr>
        <w:t>石柱土家族自治县沿溪镇人民政府</w:t>
      </w:r>
    </w:p>
    <w:p>
      <w:pPr>
        <w:spacing w:line="594" w:lineRule="exact"/>
        <w:ind w:left="61"/>
        <w:jc w:val="center"/>
        <w:rPr>
          <w:rFonts w:ascii="宋体" w:hAnsi="宋体" w:cs="宋体"/>
          <w:sz w:val="42"/>
          <w:szCs w:val="42"/>
        </w:rPr>
      </w:pPr>
      <w:r>
        <w:rPr>
          <w:rFonts w:eastAsia="方正小标宋_GBK"/>
          <w:snapToGrid w:val="0"/>
          <w:color w:val="000000"/>
          <w:sz w:val="44"/>
          <w:szCs w:val="44"/>
        </w:rPr>
        <w:t>关于</w:t>
      </w:r>
      <w:r>
        <w:rPr>
          <w:rFonts w:hint="eastAsia" w:eastAsia="方正小标宋_GBK"/>
          <w:snapToGrid w:val="0"/>
          <w:color w:val="000000"/>
          <w:sz w:val="44"/>
          <w:szCs w:val="44"/>
        </w:rPr>
        <w:t>开展</w:t>
      </w:r>
      <w:r>
        <w:rPr>
          <w:rFonts w:hint="eastAsia" w:eastAsia="方正小标宋_GBK"/>
          <w:snapToGrid w:val="0"/>
          <w:sz w:val="44"/>
          <w:szCs w:val="44"/>
        </w:rPr>
        <w:t>2022年</w:t>
      </w:r>
      <w:r>
        <w:rPr>
          <w:rFonts w:eastAsia="方正小标宋_GBK"/>
          <w:snapToGrid w:val="0"/>
          <w:sz w:val="44"/>
          <w:szCs w:val="44"/>
        </w:rPr>
        <w:t>农村人居环境整治</w:t>
      </w:r>
      <w:r>
        <w:rPr>
          <w:rFonts w:hint="eastAsia" w:eastAsia="方正小标宋_GBK"/>
          <w:snapToGrid w:val="0"/>
          <w:sz w:val="44"/>
          <w:szCs w:val="44"/>
        </w:rPr>
        <w:t>提升</w:t>
      </w:r>
      <w:r>
        <w:rPr>
          <w:rFonts w:eastAsia="方正小标宋_GBK"/>
          <w:snapToGrid w:val="0"/>
          <w:sz w:val="44"/>
          <w:szCs w:val="44"/>
        </w:rPr>
        <w:t>村庄清洁行动</w:t>
      </w:r>
      <w:r>
        <w:rPr>
          <w:rFonts w:hint="eastAsia" w:eastAsia="方正小标宋_GBK"/>
          <w:snapToGrid w:val="0"/>
          <w:sz w:val="44"/>
          <w:szCs w:val="44"/>
        </w:rPr>
        <w:t>冬</w:t>
      </w:r>
      <w:r>
        <w:rPr>
          <w:rFonts w:eastAsia="方正小标宋_GBK"/>
          <w:snapToGrid w:val="0"/>
          <w:sz w:val="44"/>
          <w:szCs w:val="44"/>
        </w:rPr>
        <w:t>季战役</w:t>
      </w:r>
      <w:r>
        <w:rPr>
          <w:rFonts w:hint="eastAsia" w:eastAsia="方正小标宋_GBK"/>
          <w:snapToGrid w:val="0"/>
          <w:sz w:val="44"/>
          <w:szCs w:val="44"/>
        </w:rPr>
        <w:t>系列活动</w:t>
      </w:r>
      <w:r>
        <w:rPr>
          <w:rFonts w:eastAsia="方正小标宋_GBK"/>
          <w:snapToGrid w:val="0"/>
          <w:color w:val="000000"/>
          <w:sz w:val="44"/>
          <w:szCs w:val="44"/>
        </w:rPr>
        <w:t>的通知</w:t>
      </w:r>
    </w:p>
    <w:bookmarkEnd w:id="0"/>
    <w:p>
      <w:pPr>
        <w:spacing w:before="9" w:line="594" w:lineRule="exact"/>
        <w:rPr>
          <w:rFonts w:ascii="宋体" w:hAnsi="宋体" w:cs="宋体"/>
          <w:sz w:val="49"/>
          <w:szCs w:val="49"/>
        </w:rPr>
      </w:pPr>
    </w:p>
    <w:p>
      <w:pPr>
        <w:spacing w:line="594" w:lineRule="exact"/>
        <w:rPr>
          <w:rFonts w:eastAsia="方正仿宋_GBK"/>
          <w:sz w:val="32"/>
          <w:szCs w:val="32"/>
        </w:rPr>
      </w:pPr>
      <w:r>
        <w:rPr>
          <w:rFonts w:eastAsia="方正仿宋_GBK"/>
          <w:sz w:val="32"/>
          <w:szCs w:val="32"/>
        </w:rPr>
        <w:t>各村（社区）、镇属各部门：</w:t>
      </w:r>
    </w:p>
    <w:p>
      <w:pPr>
        <w:snapToGrid w:val="0"/>
        <w:spacing w:line="600" w:lineRule="exact"/>
        <w:ind w:firstLine="640" w:firstLineChars="200"/>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扎实推进乡村建设行动，常态化开展村庄清洁行动，助推农村人居环境整治提升，根据《重庆市农村人居环境整治工作领导小组办公室&lt;关于组织开展村庄清洁行动秋冬战役系列活动的通知&gt;》文件有关要求，从即日起，在全镇开展村庄清洁系列活动，以更干净、更整洁、更美丽、更宜居的村庄环境喜迎2023年新春佳节，现将有关事项通知如下。</w:t>
      </w:r>
    </w:p>
    <w:p>
      <w:pPr>
        <w:snapToGrid w:val="0"/>
        <w:spacing w:line="600" w:lineRule="exact"/>
        <w:ind w:left="638" w:leftChars="304"/>
        <w:jc w:val="lef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一、活动主题</w:t>
      </w:r>
    </w:p>
    <w:p>
      <w:pPr>
        <w:snapToGrid w:val="0"/>
        <w:spacing w:line="600" w:lineRule="exact"/>
        <w:ind w:left="638" w:leftChars="304"/>
        <w:jc w:val="left"/>
        <w:rPr>
          <w:rFonts w:eastAsia="方正仿宋_GBK"/>
          <w:snapToGrid w:val="0"/>
          <w:sz w:val="32"/>
          <w:szCs w:val="32"/>
        </w:rPr>
      </w:pPr>
      <w:r>
        <w:rPr>
          <w:rFonts w:hint="eastAsia" w:eastAsia="方正仿宋_GBK"/>
          <w:snapToGrid w:val="0"/>
          <w:sz w:val="32"/>
          <w:szCs w:val="32"/>
        </w:rPr>
        <w:t>“户户搞卫生，村村换新颜，喜迎新春佳节”为主题。</w:t>
      </w:r>
    </w:p>
    <w:p>
      <w:pPr>
        <w:snapToGrid w:val="0"/>
        <w:spacing w:line="600" w:lineRule="exact"/>
        <w:ind w:left="638" w:leftChars="304"/>
        <w:jc w:val="lef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二、活动时间</w:t>
      </w:r>
    </w:p>
    <w:p>
      <w:pPr>
        <w:snapToGrid w:val="0"/>
        <w:spacing w:line="600" w:lineRule="exact"/>
        <w:ind w:firstLine="640" w:firstLineChars="200"/>
        <w:rPr>
          <w:rFonts w:eastAsia="方正仿宋_GBK"/>
          <w:snapToGrid w:val="0"/>
          <w:sz w:val="32"/>
          <w:szCs w:val="32"/>
        </w:rPr>
      </w:pPr>
      <w:r>
        <w:rPr>
          <w:rFonts w:hint="eastAsia" w:eastAsia="方正仿宋_GBK"/>
          <w:snapToGrid w:val="0"/>
          <w:sz w:val="32"/>
          <w:szCs w:val="32"/>
        </w:rPr>
        <w:t>即日起至2023年2月底。</w:t>
      </w:r>
    </w:p>
    <w:p>
      <w:pPr>
        <w:snapToGrid w:val="0"/>
        <w:spacing w:line="600" w:lineRule="exact"/>
        <w:ind w:left="638" w:leftChars="304"/>
        <w:jc w:val="lef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三、活动内容</w:t>
      </w:r>
    </w:p>
    <w:p>
      <w:pPr>
        <w:pStyle w:val="4"/>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napToGrid w:val="0"/>
          <w:sz w:val="32"/>
          <w:szCs w:val="32"/>
        </w:rPr>
        <w:t>（一）集中组织一次清洁村庄活动。</w:t>
      </w:r>
      <w:r>
        <w:rPr>
          <w:rFonts w:hint="eastAsia" w:eastAsia="方正仿宋_GBK"/>
          <w:snapToGrid w:val="0"/>
          <w:sz w:val="32"/>
          <w:szCs w:val="32"/>
        </w:rPr>
        <w:t>各村（社区）要集中力量开展一次整治活动。积极组织党员、干部、志愿者以及公益岗位集中整治公共区域垃圾、污水、厕所等影响环境美观问题，组织发动村民群众开展房前屋后、室内室外清扫清洁。重点抓好农村路边、河边、沟边、房边等区域的乱堆乱放、乱搭乱建、乱排乱流等问题，持续开展洁化、绿化、美化行动，积极建造“小果园、小</w:t>
      </w:r>
      <w:r>
        <w:rPr>
          <w:rFonts w:hint="eastAsia" w:eastAsia="方正仿宋_GBK"/>
          <w:snapToGrid w:val="0"/>
          <w:sz w:val="32"/>
          <w:szCs w:val="32"/>
          <w:lang w:eastAsia="zh-CN"/>
        </w:rPr>
        <w:t>菜</w:t>
      </w:r>
      <w:r>
        <w:rPr>
          <w:rFonts w:hint="eastAsia" w:eastAsia="方正仿宋_GBK"/>
          <w:snapToGrid w:val="0"/>
          <w:sz w:val="32"/>
          <w:szCs w:val="32"/>
        </w:rPr>
        <w:t>园、小花园”，使农民庭院环境和集中居住的公共区域清洁干净、整治有序、宜居舒适。</w:t>
      </w:r>
    </w:p>
    <w:p>
      <w:pPr>
        <w:snapToGrid w:val="0"/>
        <w:spacing w:line="600" w:lineRule="exact"/>
        <w:ind w:firstLine="640" w:firstLineChars="200"/>
        <w:jc w:val="left"/>
        <w:rPr>
          <w:rFonts w:ascii="方正仿宋_GBK" w:hAnsi="方正仿宋_GBK" w:eastAsia="方正仿宋_GBK" w:cs="方正仿宋_GBK"/>
          <w:snapToGrid w:val="0"/>
          <w:sz w:val="32"/>
          <w:szCs w:val="32"/>
        </w:rPr>
      </w:pPr>
      <w:r>
        <w:rPr>
          <w:rFonts w:hint="eastAsia" w:ascii="方正楷体_GBK" w:hAnsi="方正楷体_GBK" w:eastAsia="方正楷体_GBK" w:cs="方正楷体_GBK"/>
          <w:snapToGrid w:val="0"/>
          <w:sz w:val="32"/>
          <w:szCs w:val="32"/>
        </w:rPr>
        <w:t>（二）开展观摩评选。</w:t>
      </w:r>
      <w:r>
        <w:rPr>
          <w:rFonts w:hint="eastAsia" w:ascii="方正仿宋_GBK" w:hAnsi="方正仿宋_GBK" w:eastAsia="方正仿宋_GBK" w:cs="方正仿宋_GBK"/>
          <w:snapToGrid w:val="0"/>
          <w:sz w:val="32"/>
          <w:szCs w:val="32"/>
        </w:rPr>
        <w:t>12月底前，以村为单位相邻的村（社区）进行村庄清洁行动观摩评选活动，进一步扩视野、找差距、学经验、推典型。主要观摩村庄整体卫生清洁程度、村公共区域环境卫生保持状况、家庭院落干净整洁情况和村民良好卫生习惯养成等，每村根据实际，评选出一批先进典型，并进行张榜公布，充分激发群众荣誉感。积极开展院落评比，即以院落为单元，推进院落微治理，激发群众互帮互助，互商互议，互相监督，互相进步。</w:t>
      </w:r>
    </w:p>
    <w:p>
      <w:pPr>
        <w:snapToGrid w:val="0"/>
        <w:spacing w:line="600" w:lineRule="exact"/>
        <w:ind w:firstLine="640" w:firstLineChars="200"/>
        <w:jc w:val="left"/>
        <w:rPr>
          <w:rFonts w:eastAsia="方正仿宋_GBK"/>
          <w:snapToGrid w:val="0"/>
          <w:sz w:val="32"/>
          <w:szCs w:val="32"/>
        </w:rPr>
      </w:pPr>
      <w:r>
        <w:rPr>
          <w:rFonts w:hint="eastAsia" w:ascii="方正楷体_GBK" w:hAnsi="方正楷体_GBK" w:eastAsia="方正楷体_GBK" w:cs="方正楷体_GBK"/>
          <w:snapToGrid w:val="0"/>
          <w:sz w:val="32"/>
          <w:szCs w:val="32"/>
        </w:rPr>
        <w:t>（三）开展宣传宣讲。</w:t>
      </w:r>
      <w:r>
        <w:rPr>
          <w:rFonts w:hint="eastAsia" w:eastAsia="方正仿宋_GBK"/>
          <w:snapToGrid w:val="0"/>
          <w:sz w:val="32"/>
          <w:szCs w:val="32"/>
        </w:rPr>
        <w:t>年底前，各村要结合宣讲党的二十大精神，通过发放倡议书、设立宣传栏、选树先进典型、开办院坝讲堂、张贴宣传横幅等形式，积极宣传宣讲村庄清洁行动工作中涌现的好做法、好典型、好事迹。特别要注重组建一批本地群众宣讲团，如在村庄清洁行动评比中涌现出来的先讲典型农民，通过“现身说法”，积极宣传文明卫生习惯，以身边人讲身边事，身边事教身边人。</w:t>
      </w:r>
    </w:p>
    <w:p>
      <w:pPr>
        <w:snapToGrid w:val="0"/>
        <w:spacing w:line="600" w:lineRule="exact"/>
        <w:ind w:firstLine="640" w:firstLineChars="200"/>
        <w:jc w:val="left"/>
        <w:rPr>
          <w:rFonts w:ascii="方正仿宋_GBK" w:hAnsi="方正仿宋_GBK" w:eastAsia="方正仿宋_GBK" w:cs="方正仿宋_GBK"/>
          <w:snapToGrid w:val="0"/>
          <w:sz w:val="32"/>
          <w:szCs w:val="32"/>
        </w:rPr>
      </w:pPr>
      <w:r>
        <w:rPr>
          <w:rFonts w:hint="eastAsia" w:ascii="方正楷体_GBK" w:hAnsi="方正楷体_GBK" w:eastAsia="方正楷体_GBK" w:cs="方正楷体_GBK"/>
          <w:snapToGrid w:val="0"/>
          <w:sz w:val="32"/>
          <w:szCs w:val="32"/>
        </w:rPr>
        <w:t>（四）开展农村清洁日、农村清洁周活动。</w:t>
      </w:r>
      <w:r>
        <w:rPr>
          <w:rFonts w:hint="eastAsia" w:ascii="方正仿宋_GBK" w:hAnsi="方正仿宋_GBK" w:eastAsia="方正仿宋_GBK" w:cs="方正仿宋_GBK"/>
          <w:snapToGrid w:val="0"/>
          <w:sz w:val="32"/>
          <w:szCs w:val="32"/>
        </w:rPr>
        <w:t>在2023年1月15-21日，依托农村传统“小年扫尘”风俗习惯，开展“家家户户搞卫生·干干净净过新年”农村清洁日和农村清洁周活动。在农村清洁周里，利用农民工返乡过年有利时机，动员家家户户在1月15日（农历小年）打扫屋内屋外卫生，在随后的一周时间里，村村社社集中整治公共环境，以“一处美”向“全村美”延伸，营造一个干净整洁宜居的温馨环境，让广大农民群众度过欢乐祥和幸福的传统佳节。</w:t>
      </w:r>
    </w:p>
    <w:p>
      <w:pPr>
        <w:snapToGrid w:val="0"/>
        <w:spacing w:line="600" w:lineRule="exact"/>
        <w:ind w:left="638" w:leftChars="304"/>
        <w:jc w:val="lef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四、活动要求</w:t>
      </w:r>
    </w:p>
    <w:p>
      <w:pPr>
        <w:snapToGrid w:val="0"/>
        <w:spacing w:line="600" w:lineRule="exact"/>
        <w:ind w:firstLine="640" w:firstLineChars="200"/>
        <w:jc w:val="left"/>
        <w:rPr>
          <w:rFonts w:eastAsia="方正仿宋_GBK"/>
          <w:snapToGrid w:val="0"/>
          <w:sz w:val="32"/>
          <w:szCs w:val="32"/>
        </w:rPr>
      </w:pPr>
      <w:r>
        <w:rPr>
          <w:rFonts w:hint="eastAsia" w:ascii="方正楷体_GBK" w:hAnsi="方正楷体_GBK" w:eastAsia="方正楷体_GBK" w:cs="方正楷体_GBK"/>
          <w:snapToGrid w:val="0"/>
          <w:sz w:val="32"/>
          <w:szCs w:val="32"/>
        </w:rPr>
        <w:t>（一）加强组织领导。</w:t>
      </w:r>
      <w:r>
        <w:rPr>
          <w:rFonts w:hint="eastAsia" w:eastAsia="方正仿宋_GBK"/>
          <w:snapToGrid w:val="0"/>
          <w:sz w:val="32"/>
          <w:szCs w:val="32"/>
        </w:rPr>
        <w:t>各村（社区）要认真落实村庄清洁行动主体责任，村（社区）主要负责同志要切实履行“一线总指挥”职责，做好村庄清洁行动部署动员等工作。要把握节奏，突出重点，精心安排部署，科学统筹协调，迅速行动起来，层层动员，人人参与，确保村庄清洁有声势、有成效。</w:t>
      </w:r>
    </w:p>
    <w:p>
      <w:pPr>
        <w:snapToGrid w:val="0"/>
        <w:spacing w:line="600" w:lineRule="exact"/>
        <w:ind w:firstLine="640" w:firstLineChars="200"/>
        <w:jc w:val="left"/>
        <w:rPr>
          <w:rFonts w:ascii="方正仿宋_GBK" w:hAnsi="方正仿宋_GBK" w:eastAsia="方正仿宋_GBK" w:cs="方正仿宋_GBK"/>
          <w:snapToGrid w:val="0"/>
          <w:sz w:val="32"/>
          <w:szCs w:val="32"/>
        </w:rPr>
      </w:pPr>
      <w:r>
        <w:rPr>
          <w:rFonts w:hint="eastAsia" w:eastAsia="方正楷体_GBK"/>
          <w:color w:val="000000"/>
          <w:sz w:val="32"/>
          <w:szCs w:val="32"/>
        </w:rPr>
        <w:t>（二）</w:t>
      </w:r>
      <w:r>
        <w:rPr>
          <w:rFonts w:hint="eastAsia" w:ascii="方正楷体_GBK" w:hAnsi="方正楷体_GBK" w:eastAsia="方正楷体_GBK" w:cs="方正楷体_GBK"/>
          <w:snapToGrid w:val="0"/>
          <w:sz w:val="32"/>
          <w:szCs w:val="32"/>
        </w:rPr>
        <w:t>建立问题台账。</w:t>
      </w:r>
      <w:r>
        <w:rPr>
          <w:rFonts w:hint="eastAsia" w:ascii="方正仿宋_GBK" w:hAnsi="方正仿宋_GBK" w:eastAsia="方正仿宋_GBK" w:cs="方正仿宋_GBK"/>
          <w:snapToGrid w:val="0"/>
          <w:sz w:val="32"/>
          <w:szCs w:val="32"/>
        </w:rPr>
        <w:t>近日，农业农村部、国家乡村振兴局将不定期对各地村庄清洁环境开展暗访，各村要建立村庄清洁行动问题反映清单台账（附件1），畅通问题反映渠道，及时获取问题线索，并逐项排查进行整改，推动形成“问题发现-快速反应-整改落实-检查回访”全链条闭环流程，将集中整治和长效管理相结合，促进区域内村容村貌长效提升。根据今年农村人居环境整治督查通报及自查发现的农村人居环境问题，建立自查自纠农村人居环境整治问题整改台账（附件2），收集并完善整改资料，市上将对台账管理情况进行实地抽查。</w:t>
      </w:r>
    </w:p>
    <w:p>
      <w:pPr>
        <w:snapToGrid w:val="0"/>
        <w:spacing w:line="600" w:lineRule="exact"/>
        <w:ind w:firstLine="640" w:firstLineChars="200"/>
        <w:jc w:val="left"/>
        <w:rPr>
          <w:rFonts w:ascii="方正仿宋_GBK" w:hAnsi="方正仿宋_GBK" w:eastAsia="方正仿宋_GBK" w:cs="方正仿宋_GBK"/>
          <w:snapToGrid w:val="0"/>
          <w:sz w:val="32"/>
          <w:szCs w:val="32"/>
        </w:rPr>
      </w:pPr>
      <w:r>
        <w:rPr>
          <w:rFonts w:hint="eastAsia" w:ascii="方正楷体_GBK" w:hAnsi="方正楷体_GBK" w:eastAsia="方正楷体_GBK" w:cs="方正楷体_GBK"/>
          <w:snapToGrid w:val="0"/>
          <w:sz w:val="32"/>
          <w:szCs w:val="32"/>
        </w:rPr>
        <w:t>（三）善于宣传推广。</w:t>
      </w:r>
      <w:r>
        <w:rPr>
          <w:rFonts w:hint="eastAsia" w:ascii="方正仿宋_GBK" w:hAnsi="方正仿宋_GBK" w:eastAsia="方正仿宋_GBK" w:cs="方正仿宋_GBK"/>
          <w:snapToGrid w:val="0"/>
          <w:sz w:val="32"/>
          <w:szCs w:val="32"/>
        </w:rPr>
        <w:t>要注重发现冬季战役中好做法、好经验，利用电视、新闻报道、APP、微信公众号等宣传途径，以及春联、年画、标语等宣传手段，开展多形式、多层次、多角度宣传，掀起全民关心农村人居环境整治、社会各界积极参与村庄清洁行动的热潮。</w:t>
      </w:r>
    </w:p>
    <w:p>
      <w:pPr>
        <w:overflowPunct w:val="0"/>
        <w:adjustRightInd w:val="0"/>
        <w:snapToGrid w:val="0"/>
        <w:spacing w:line="600" w:lineRule="exact"/>
        <w:ind w:firstLine="640" w:firstLineChars="200"/>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snapToGrid w:val="0"/>
          <w:sz w:val="32"/>
          <w:szCs w:val="32"/>
        </w:rPr>
        <w:t>（四）做好迎检准备。</w:t>
      </w:r>
      <w:r>
        <w:rPr>
          <w:rFonts w:hint="eastAsia" w:ascii="方正仿宋_GBK" w:hAnsi="方正仿宋_GBK" w:eastAsia="方正仿宋_GBK" w:cs="方正仿宋_GBK"/>
          <w:snapToGrid w:val="0"/>
          <w:sz w:val="32"/>
          <w:szCs w:val="32"/>
        </w:rPr>
        <w:t>根据11月25日召开的市2022年巩固拓展脱贫攻坚成果同乡村振兴有效衔接考核评估工作视频调度会议精神要求，做好农村人居环境整治提升工作迎检准备，根据</w:t>
      </w:r>
      <w:r>
        <w:rPr>
          <w:rFonts w:hint="eastAsia" w:ascii="方正仿宋_GBK" w:hAnsi="方正仿宋_GBK" w:eastAsia="方正仿宋_GBK" w:cs="方正仿宋_GBK"/>
          <w:color w:val="000000"/>
          <w:sz w:val="32"/>
          <w:szCs w:val="32"/>
        </w:rPr>
        <w:t>《石柱</w:t>
      </w:r>
      <w:r>
        <w:rPr>
          <w:rFonts w:hint="eastAsia" w:ascii="方正仿宋_GBK" w:hAnsi="方正仿宋_GBK" w:eastAsia="方正仿宋_GBK" w:cs="方正仿宋_GBK"/>
          <w:snapToGrid w:val="0"/>
          <w:sz w:val="32"/>
          <w:szCs w:val="32"/>
        </w:rPr>
        <w:t>县2022年</w:t>
      </w:r>
      <w:r>
        <w:rPr>
          <w:rFonts w:hint="eastAsia" w:ascii="方正仿宋_GBK" w:hAnsi="方正仿宋_GBK" w:eastAsia="方正仿宋_GBK" w:cs="方正仿宋_GBK"/>
          <w:color w:val="000000"/>
          <w:sz w:val="32"/>
          <w:szCs w:val="32"/>
        </w:rPr>
        <w:t>农村人居环境整治提升考核办法》中的考核指标</w:t>
      </w:r>
      <w:r>
        <w:rPr>
          <w:rFonts w:hint="eastAsia" w:ascii="方正仿宋_GBK" w:hAnsi="方正仿宋_GBK" w:eastAsia="方正仿宋_GBK" w:cs="方正仿宋_GBK"/>
          <w:snapToGrid w:val="0"/>
          <w:sz w:val="32"/>
          <w:szCs w:val="32"/>
        </w:rPr>
        <w:t>完善相关资料。</w:t>
      </w:r>
    </w:p>
    <w:p>
      <w:pPr>
        <w:snapToGrid w:val="0"/>
        <w:spacing w:line="600" w:lineRule="exact"/>
        <w:ind w:firstLine="420" w:firstLineChars="200"/>
        <w:jc w:val="left"/>
        <w:rPr>
          <w:rFonts w:ascii="方正仿宋_GBK" w:hAnsi="方正仿宋_GBK" w:eastAsia="方正仿宋_GBK" w:cs="方正仿宋_GBK"/>
          <w:sz w:val="32"/>
          <w:szCs w:val="32"/>
        </w:rPr>
      </w:pPr>
      <w:r>
        <w:fldChar w:fldCharType="begin"/>
      </w:r>
      <w:r>
        <w:instrText xml:space="preserve"> HYPERLINK "mailto:（三）及时调度情况。各乡镇（街道）要在总结提炼好的经验和做法的基础上，加强相互学习和交流，并将好经验、好做法（包括文字、图片、视频材料等）和夏季村庄清洁行动方案及宣传动员情况报送县人居办邮箱szxrjhjzz@163.com，同时8月25日前将夏季战役开展情况报县农村人居环境整治办。" </w:instrText>
      </w:r>
      <w:r>
        <w:fldChar w:fldCharType="separate"/>
      </w:r>
      <w:r>
        <w:rPr>
          <w:rFonts w:hint="eastAsia" w:ascii="方正仿宋_GBK" w:hAnsi="方正仿宋_GBK" w:eastAsia="方正仿宋_GBK" w:cs="方正仿宋_GBK"/>
          <w:snapToGrid w:val="0"/>
          <w:sz w:val="32"/>
          <w:szCs w:val="32"/>
        </w:rPr>
        <w:t>（五）及时调度情况。</w:t>
      </w:r>
      <w:r>
        <w:rPr>
          <w:rFonts w:hint="eastAsia" w:ascii="方正仿宋_GBK" w:hAnsi="方正仿宋_GBK" w:eastAsia="方正仿宋_GBK" w:cs="方正仿宋_GBK"/>
          <w:color w:val="000000"/>
          <w:kern w:val="0"/>
          <w:sz w:val="32"/>
          <w:szCs w:val="32"/>
        </w:rPr>
        <w:t>各村（社区）要在总结提炼好的经验和做法的基础上，加强相互学习和交流，并将好经验、好做法（包括文字、图片、视频材料等）和冬季村庄清洁行动开展情况（方案、宣传情况、总结等）于2月24日前报送镇乡村振兴办。</w:t>
      </w:r>
      <w:r>
        <w:rPr>
          <w:rFonts w:hint="eastAsia" w:ascii="方正仿宋_GBK" w:hAnsi="方正仿宋_GBK" w:eastAsia="方正仿宋_GBK" w:cs="方正仿宋_GBK"/>
          <w:color w:val="000000"/>
          <w:kern w:val="0"/>
          <w:sz w:val="32"/>
          <w:szCs w:val="32"/>
        </w:rPr>
        <w:fldChar w:fldCharType="end"/>
      </w:r>
    </w:p>
    <w:p>
      <w:pPr>
        <w:snapToGrid w:val="0"/>
        <w:spacing w:line="600" w:lineRule="exact"/>
        <w:ind w:firstLine="640" w:firstLineChars="200"/>
        <w:jc w:val="left"/>
        <w:rPr>
          <w:rFonts w:ascii="方正仿宋_GBK" w:hAnsi="方正仿宋_GBK" w:eastAsia="方正仿宋_GBK" w:cs="方正仿宋_GBK"/>
          <w:snapToGrid w:val="0"/>
          <w:sz w:val="32"/>
          <w:szCs w:val="32"/>
        </w:rPr>
      </w:pPr>
      <w:r>
        <w:rPr>
          <w:rFonts w:hint="eastAsia" w:eastAsia="方正楷体_GBK"/>
          <w:color w:val="000000"/>
          <w:sz w:val="32"/>
          <w:szCs w:val="32"/>
        </w:rPr>
        <w:t>（六）</w:t>
      </w:r>
      <w:r>
        <w:rPr>
          <w:rFonts w:eastAsia="方正楷体_GBK"/>
          <w:color w:val="000000"/>
          <w:sz w:val="32"/>
          <w:szCs w:val="32"/>
        </w:rPr>
        <w:t>加强督导落实。</w:t>
      </w:r>
      <w:r>
        <w:rPr>
          <w:rFonts w:hint="eastAsia" w:ascii="方正仿宋_GBK" w:hAnsi="方正仿宋_GBK" w:eastAsia="方正仿宋_GBK" w:cs="方正仿宋_GBK"/>
          <w:color w:val="000000"/>
          <w:kern w:val="0"/>
          <w:sz w:val="32"/>
          <w:szCs w:val="32"/>
        </w:rPr>
        <w:t>各村（社区）要加强责任落实，镇乡村振兴办公室将随机督查各村（社区）村庄清洁行动开展情况并同时做好监督指导工作，及时做好相关情况收集汇总，发布各地工作动态，通报情况进展，此项工作为农村人居环境整治的重点工作之一，纳入平时及年终考核。</w:t>
      </w:r>
    </w:p>
    <w:p>
      <w:pPr>
        <w:pStyle w:val="4"/>
        <w:spacing w:line="600" w:lineRule="exact"/>
        <w:ind w:firstLine="640"/>
        <w:rPr>
          <w:rFonts w:ascii="方正仿宋_GBK" w:hAnsi="方正仿宋_GBK" w:eastAsia="方正仿宋_GBK" w:cs="方正仿宋_GBK"/>
          <w:snapToGrid w:val="0"/>
          <w:sz w:val="32"/>
          <w:szCs w:val="32"/>
        </w:rPr>
      </w:pPr>
    </w:p>
    <w:p>
      <w:pPr>
        <w:pStyle w:val="4"/>
        <w:spacing w:line="600" w:lineRule="exact"/>
        <w:ind w:firstLine="64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napToGrid w:val="0"/>
          <w:sz w:val="32"/>
          <w:szCs w:val="32"/>
        </w:rPr>
        <w:t>附件：1.</w:t>
      </w:r>
      <w:r>
        <w:rPr>
          <w:rFonts w:hint="eastAsia" w:ascii="方正仿宋_GBK" w:hAnsi="方正仿宋_GBK" w:eastAsia="方正仿宋_GBK" w:cs="方正仿宋_GBK"/>
          <w:color w:val="000000"/>
          <w:kern w:val="0"/>
          <w:sz w:val="32"/>
          <w:szCs w:val="32"/>
        </w:rPr>
        <w:t>村庄清洁行动问题反映清单台账</w:t>
      </w:r>
    </w:p>
    <w:p>
      <w:pPr>
        <w:pStyle w:val="4"/>
        <w:spacing w:line="600" w:lineRule="exact"/>
        <w:ind w:firstLine="1600" w:firstLineChars="5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2.自查自纠农村人居环境整治问题整改台账</w:t>
      </w:r>
    </w:p>
    <w:p>
      <w:pPr>
        <w:snapToGrid w:val="0"/>
        <w:spacing w:line="600" w:lineRule="exact"/>
        <w:ind w:firstLine="640" w:firstLineChars="200"/>
        <w:jc w:val="left"/>
        <w:rPr>
          <w:rFonts w:ascii="方正仿宋_GBK" w:hAnsi="方正仿宋_GBK" w:eastAsia="方正仿宋_GBK" w:cs="方正仿宋_GBK"/>
          <w:color w:val="000000"/>
          <w:kern w:val="0"/>
          <w:sz w:val="32"/>
          <w:szCs w:val="32"/>
        </w:rPr>
      </w:pPr>
    </w:p>
    <w:p>
      <w:pPr>
        <w:pStyle w:val="4"/>
        <w:spacing w:line="600" w:lineRule="exact"/>
        <w:rPr>
          <w:rFonts w:ascii="方正仿宋_GBK" w:hAnsi="方正仿宋_GBK" w:eastAsia="方正仿宋_GBK" w:cs="方正仿宋_GBK"/>
          <w:snapToGrid w:val="0"/>
          <w:sz w:val="32"/>
          <w:szCs w:val="32"/>
        </w:rPr>
      </w:pPr>
    </w:p>
    <w:p>
      <w:pPr>
        <w:snapToGrid w:val="0"/>
        <w:spacing w:line="600" w:lineRule="exact"/>
        <w:ind w:left="640" w:hanging="640" w:hangingChars="200"/>
        <w:jc w:val="left"/>
        <w:rPr>
          <w:rFonts w:ascii="方正仿宋_GBK" w:hAnsi="方正仿宋_GBK" w:eastAsia="方正仿宋_GBK" w:cs="方正仿宋_GBK"/>
          <w:snapToGrid w:val="0"/>
          <w:sz w:val="32"/>
          <w:szCs w:val="32"/>
        </w:rPr>
      </w:pPr>
    </w:p>
    <w:p>
      <w:pPr>
        <w:snapToGrid w:val="0"/>
        <w:spacing w:line="600" w:lineRule="exact"/>
        <w:ind w:firstLine="640" w:firstLineChars="200"/>
        <w:jc w:val="right"/>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沿溪镇人民政府</w:t>
      </w:r>
    </w:p>
    <w:p>
      <w:pPr>
        <w:pStyle w:val="7"/>
        <w:spacing w:after="0" w:line="600" w:lineRule="exact"/>
        <w:ind w:left="0" w:leftChars="0" w:firstLine="3840" w:firstLineChars="1200"/>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2022年11月30日</w:t>
      </w:r>
    </w:p>
    <w:p>
      <w:pPr>
        <w:pStyle w:val="7"/>
        <w:spacing w:after="0" w:line="600" w:lineRule="exact"/>
        <w:ind w:left="0" w:leftChars="0" w:firstLine="640"/>
        <w:rPr>
          <w:rFonts w:eastAsia="方正仿宋_GBK"/>
          <w:kern w:val="0"/>
          <w:sz w:val="32"/>
          <w:szCs w:val="32"/>
        </w:rPr>
      </w:pPr>
    </w:p>
    <w:p>
      <w:pPr>
        <w:pStyle w:val="7"/>
        <w:spacing w:after="0" w:line="600" w:lineRule="exact"/>
        <w:ind w:left="0" w:leftChars="0" w:firstLine="640"/>
        <w:rPr>
          <w:rFonts w:eastAsia="方正仿宋_GBK"/>
          <w:kern w:val="0"/>
          <w:sz w:val="32"/>
          <w:szCs w:val="32"/>
        </w:rPr>
      </w:pPr>
    </w:p>
    <w:p>
      <w:pPr>
        <w:pStyle w:val="7"/>
        <w:spacing w:after="0" w:line="600" w:lineRule="exact"/>
        <w:ind w:left="0" w:leftChars="0" w:firstLine="640"/>
        <w:rPr>
          <w:rFonts w:eastAsia="方正仿宋_GBK"/>
          <w:kern w:val="0"/>
          <w:sz w:val="32"/>
          <w:szCs w:val="32"/>
        </w:rPr>
      </w:pPr>
    </w:p>
    <w:p>
      <w:pPr>
        <w:pStyle w:val="7"/>
        <w:spacing w:after="0" w:line="60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0" w:firstLineChars="0"/>
        <w:rPr>
          <w:rFonts w:ascii="方正黑体_GBK" w:hAnsi="方正黑体_GBK" w:eastAsia="方正黑体_GBK" w:cs="方正黑体_GBK"/>
          <w:kern w:val="0"/>
          <w:sz w:val="32"/>
          <w:szCs w:val="32"/>
        </w:rPr>
      </w:pPr>
    </w:p>
    <w:p>
      <w:pPr>
        <w:pStyle w:val="7"/>
        <w:spacing w:after="0" w:line="560" w:lineRule="exact"/>
        <w:ind w:left="0" w:leftChars="0" w:firstLine="0" w:firstLineChars="0"/>
        <w:rPr>
          <w:rFonts w:ascii="方正黑体_GBK" w:hAnsi="方正黑体_GBK" w:eastAsia="方正黑体_GBK" w:cs="方正黑体_GBK"/>
          <w:kern w:val="0"/>
          <w:sz w:val="32"/>
          <w:szCs w:val="32"/>
        </w:rPr>
      </w:pPr>
    </w:p>
    <w:p>
      <w:pPr>
        <w:pStyle w:val="7"/>
        <w:spacing w:after="0" w:line="560" w:lineRule="exact"/>
        <w:ind w:left="0" w:leftChars="0" w:firstLine="0" w:firstLineChars="0"/>
        <w:rPr>
          <w:rFonts w:ascii="方正黑体_GBK" w:hAnsi="方正黑体_GBK" w:eastAsia="方正黑体_GBK" w:cs="方正黑体_GBK"/>
          <w:kern w:val="0"/>
          <w:sz w:val="32"/>
          <w:szCs w:val="32"/>
        </w:rPr>
      </w:pPr>
    </w:p>
    <w:p>
      <w:pPr>
        <w:pStyle w:val="7"/>
        <w:spacing w:after="0" w:line="560" w:lineRule="exact"/>
        <w:ind w:left="0" w:leftChars="0" w:firstLine="0" w:firstLineChars="0"/>
        <w:rPr>
          <w:rFonts w:ascii="方正黑体_GBK" w:hAnsi="方正黑体_GBK" w:eastAsia="方正黑体_GBK" w:cs="方正黑体_GBK"/>
          <w:kern w:val="0"/>
          <w:sz w:val="32"/>
          <w:szCs w:val="32"/>
        </w:rPr>
      </w:pPr>
    </w:p>
    <w:p>
      <w:pPr>
        <w:pStyle w:val="7"/>
        <w:spacing w:after="0" w:line="560" w:lineRule="exact"/>
        <w:ind w:left="0" w:leftChars="0" w:firstLine="0" w:firstLineChars="0"/>
        <w:rPr>
          <w:rFonts w:ascii="方正黑体_GBK" w:hAnsi="方正黑体_GBK" w:eastAsia="方正黑体_GBK" w:cs="方正黑体_GBK"/>
          <w:kern w:val="0"/>
          <w:sz w:val="32"/>
          <w:szCs w:val="32"/>
        </w:rPr>
      </w:pPr>
    </w:p>
    <w:p>
      <w:pPr>
        <w:pStyle w:val="7"/>
        <w:spacing w:after="0" w:line="560" w:lineRule="exact"/>
        <w:ind w:left="0" w:leftChars="0" w:firstLine="0" w:firstLineChars="0"/>
        <w:rPr>
          <w:rFonts w:ascii="方正黑体_GBK" w:hAnsi="方正黑体_GBK" w:eastAsia="方正黑体_GBK" w:cs="方正黑体_GBK"/>
          <w:kern w:val="0"/>
          <w:sz w:val="32"/>
          <w:szCs w:val="32"/>
        </w:rPr>
      </w:pPr>
    </w:p>
    <w:p>
      <w:pPr>
        <w:pStyle w:val="7"/>
        <w:spacing w:after="0" w:line="560" w:lineRule="exact"/>
        <w:ind w:left="0" w:leftChars="0" w:firstLine="0"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p>
      <w:pPr>
        <w:pStyle w:val="7"/>
        <w:spacing w:after="0" w:line="560" w:lineRule="exact"/>
        <w:ind w:left="0" w:leftChars="0" w:firstLine="640"/>
        <w:rPr>
          <w:rFonts w:eastAsia="方正仿宋_GBK"/>
          <w:kern w:val="0"/>
          <w:sz w:val="32"/>
          <w:szCs w:val="32"/>
        </w:rPr>
      </w:pPr>
    </w:p>
    <w:tbl>
      <w:tblPr>
        <w:tblStyle w:val="8"/>
        <w:tblW w:w="9179" w:type="dxa"/>
        <w:tblInd w:w="93" w:type="dxa"/>
        <w:tblLayout w:type="autofit"/>
        <w:tblCellMar>
          <w:top w:w="0" w:type="dxa"/>
          <w:left w:w="108" w:type="dxa"/>
          <w:bottom w:w="0" w:type="dxa"/>
          <w:right w:w="108" w:type="dxa"/>
        </w:tblCellMar>
      </w:tblPr>
      <w:tblGrid>
        <w:gridCol w:w="1569"/>
        <w:gridCol w:w="2623"/>
        <w:gridCol w:w="1570"/>
        <w:gridCol w:w="3417"/>
      </w:tblGrid>
      <w:tr>
        <w:tblPrEx>
          <w:tblCellMar>
            <w:top w:w="0" w:type="dxa"/>
            <w:left w:w="108" w:type="dxa"/>
            <w:bottom w:w="0" w:type="dxa"/>
            <w:right w:w="108" w:type="dxa"/>
          </w:tblCellMar>
        </w:tblPrEx>
        <w:trPr>
          <w:trHeight w:val="840" w:hRule="atLeast"/>
        </w:trPr>
        <w:tc>
          <w:tcPr>
            <w:tcW w:w="9179"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6"/>
                <w:szCs w:val="36"/>
              </w:rPr>
            </w:pPr>
            <w:r>
              <w:rPr>
                <w:rStyle w:val="10"/>
                <w:rFonts w:hint="default" w:ascii="方正小标宋_GBK" w:hAnsi="方正小标宋_GBK" w:eastAsia="方正小标宋_GBK" w:cs="方正小标宋_GBK"/>
                <w:sz w:val="44"/>
                <w:szCs w:val="44"/>
              </w:rPr>
              <w:t>村庄清洁行动问题反映清单台账</w:t>
            </w: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问题内容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来源</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备注</w:t>
            </w: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60" w:hRule="atLeast"/>
        </w:trPr>
        <w:tc>
          <w:tcPr>
            <w:tcW w:w="9179" w:type="dxa"/>
            <w:gridSpan w:val="4"/>
            <w:tcBorders>
              <w:top w:val="nil"/>
              <w:left w:val="nil"/>
              <w:bottom w:val="nil"/>
              <w:right w:val="nil"/>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注: 1.问题来源为投诉电话、举报信箱、新媒体公众号投诉、群众反映等</w:t>
            </w:r>
          </w:p>
          <w:p>
            <w:pPr>
              <w:pStyle w:val="4"/>
            </w:pPr>
            <w:r>
              <w:rPr>
                <w:rFonts w:hint="eastAsia" w:ascii="方正仿宋_GBK" w:hAnsi="方正仿宋_GBK" w:eastAsia="方正仿宋_GBK" w:cs="方正仿宋_GBK"/>
                <w:color w:val="000000"/>
                <w:kern w:val="0"/>
                <w:sz w:val="22"/>
                <w:szCs w:val="22"/>
              </w:rPr>
              <w:t xml:space="preserve">   2.村庄清洁行动问题含农村生活垃圾治理方面、农村生活污水治理方面、农村改厕方面、村容村貌提升方面及其他方面。</w:t>
            </w:r>
          </w:p>
        </w:tc>
      </w:tr>
    </w:tbl>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0"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附件2</w:t>
      </w:r>
    </w:p>
    <w:p>
      <w:pPr>
        <w:pStyle w:val="7"/>
        <w:spacing w:after="0" w:line="560" w:lineRule="exact"/>
        <w:ind w:left="0" w:leftChars="0" w:firstLine="0" w:firstLineChars="0"/>
        <w:rPr>
          <w:rFonts w:eastAsia="方正仿宋_GBK"/>
          <w:kern w:val="0"/>
          <w:sz w:val="32"/>
          <w:szCs w:val="32"/>
        </w:rPr>
      </w:pPr>
    </w:p>
    <w:tbl>
      <w:tblPr>
        <w:tblStyle w:val="8"/>
        <w:tblW w:w="9270" w:type="dxa"/>
        <w:tblInd w:w="93" w:type="dxa"/>
        <w:tblLayout w:type="autofit"/>
        <w:tblCellMar>
          <w:top w:w="0" w:type="dxa"/>
          <w:left w:w="108" w:type="dxa"/>
          <w:bottom w:w="0" w:type="dxa"/>
          <w:right w:w="108" w:type="dxa"/>
        </w:tblCellMar>
      </w:tblPr>
      <w:tblGrid>
        <w:gridCol w:w="1157"/>
        <w:gridCol w:w="1933"/>
        <w:gridCol w:w="1157"/>
        <w:gridCol w:w="1933"/>
        <w:gridCol w:w="1933"/>
        <w:gridCol w:w="1157"/>
      </w:tblGrid>
      <w:tr>
        <w:tblPrEx>
          <w:tblCellMar>
            <w:top w:w="0" w:type="dxa"/>
            <w:left w:w="108" w:type="dxa"/>
            <w:bottom w:w="0" w:type="dxa"/>
            <w:right w:w="108" w:type="dxa"/>
          </w:tblCellMar>
        </w:tblPrEx>
        <w:trPr>
          <w:trHeight w:val="760" w:hRule="atLeast"/>
        </w:trPr>
        <w:tc>
          <w:tcPr>
            <w:tcW w:w="9270"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方正小标宋_GBK" w:hAnsi="方正小标宋_GBK" w:eastAsia="方正小标宋_GBK" w:cs="方正小标宋_GBK"/>
                <w:b/>
                <w:bCs/>
                <w:color w:val="000000"/>
                <w:kern w:val="0"/>
                <w:sz w:val="44"/>
                <w:szCs w:val="44"/>
              </w:rPr>
              <w:t>自查自纠农村人居环境整治问题整改台账</w:t>
            </w: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问题内容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整改进展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整改措施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b/>
                <w:bCs/>
                <w:color w:val="000000"/>
                <w:sz w:val="22"/>
              </w:rPr>
            </w:pPr>
            <w:r>
              <w:rPr>
                <w:rFonts w:hint="eastAsia" w:ascii="方正黑体_GBK" w:hAnsi="方正黑体_GBK" w:eastAsia="方正黑体_GBK" w:cs="方正黑体_GBK"/>
                <w:b/>
                <w:bCs/>
                <w:color w:val="000000"/>
                <w:kern w:val="0"/>
                <w:sz w:val="22"/>
              </w:rPr>
              <w:t>备注</w:t>
            </w: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1760" w:hRule="atLeast"/>
        </w:trPr>
        <w:tc>
          <w:tcPr>
            <w:tcW w:w="9270" w:type="dxa"/>
            <w:gridSpan w:val="6"/>
            <w:tcBorders>
              <w:top w:val="nil"/>
              <w:left w:val="nil"/>
              <w:bottom w:val="nil"/>
              <w:right w:val="nil"/>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注: 1.问题来源为投诉电话、举报信箱、新媒体公众号投诉、</w:t>
            </w:r>
            <w:r>
              <w:rPr>
                <w:rFonts w:hint="eastAsia" w:ascii="方正仿宋_GBK" w:hAnsi="方正仿宋_GBK" w:eastAsia="方正仿宋_GBK" w:cs="方正仿宋_GBK"/>
                <w:color w:val="000000"/>
                <w:kern w:val="0"/>
                <w:sz w:val="22"/>
              </w:rPr>
              <w:t>群众反映</w:t>
            </w:r>
            <w:r>
              <w:rPr>
                <w:rFonts w:hint="eastAsia" w:ascii="方正仿宋_GBK" w:hAnsi="方正仿宋_GBK" w:eastAsia="方正仿宋_GBK" w:cs="方正仿宋_GBK"/>
                <w:color w:val="000000"/>
                <w:kern w:val="0"/>
                <w:sz w:val="20"/>
                <w:szCs w:val="20"/>
              </w:rPr>
              <w:t>等</w:t>
            </w:r>
          </w:p>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 xml:space="preserve">    2.整改进展包括已整改、整改中、未整改或多次整改未解决。</w:t>
            </w:r>
          </w:p>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 xml:space="preserve">    3.整改措施简明扼要填写。</w:t>
            </w:r>
          </w:p>
          <w:p>
            <w:pPr>
              <w:widowControl/>
              <w:jc w:val="left"/>
              <w:textAlignment w:val="center"/>
              <w:rPr>
                <w:rFonts w:ascii="宋体" w:hAnsi="宋体" w:cs="宋体"/>
                <w:color w:val="000000"/>
                <w:sz w:val="22"/>
              </w:rPr>
            </w:pPr>
            <w:r>
              <w:rPr>
                <w:rFonts w:hint="eastAsia" w:ascii="方正仿宋_GBK" w:hAnsi="方正仿宋_GBK" w:eastAsia="方正仿宋_GBK" w:cs="方正仿宋_GBK"/>
                <w:color w:val="000000"/>
                <w:kern w:val="0"/>
                <w:sz w:val="20"/>
                <w:szCs w:val="20"/>
              </w:rPr>
              <w:t xml:space="preserve">    4.对于当前阶段暂时无法整改到位的，要明确整改工作计划和时限，并在备注里面注明预计整改完成时间</w:t>
            </w:r>
          </w:p>
        </w:tc>
      </w:tr>
    </w:tbl>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0" w:firstLineChars="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Style w:val="7"/>
        <w:spacing w:after="0" w:line="560" w:lineRule="exact"/>
        <w:ind w:left="0" w:leftChars="0" w:firstLine="640"/>
        <w:rPr>
          <w:rFonts w:eastAsia="方正仿宋_GBK"/>
          <w:kern w:val="0"/>
          <w:sz w:val="32"/>
          <w:szCs w:val="32"/>
        </w:rPr>
      </w:pPr>
    </w:p>
    <w:p>
      <w:pPr>
        <w:pBdr>
          <w:bottom w:val="single" w:color="auto" w:sz="6" w:space="0"/>
        </w:pBdr>
        <w:snapToGrid w:val="0"/>
        <w:spacing w:line="560" w:lineRule="exact"/>
      </w:pPr>
    </w:p>
    <w:p>
      <w:pPr>
        <w:pBdr>
          <w:bottom w:val="single" w:color="auto" w:sz="6" w:space="6"/>
        </w:pBdr>
        <w:snapToGrid w:val="0"/>
        <w:spacing w:line="560" w:lineRule="exact"/>
        <w:ind w:right="-11"/>
        <w:jc w:val="left"/>
      </w:pPr>
      <w:r>
        <w:rPr>
          <w:rFonts w:hint="eastAsia" w:ascii="方正仿宋_GBK" w:eastAsia="方正仿宋_GBK"/>
          <w:snapToGrid w:val="0"/>
          <w:spacing w:val="-8"/>
          <w:sz w:val="28"/>
          <w:szCs w:val="28"/>
        </w:rPr>
        <w:t xml:space="preserve">沿溪镇人民政府办公室                           </w:t>
      </w:r>
      <w:r>
        <w:rPr>
          <w:rFonts w:eastAsia="方正仿宋_GBK"/>
          <w:spacing w:val="-20"/>
          <w:sz w:val="28"/>
          <w:szCs w:val="28"/>
        </w:rPr>
        <w:t>202</w:t>
      </w:r>
      <w:r>
        <w:rPr>
          <w:rFonts w:hint="eastAsia" w:eastAsia="方正仿宋_GBK"/>
          <w:spacing w:val="-20"/>
          <w:sz w:val="28"/>
          <w:szCs w:val="28"/>
        </w:rPr>
        <w:t>2</w:t>
      </w:r>
      <w:r>
        <w:rPr>
          <w:rFonts w:eastAsia="方正仿宋_GBK"/>
          <w:spacing w:val="-20"/>
          <w:sz w:val="28"/>
          <w:szCs w:val="28"/>
        </w:rPr>
        <w:t>年</w:t>
      </w:r>
      <w:r>
        <w:rPr>
          <w:rFonts w:hint="eastAsia" w:eastAsia="方正仿宋_GBK"/>
          <w:spacing w:val="-20"/>
          <w:sz w:val="28"/>
          <w:szCs w:val="28"/>
        </w:rPr>
        <w:t>11</w:t>
      </w:r>
      <w:r>
        <w:rPr>
          <w:rFonts w:eastAsia="方正仿宋_GBK"/>
          <w:spacing w:val="-20"/>
          <w:sz w:val="28"/>
          <w:szCs w:val="28"/>
        </w:rPr>
        <w:t>月</w:t>
      </w:r>
      <w:r>
        <w:rPr>
          <w:rFonts w:hint="eastAsia" w:eastAsia="方正仿宋_GBK"/>
          <w:spacing w:val="-20"/>
          <w:sz w:val="28"/>
          <w:szCs w:val="28"/>
        </w:rPr>
        <w:t>30</w:t>
      </w:r>
      <w:r>
        <w:rPr>
          <w:rFonts w:eastAsia="方正仿宋_GBK"/>
          <w:spacing w:val="-20"/>
          <w:sz w:val="28"/>
          <w:szCs w:val="28"/>
        </w:rPr>
        <w:t>日印发</w:t>
      </w:r>
    </w:p>
    <w:sectPr>
      <w:footerReference r:id="rId3" w:type="default"/>
      <w:pgSz w:w="11906" w:h="16838"/>
      <w:pgMar w:top="1985" w:right="1446" w:bottom="1644" w:left="144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BQ/F1OrQEAAFADAAAOAAAAAAAAAAEAIAAAADQBAABkcnMvZTJvRG9jLnhtbFBL&#10;BQYAAAAABgAGAFkBAABTBQAAAAA=&#10;">
              <v:fill on="f" focussize="0,0"/>
              <v:stroke on="f"/>
              <v:imagedata o:title=""/>
              <o:lock v:ext="edit" aspectratio="f"/>
              <v:textbox inset="0mm,0mm,0mm,0mm" style="mso-fit-shape-to-text:t;">
                <w:txbxContent>
                  <w:p>
                    <w:pPr>
                      <w:pStyle w:val="4"/>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DNmNmExMTgwY2UyODAxN2VhOGQxMTI1ZTE2YWQifQ=="/>
  </w:docVars>
  <w:rsids>
    <w:rsidRoot w:val="5E2D457D"/>
    <w:rsid w:val="001A7A86"/>
    <w:rsid w:val="00200E9E"/>
    <w:rsid w:val="002D6D9E"/>
    <w:rsid w:val="003B611D"/>
    <w:rsid w:val="003C11F5"/>
    <w:rsid w:val="004A5F8A"/>
    <w:rsid w:val="004C0AED"/>
    <w:rsid w:val="005F4F97"/>
    <w:rsid w:val="006A433D"/>
    <w:rsid w:val="007931E9"/>
    <w:rsid w:val="00B37FAF"/>
    <w:rsid w:val="00C550FF"/>
    <w:rsid w:val="1FDA797B"/>
    <w:rsid w:val="5E2D457D"/>
    <w:rsid w:val="7EFE717C"/>
    <w:rsid w:val="BEF7036E"/>
    <w:rsid w:val="DFDD4B82"/>
    <w:rsid w:val="FE787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jc w:val="left"/>
    </w:pPr>
    <w:rPr>
      <w:rFonts w:ascii="Arial" w:hAnsi="Arial"/>
      <w:color w:val="000000"/>
      <w:kern w:val="0"/>
      <w:sz w:val="24"/>
      <w:szCs w:val="24"/>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unhideWhenUsed/>
    <w:qFormat/>
    <w:uiPriority w:val="99"/>
    <w:pPr>
      <w:ind w:firstLine="420" w:firstLineChars="200"/>
    </w:pPr>
  </w:style>
  <w:style w:type="character" w:customStyle="1" w:styleId="10">
    <w:name w:val="font21"/>
    <w:basedOn w:val="9"/>
    <w:qFormat/>
    <w:uiPriority w:val="0"/>
    <w:rPr>
      <w:rFonts w:hint="eastAsia" w:ascii="宋体" w:hAnsi="宋体" w:eastAsia="宋体" w:cs="宋体"/>
      <w:b/>
      <w:bCs/>
      <w:color w:val="000000"/>
      <w:sz w:val="36"/>
      <w:szCs w:val="36"/>
      <w:u w:val="none"/>
    </w:rPr>
  </w:style>
  <w:style w:type="character" w:customStyle="1" w:styleId="11">
    <w:name w:val="页眉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Communist</Company>
  <Pages>8</Pages>
  <Words>396</Words>
  <Characters>2258</Characters>
  <Lines>18</Lines>
  <Paragraphs>5</Paragraphs>
  <TotalTime>0</TotalTime>
  <ScaleCrop>false</ScaleCrop>
  <LinksUpToDate>false</LinksUpToDate>
  <CharactersWithSpaces>2649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2023-05-08T18:38:00Z</dcterms:created>
  <dc:creator>〈〉</dc:creator>
  <cp:lastModifiedBy>user</cp:lastModifiedBy>
  <dcterms:modified xsi:type="dcterms:W3CDTF">2023-10-05T14:50:19Z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9F250AF952ED47689C431D51906FE900</vt:lpwstr>
  </property>
</Properties>
</file>