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石柱土家族自治县鱼池镇新时代文明实践服务中心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年度决算说明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方正小标宋_GBK" w:cs="Times New Roman"/>
          <w:sz w:val="36"/>
          <w:szCs w:val="36"/>
          <w:shd w:val="clear" w:color="auto" w:fill="FFFFFF"/>
        </w:rPr>
      </w:pP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rPr>
      </w:pPr>
      <w:r>
        <w:rPr>
          <w:rStyle w:val="8"/>
          <w:rFonts w:hint="default" w:ascii="Times New Roman" w:hAnsi="Times New Roman" w:eastAsia="方正黑体_GBK" w:cs="Times New Roman"/>
          <w:b w:val="0"/>
          <w:bCs/>
          <w:sz w:val="32"/>
          <w:szCs w:val="32"/>
          <w:shd w:val="clear" w:color="auto" w:fill="FFFFFF"/>
        </w:rPr>
        <w:t>一、</w:t>
      </w:r>
      <w:r>
        <w:rPr>
          <w:rStyle w:val="8"/>
          <w:rFonts w:hint="default" w:ascii="Times New Roman" w:hAnsi="Times New Roman" w:eastAsia="方正黑体_GBK" w:cs="Times New Roman"/>
          <w:b w:val="0"/>
          <w:bCs/>
          <w:sz w:val="32"/>
          <w:szCs w:val="32"/>
          <w:shd w:val="clear" w:color="auto" w:fill="FFFFFF"/>
          <w:lang w:eastAsia="zh-CN"/>
        </w:rPr>
        <w:t>单位</w:t>
      </w:r>
      <w:r>
        <w:rPr>
          <w:rStyle w:val="8"/>
          <w:rFonts w:hint="default" w:ascii="Times New Roman" w:hAnsi="Times New Roman" w:eastAsia="方正黑体_GBK" w:cs="Times New Roman"/>
          <w:b w:val="0"/>
          <w:bCs/>
          <w:sz w:val="32"/>
          <w:szCs w:val="32"/>
          <w:shd w:val="clear" w:color="auto" w:fill="FFFFFF"/>
        </w:rPr>
        <w:t>基本情况</w:t>
      </w:r>
    </w:p>
    <w:p>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楷体_GBK" w:cs="Times New Roman"/>
          <w:b w:val="0"/>
          <w:bCs/>
          <w:color w:val="auto"/>
          <w:sz w:val="32"/>
          <w:szCs w:val="32"/>
        </w:rPr>
      </w:pPr>
      <w:r>
        <w:rPr>
          <w:rStyle w:val="8"/>
          <w:rFonts w:hint="default" w:ascii="Times New Roman" w:hAnsi="Times New Roman" w:eastAsia="方正楷体_GBK" w:cs="Times New Roman"/>
          <w:b w:val="0"/>
          <w:bCs/>
          <w:sz w:val="32"/>
          <w:szCs w:val="32"/>
          <w:shd w:val="clear" w:color="auto" w:fill="FFFFFF"/>
        </w:rPr>
        <w:t>（一）职能职责</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仿宋_GBK" w:cs="Times New Roman"/>
          <w:color w:val="auto"/>
          <w:sz w:val="32"/>
          <w:szCs w:val="32"/>
        </w:rPr>
        <w:t>宗旨：为文化、宣传、体育等工作服务。</w:t>
      </w:r>
    </w:p>
    <w:p>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主要职责任务：主要承担文化、宣传、广播电视、体育、乡村旅游、科技培训等方面服务工作。</w:t>
      </w:r>
    </w:p>
    <w:p>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具体职责任务：</w:t>
      </w:r>
    </w:p>
    <w:p>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（1）承担开展文化娱乐和体育活动等方面工作，指导各村（居）开展文体活动。</w:t>
      </w:r>
    </w:p>
    <w:p>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（2）承担普及科学文化知识，传递经济、科技、文化信息，为当地经济建设服务。</w:t>
      </w:r>
    </w:p>
    <w:p>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）承担广播、电视、电影方面的服务工作。</w:t>
      </w:r>
    </w:p>
    <w:p>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）承担综合文化场地的开放和服务工作。</w:t>
      </w:r>
    </w:p>
    <w:p>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承担辖区内文物、非物质文化遗产的挖掘、保护等工作。</w:t>
      </w:r>
    </w:p>
    <w:p>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）承担乡村旅游服务工作。</w:t>
      </w:r>
    </w:p>
    <w:p>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）承办镇党委、镇政府交办的其他工作任务。</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（二）机构设置</w:t>
      </w:r>
    </w:p>
    <w:p>
      <w:pPr>
        <w:pageBreakBefore w:val="0"/>
        <w:widowControl/>
        <w:kinsoku/>
        <w:wordWrap/>
        <w:overflowPunct/>
        <w:topLinePunct w:val="0"/>
        <w:bidi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b w:val="0"/>
          <w:color w:val="auto"/>
          <w:sz w:val="32"/>
          <w:szCs w:val="32"/>
          <w:shd w:val="clear" w:color="auto" w:fill="FFFFFF"/>
        </w:rPr>
        <w:t>202</w:t>
      </w:r>
      <w:r>
        <w:rPr>
          <w:rStyle w:val="10"/>
          <w:rFonts w:hint="default" w:ascii="Times New Roman" w:hAnsi="Times New Roman" w:eastAsia="方正仿宋_GBK" w:cs="Times New Roman"/>
          <w:b w:val="0"/>
          <w:color w:val="auto"/>
          <w:sz w:val="32"/>
          <w:szCs w:val="32"/>
          <w:shd w:val="clear" w:color="auto" w:fill="FFFFFF"/>
          <w:lang w:val="en-US" w:eastAsia="zh-CN"/>
        </w:rPr>
        <w:t>4</w:t>
      </w:r>
      <w:r>
        <w:rPr>
          <w:rStyle w:val="10"/>
          <w:rFonts w:hint="default" w:ascii="Times New Roman" w:hAnsi="Times New Roman" w:eastAsia="方正仿宋_GBK" w:cs="Times New Roman"/>
          <w:b w:val="0"/>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rPr>
        <w:t>本单位独立编制机构数1个，为鱼池镇新时代文明实践服务中心。</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二、单位决算收支情况说明</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（一）收入支出决算总体情况说明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30.90万元。收、支与2023年度相比，减少8.24万元，下降21.1%，主要原因是</w:t>
      </w:r>
      <w:r>
        <w:rPr>
          <w:rFonts w:hint="default" w:ascii="Times New Roman" w:hAnsi="Times New Roman" w:eastAsia="方正仿宋_GBK" w:cs="Times New Roman"/>
          <w:sz w:val="32"/>
          <w:szCs w:val="32"/>
          <w:shd w:val="clear" w:color="auto" w:fill="FFFFFF"/>
          <w:lang w:eastAsia="zh-CN"/>
        </w:rPr>
        <w:t>上年补发考核绩效。</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lang w:val="en-US" w:eastAsia="zh-CN"/>
        </w:rPr>
        <w:t>1</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2024年度收入合计30.90万元，与2023年度相比，减少8.24万元，下降21.1%，主要原因</w:t>
      </w:r>
      <w:r>
        <w:rPr>
          <w:rFonts w:hint="default" w:ascii="Times New Roman" w:hAnsi="Times New Roman" w:eastAsia="方正仿宋_GBK" w:cs="Times New Roman"/>
          <w:sz w:val="32"/>
          <w:szCs w:val="32"/>
          <w:shd w:val="clear" w:color="auto" w:fill="FFFFFF"/>
          <w:lang w:eastAsia="zh-CN"/>
        </w:rPr>
        <w:t>一方面是</w:t>
      </w:r>
      <w:r>
        <w:rPr>
          <w:rFonts w:hint="default" w:ascii="Times New Roman" w:hAnsi="Times New Roman" w:eastAsia="方正仿宋_GBK" w:cs="Times New Roman"/>
          <w:sz w:val="32"/>
          <w:szCs w:val="32"/>
          <w:shd w:val="clear" w:color="auto" w:fill="FFFFFF"/>
          <w:lang w:val="en-US" w:eastAsia="zh-CN"/>
        </w:rPr>
        <w:t>本年度没</w:t>
      </w:r>
      <w:r>
        <w:rPr>
          <w:rFonts w:hint="default" w:ascii="Times New Roman" w:hAnsi="Times New Roman" w:eastAsia="方正仿宋_GBK" w:cs="Times New Roman"/>
          <w:sz w:val="32"/>
          <w:szCs w:val="32"/>
          <w:shd w:val="clear" w:color="auto" w:fill="FFFFFF"/>
          <w:lang w:eastAsia="zh-CN"/>
        </w:rPr>
        <w:t>有补发考核绩效；另一方面是</w:t>
      </w:r>
      <w:r>
        <w:rPr>
          <w:rFonts w:hint="default" w:ascii="Times New Roman" w:hAnsi="Times New Roman" w:eastAsia="方正仿宋_GBK" w:cs="Times New Roman"/>
          <w:sz w:val="32"/>
          <w:szCs w:val="32"/>
          <w:shd w:val="clear" w:color="auto" w:fill="FFFFFF"/>
          <w:lang w:val="en-US" w:eastAsia="zh-CN"/>
        </w:rPr>
        <w:t>本</w:t>
      </w:r>
      <w:r>
        <w:rPr>
          <w:rFonts w:hint="default" w:ascii="Times New Roman" w:hAnsi="Times New Roman" w:eastAsia="方正仿宋_GBK" w:cs="Times New Roman"/>
          <w:sz w:val="32"/>
          <w:szCs w:val="32"/>
          <w:shd w:val="clear" w:color="auto" w:fill="FFFFFF"/>
          <w:lang w:eastAsia="zh-CN"/>
        </w:rPr>
        <w:t>年度本单位</w:t>
      </w:r>
      <w:r>
        <w:rPr>
          <w:rFonts w:hint="default" w:ascii="Times New Roman" w:hAnsi="Times New Roman" w:eastAsia="方正仿宋_GBK" w:cs="Times New Roman"/>
          <w:sz w:val="32"/>
          <w:szCs w:val="32"/>
          <w:shd w:val="clear" w:color="auto" w:fill="FFFFFF"/>
          <w:lang w:val="en-US" w:eastAsia="zh-CN"/>
        </w:rPr>
        <w:t>没</w:t>
      </w:r>
      <w:r>
        <w:rPr>
          <w:rFonts w:hint="default" w:ascii="Times New Roman" w:hAnsi="Times New Roman" w:eastAsia="方正仿宋_GBK" w:cs="Times New Roman"/>
          <w:sz w:val="32"/>
          <w:szCs w:val="32"/>
          <w:shd w:val="clear" w:color="auto" w:fill="FFFFFF"/>
          <w:lang w:eastAsia="zh-CN"/>
        </w:rPr>
        <w:t>有准备期职业年金。</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其中：财政拨款收入30.90万元，占100.0%；事业收入0.00万元，占0.0%；经营收入0.00万元，占0.0%；其他收入0.00万元，占0.0%。此外，使用非财政拨款结余（含专用结余）0.00万元，年初结转和结余0.00万元。</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Style w:val="8"/>
          <w:rFonts w:hint="default" w:ascii="Times New Roman" w:hAnsi="Times New Roman" w:eastAsia="方正仿宋_GBK" w:cs="Times New Roman"/>
          <w:sz w:val="32"/>
          <w:szCs w:val="32"/>
          <w:shd w:val="clear" w:color="auto" w:fill="FFFFFF"/>
          <w:lang w:val="en-US" w:eastAsia="zh-CN"/>
        </w:rPr>
        <w:t>2</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2024年度支出合计30.90万元，与2023年度相比，减少8.24万元，下降21.1%，主要原因</w:t>
      </w:r>
      <w:r>
        <w:rPr>
          <w:rFonts w:hint="default" w:ascii="Times New Roman" w:hAnsi="Times New Roman" w:eastAsia="方正仿宋_GBK" w:cs="Times New Roman"/>
          <w:sz w:val="32"/>
          <w:szCs w:val="32"/>
          <w:shd w:val="clear" w:color="auto" w:fill="FFFFFF"/>
          <w:lang w:eastAsia="zh-CN"/>
        </w:rPr>
        <w:t>一方面是</w:t>
      </w:r>
      <w:r>
        <w:rPr>
          <w:rFonts w:hint="default" w:ascii="Times New Roman" w:hAnsi="Times New Roman" w:eastAsia="方正仿宋_GBK" w:cs="Times New Roman"/>
          <w:sz w:val="32"/>
          <w:szCs w:val="32"/>
          <w:shd w:val="clear" w:color="auto" w:fill="FFFFFF"/>
          <w:lang w:val="en-US" w:eastAsia="zh-CN"/>
        </w:rPr>
        <w:t>本年度没</w:t>
      </w:r>
      <w:r>
        <w:rPr>
          <w:rFonts w:hint="default" w:ascii="Times New Roman" w:hAnsi="Times New Roman" w:eastAsia="方正仿宋_GBK" w:cs="Times New Roman"/>
          <w:sz w:val="32"/>
          <w:szCs w:val="32"/>
          <w:shd w:val="clear" w:color="auto" w:fill="FFFFFF"/>
          <w:lang w:eastAsia="zh-CN"/>
        </w:rPr>
        <w:t>有补发考核绩效；另一方面是</w:t>
      </w:r>
      <w:r>
        <w:rPr>
          <w:rFonts w:hint="default" w:ascii="Times New Roman" w:hAnsi="Times New Roman" w:eastAsia="方正仿宋_GBK" w:cs="Times New Roman"/>
          <w:sz w:val="32"/>
          <w:szCs w:val="32"/>
          <w:shd w:val="clear" w:color="auto" w:fill="FFFFFF"/>
          <w:lang w:val="en-US" w:eastAsia="zh-CN"/>
        </w:rPr>
        <w:t>本</w:t>
      </w:r>
      <w:r>
        <w:rPr>
          <w:rFonts w:hint="default" w:ascii="Times New Roman" w:hAnsi="Times New Roman" w:eastAsia="方正仿宋_GBK" w:cs="Times New Roman"/>
          <w:sz w:val="32"/>
          <w:szCs w:val="32"/>
          <w:shd w:val="clear" w:color="auto" w:fill="FFFFFF"/>
          <w:lang w:eastAsia="zh-CN"/>
        </w:rPr>
        <w:t>年度本单位</w:t>
      </w:r>
      <w:r>
        <w:rPr>
          <w:rFonts w:hint="default" w:ascii="Times New Roman" w:hAnsi="Times New Roman" w:eastAsia="方正仿宋_GBK" w:cs="Times New Roman"/>
          <w:sz w:val="32"/>
          <w:szCs w:val="32"/>
          <w:shd w:val="clear" w:color="auto" w:fill="FFFFFF"/>
          <w:lang w:val="en-US" w:eastAsia="zh-CN"/>
        </w:rPr>
        <w:t>没</w:t>
      </w:r>
      <w:r>
        <w:rPr>
          <w:rFonts w:hint="default" w:ascii="Times New Roman" w:hAnsi="Times New Roman" w:eastAsia="方正仿宋_GBK" w:cs="Times New Roman"/>
          <w:sz w:val="32"/>
          <w:szCs w:val="32"/>
          <w:shd w:val="clear" w:color="auto" w:fill="FFFFFF"/>
          <w:lang w:eastAsia="zh-CN"/>
        </w:rPr>
        <w:t>有准备期职业年金。</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其中：基本支出30.90万元，占100.0%；项目支出0.00万元，占0.0%；经营支出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lang w:val="en-US" w:eastAsia="zh-CN"/>
        </w:rPr>
        <w:t>3</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2024年无结转结余。</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（二）财政拨款收入支出决算总体情况说明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2024年度财政拨款收、支总计均为30.90万元。与2023年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相比，财政拨款收、支总计各减少8.24万元，下降21.1%。主要原因是</w:t>
      </w:r>
      <w:r>
        <w:rPr>
          <w:rFonts w:hint="default" w:ascii="Times New Roman" w:hAnsi="Times New Roman" w:eastAsia="方正仿宋_GBK" w:cs="Times New Roman"/>
          <w:sz w:val="32"/>
          <w:szCs w:val="32"/>
          <w:shd w:val="clear" w:color="auto" w:fill="FFFFFF"/>
          <w:lang w:eastAsia="zh-CN"/>
        </w:rPr>
        <w:t>上年补发考核绩效。</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（三）一般公共预算财政拨款收入支出决算情况说明</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2024年度一般公共预算财政拨款收入30.90万元，与2023年度相比，减少8.24万元，下降21.1%。主要原因</w:t>
      </w:r>
      <w:r>
        <w:rPr>
          <w:rFonts w:hint="default" w:ascii="Times New Roman" w:hAnsi="Times New Roman" w:eastAsia="方正仿宋_GBK" w:cs="Times New Roman"/>
          <w:sz w:val="32"/>
          <w:szCs w:val="32"/>
          <w:shd w:val="clear" w:color="auto" w:fill="FFFFFF"/>
          <w:lang w:eastAsia="zh-CN"/>
        </w:rPr>
        <w:t>一方面是</w:t>
      </w:r>
      <w:r>
        <w:rPr>
          <w:rFonts w:hint="default" w:ascii="Times New Roman" w:hAnsi="Times New Roman" w:eastAsia="方正仿宋_GBK" w:cs="Times New Roman"/>
          <w:sz w:val="32"/>
          <w:szCs w:val="32"/>
          <w:shd w:val="clear" w:color="auto" w:fill="FFFFFF"/>
          <w:lang w:val="en-US" w:eastAsia="zh-CN"/>
        </w:rPr>
        <w:t>本年度没</w:t>
      </w:r>
      <w:r>
        <w:rPr>
          <w:rFonts w:hint="default" w:ascii="Times New Roman" w:hAnsi="Times New Roman" w:eastAsia="方正仿宋_GBK" w:cs="Times New Roman"/>
          <w:sz w:val="32"/>
          <w:szCs w:val="32"/>
          <w:shd w:val="clear" w:color="auto" w:fill="FFFFFF"/>
          <w:lang w:eastAsia="zh-CN"/>
        </w:rPr>
        <w:t>有补发考核绩效；另一方面是</w:t>
      </w:r>
      <w:r>
        <w:rPr>
          <w:rFonts w:hint="default" w:ascii="Times New Roman" w:hAnsi="Times New Roman" w:eastAsia="方正仿宋_GBK" w:cs="Times New Roman"/>
          <w:sz w:val="32"/>
          <w:szCs w:val="32"/>
          <w:shd w:val="clear" w:color="auto" w:fill="FFFFFF"/>
          <w:lang w:val="en-US" w:eastAsia="zh-CN"/>
        </w:rPr>
        <w:t>本</w:t>
      </w:r>
      <w:r>
        <w:rPr>
          <w:rFonts w:hint="default" w:ascii="Times New Roman" w:hAnsi="Times New Roman" w:eastAsia="方正仿宋_GBK" w:cs="Times New Roman"/>
          <w:sz w:val="32"/>
          <w:szCs w:val="32"/>
          <w:shd w:val="clear" w:color="auto" w:fill="FFFFFF"/>
          <w:lang w:eastAsia="zh-CN"/>
        </w:rPr>
        <w:t>年度本单位</w:t>
      </w:r>
      <w:r>
        <w:rPr>
          <w:rFonts w:hint="default" w:ascii="Times New Roman" w:hAnsi="Times New Roman" w:eastAsia="方正仿宋_GBK" w:cs="Times New Roman"/>
          <w:sz w:val="32"/>
          <w:szCs w:val="32"/>
          <w:shd w:val="clear" w:color="auto" w:fill="FFFFFF"/>
          <w:lang w:val="en-US" w:eastAsia="zh-CN"/>
        </w:rPr>
        <w:t>没</w:t>
      </w:r>
      <w:r>
        <w:rPr>
          <w:rFonts w:hint="default" w:ascii="Times New Roman" w:hAnsi="Times New Roman" w:eastAsia="方正仿宋_GBK" w:cs="Times New Roman"/>
          <w:sz w:val="32"/>
          <w:szCs w:val="32"/>
          <w:shd w:val="clear" w:color="auto" w:fill="FFFFFF"/>
          <w:lang w:eastAsia="zh-CN"/>
        </w:rPr>
        <w:t>有准备期职业年金。</w:t>
      </w:r>
      <w:r>
        <w:rPr>
          <w:rFonts w:hint="default" w:ascii="Times New Roman" w:hAnsi="Times New Roman" w:eastAsia="方正仿宋_GBK" w:cs="Times New Roman"/>
          <w:sz w:val="32"/>
          <w:szCs w:val="32"/>
          <w:shd w:val="clear" w:color="auto" w:fill="FFFFFF"/>
        </w:rPr>
        <w:t>较年初预算数减少2.84万元，下降8.4%。主要原因是人员工资调标，故人员经费等预算增加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此外，年初财政拨款结转和结余0.00万元。</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2024年度一般公共预算财政拨款支出30.90万元，与2023年度</w:t>
      </w:r>
      <w:r>
        <w:rPr>
          <w:rFonts w:hint="default" w:ascii="Times New Roman" w:hAnsi="Times New Roman" w:eastAsia="方正仿宋_GBK" w:cs="Times New Roman"/>
          <w:sz w:val="32"/>
          <w:szCs w:val="32"/>
          <w:shd w:val="clear" w:color="auto" w:fill="FFFFFF"/>
          <w:lang w:eastAsia="zh-CN"/>
        </w:rPr>
        <w:t>相比</w:t>
      </w:r>
      <w:r>
        <w:rPr>
          <w:rFonts w:hint="default" w:ascii="Times New Roman" w:hAnsi="Times New Roman" w:eastAsia="方正仿宋_GBK" w:cs="Times New Roman"/>
          <w:sz w:val="32"/>
          <w:szCs w:val="32"/>
          <w:shd w:val="clear" w:color="auto" w:fill="FFFFFF"/>
        </w:rPr>
        <w:t>，减少8.24万元，下降21.1%。。主要原因</w:t>
      </w:r>
      <w:r>
        <w:rPr>
          <w:rFonts w:hint="default" w:ascii="Times New Roman" w:hAnsi="Times New Roman" w:eastAsia="方正仿宋_GBK" w:cs="Times New Roman"/>
          <w:sz w:val="32"/>
          <w:szCs w:val="32"/>
          <w:shd w:val="clear" w:color="auto" w:fill="FFFFFF"/>
          <w:lang w:eastAsia="zh-CN"/>
        </w:rPr>
        <w:t>一方面是</w:t>
      </w:r>
      <w:r>
        <w:rPr>
          <w:rFonts w:hint="default" w:ascii="Times New Roman" w:hAnsi="Times New Roman" w:eastAsia="方正仿宋_GBK" w:cs="Times New Roman"/>
          <w:sz w:val="32"/>
          <w:szCs w:val="32"/>
          <w:shd w:val="clear" w:color="auto" w:fill="FFFFFF"/>
          <w:lang w:val="en-US" w:eastAsia="zh-CN"/>
        </w:rPr>
        <w:t>本年度没</w:t>
      </w:r>
      <w:r>
        <w:rPr>
          <w:rFonts w:hint="default" w:ascii="Times New Roman" w:hAnsi="Times New Roman" w:eastAsia="方正仿宋_GBK" w:cs="Times New Roman"/>
          <w:sz w:val="32"/>
          <w:szCs w:val="32"/>
          <w:shd w:val="clear" w:color="auto" w:fill="FFFFFF"/>
          <w:lang w:eastAsia="zh-CN"/>
        </w:rPr>
        <w:t>有补发考核绩效；另一方面是</w:t>
      </w:r>
      <w:r>
        <w:rPr>
          <w:rFonts w:hint="default" w:ascii="Times New Roman" w:hAnsi="Times New Roman" w:eastAsia="方正仿宋_GBK" w:cs="Times New Roman"/>
          <w:sz w:val="32"/>
          <w:szCs w:val="32"/>
          <w:shd w:val="clear" w:color="auto" w:fill="FFFFFF"/>
          <w:lang w:val="en-US" w:eastAsia="zh-CN"/>
        </w:rPr>
        <w:t>本</w:t>
      </w:r>
      <w:r>
        <w:rPr>
          <w:rFonts w:hint="default" w:ascii="Times New Roman" w:hAnsi="Times New Roman" w:eastAsia="方正仿宋_GBK" w:cs="Times New Roman"/>
          <w:sz w:val="32"/>
          <w:szCs w:val="32"/>
          <w:shd w:val="clear" w:color="auto" w:fill="FFFFFF"/>
          <w:lang w:eastAsia="zh-CN"/>
        </w:rPr>
        <w:t>年度本单位</w:t>
      </w:r>
      <w:r>
        <w:rPr>
          <w:rFonts w:hint="default" w:ascii="Times New Roman" w:hAnsi="Times New Roman" w:eastAsia="方正仿宋_GBK" w:cs="Times New Roman"/>
          <w:sz w:val="32"/>
          <w:szCs w:val="32"/>
          <w:shd w:val="clear" w:color="auto" w:fill="FFFFFF"/>
          <w:lang w:val="en-US" w:eastAsia="zh-CN"/>
        </w:rPr>
        <w:t>没</w:t>
      </w:r>
      <w:r>
        <w:rPr>
          <w:rFonts w:hint="default" w:ascii="Times New Roman" w:hAnsi="Times New Roman" w:eastAsia="方正仿宋_GBK" w:cs="Times New Roman"/>
          <w:sz w:val="32"/>
          <w:szCs w:val="32"/>
          <w:shd w:val="clear" w:color="auto" w:fill="FFFFFF"/>
          <w:lang w:eastAsia="zh-CN"/>
        </w:rPr>
        <w:t>有准备期职业年金。</w:t>
      </w:r>
      <w:r>
        <w:rPr>
          <w:rFonts w:hint="default" w:ascii="Times New Roman" w:hAnsi="Times New Roman" w:eastAsia="方正仿宋_GBK" w:cs="Times New Roman"/>
          <w:sz w:val="32"/>
          <w:szCs w:val="32"/>
          <w:shd w:val="clear" w:color="auto" w:fill="FFFFFF"/>
        </w:rPr>
        <w:t>较年初预算数减少2.84万元，下降8.4%。主要原因是人员工资调标，故人员经费等预算增加</w:t>
      </w:r>
      <w:r>
        <w:rPr>
          <w:rFonts w:hint="default" w:ascii="Times New Roman" w:hAnsi="Times New Roman" w:eastAsia="方正仿宋_GBK" w:cs="Times New Roman"/>
          <w:sz w:val="32"/>
          <w:szCs w:val="32"/>
          <w:shd w:val="clear" w:color="auto" w:fill="FFFFFF"/>
          <w:lang w:eastAsia="zh-CN"/>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highlight w:val="none"/>
          <w:shd w:val="clear" w:color="auto" w:fill="FFFFFF"/>
        </w:rPr>
        <w:t>文化旅游体育与传媒支出23.25万元，占75.2%，较年初预算数减少3.62万元，下降13.5%，主要原因是</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lang w:val="en-US" w:eastAsia="zh-CN"/>
        </w:rPr>
        <w:t>本年度没</w:t>
      </w:r>
      <w:r>
        <w:rPr>
          <w:rFonts w:hint="default" w:ascii="Times New Roman" w:hAnsi="Times New Roman" w:eastAsia="方正仿宋_GBK" w:cs="Times New Roman"/>
          <w:sz w:val="32"/>
          <w:szCs w:val="32"/>
          <w:shd w:val="clear" w:color="auto" w:fill="FFFFFF"/>
          <w:lang w:eastAsia="zh-CN"/>
        </w:rPr>
        <w:t>有补发考核绩效。</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就业支出4.29万元，占13.9%，较年初预算数增加0.89万元，增长26.2%，主要原因是人员工资调标，故人员经费等预算增加</w:t>
      </w:r>
      <w:r>
        <w:rPr>
          <w:rFonts w:hint="default" w:ascii="Times New Roman" w:hAnsi="Times New Roman" w:eastAsia="方正仿宋_GBK" w:cs="Times New Roman"/>
          <w:sz w:val="32"/>
          <w:szCs w:val="32"/>
          <w:shd w:val="clear" w:color="auto" w:fill="FFFFFF"/>
          <w:lang w:eastAsia="zh-CN"/>
        </w:rPr>
        <w:t>。</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）卫生健康支出1.67万元，占5.4%，较年初预算数减少0.10万元，下降5.7%，主要原因是</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lang w:val="en-US" w:eastAsia="zh-CN"/>
        </w:rPr>
        <w:t>本年度没</w:t>
      </w:r>
      <w:r>
        <w:rPr>
          <w:rFonts w:hint="default" w:ascii="Times New Roman" w:hAnsi="Times New Roman" w:eastAsia="方正仿宋_GBK" w:cs="Times New Roman"/>
          <w:sz w:val="32"/>
          <w:szCs w:val="32"/>
          <w:shd w:val="clear" w:color="auto" w:fill="FFFFFF"/>
          <w:lang w:eastAsia="zh-CN"/>
        </w:rPr>
        <w:t>有补发考核绩效。</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eastAsia="zh-CN"/>
        </w:rPr>
        <w:t>住房保障支出1.70万元，占5.5%，较年初预算数无增减，主要原因是</w:t>
      </w:r>
      <w:r>
        <w:rPr>
          <w:rFonts w:hint="default" w:ascii="Times New Roman" w:hAnsi="Times New Roman" w:eastAsia="方正仿宋_GBK" w:cs="Times New Roman"/>
          <w:sz w:val="32"/>
          <w:szCs w:val="32"/>
          <w:shd w:val="clear" w:color="auto" w:fill="FFFFFF"/>
          <w:lang w:val="en-US" w:eastAsia="zh-CN"/>
        </w:rPr>
        <w:t>2024年度无人员晋升，工资调标情况。</w:t>
      </w:r>
      <w:r>
        <w:rPr>
          <w:rFonts w:hint="default" w:ascii="Times New Roman" w:hAnsi="Times New Roman" w:eastAsia="方正仿宋_GBK" w:cs="Times New Roman"/>
          <w:sz w:val="32"/>
          <w:szCs w:val="32"/>
          <w:shd w:val="clear" w:color="auto" w:fill="FFFFFF"/>
          <w:lang w:eastAsia="zh-CN"/>
        </w:rPr>
        <w:t xml:space="preserve"> </w:t>
      </w:r>
    </w:p>
    <w:p>
      <w:pPr>
        <w:pStyle w:val="5"/>
        <w:pageBreakBefore w:val="0"/>
        <w:widowControl/>
        <w:kinsoku/>
        <w:wordWrap/>
        <w:overflowPunct/>
        <w:topLinePunct w:val="0"/>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2024年无结转结余。</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（四）一般公共预算财政拨款基本支出决算情况说明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2024年度一般公共财政拨款基本支出30.90万元。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人员经费26.62万元，与2023年度相比，减少8.30万元，下降23.8%，主要原因</w:t>
      </w:r>
      <w:r>
        <w:rPr>
          <w:rFonts w:hint="default" w:ascii="Times New Roman" w:hAnsi="Times New Roman" w:eastAsia="方正仿宋_GBK" w:cs="Times New Roman"/>
          <w:sz w:val="32"/>
          <w:szCs w:val="32"/>
          <w:shd w:val="clear" w:color="auto" w:fill="FFFFFF"/>
          <w:lang w:val="en-US" w:eastAsia="zh-CN"/>
        </w:rPr>
        <w:t>本</w:t>
      </w:r>
      <w:r>
        <w:rPr>
          <w:rFonts w:hint="default" w:ascii="Times New Roman" w:hAnsi="Times New Roman" w:eastAsia="方正仿宋_GBK" w:cs="Times New Roman"/>
          <w:sz w:val="32"/>
          <w:szCs w:val="32"/>
          <w:shd w:val="clear" w:color="auto" w:fill="FFFFFF"/>
          <w:lang w:eastAsia="zh-CN"/>
        </w:rPr>
        <w:t>年度本单位</w:t>
      </w:r>
      <w:r>
        <w:rPr>
          <w:rFonts w:hint="default" w:ascii="Times New Roman" w:hAnsi="Times New Roman" w:eastAsia="方正仿宋_GBK" w:cs="Times New Roman"/>
          <w:sz w:val="32"/>
          <w:szCs w:val="32"/>
          <w:shd w:val="clear" w:color="auto" w:fill="FFFFFF"/>
          <w:lang w:val="en-US" w:eastAsia="zh-CN"/>
        </w:rPr>
        <w:t>没</w:t>
      </w:r>
      <w:r>
        <w:rPr>
          <w:rFonts w:hint="default" w:ascii="Times New Roman" w:hAnsi="Times New Roman" w:eastAsia="方正仿宋_GBK" w:cs="Times New Roman"/>
          <w:sz w:val="32"/>
          <w:szCs w:val="32"/>
          <w:shd w:val="clear" w:color="auto" w:fill="FFFFFF"/>
          <w:lang w:eastAsia="zh-CN"/>
        </w:rPr>
        <w:t>有准备期职业年金。</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kern w:val="0"/>
          <w:sz w:val="32"/>
          <w:szCs w:val="32"/>
        </w:rPr>
        <w:t>基本工资、津贴补贴、奖金、社会保障缴费、养老保险职业年金缴费、住房公积金、超额绩效等</w:t>
      </w:r>
      <w:r>
        <w:rPr>
          <w:rFonts w:hint="default" w:ascii="Times New Roman" w:hAnsi="Times New Roman" w:eastAsia="方正仿宋_GBK" w:cs="Times New Roman"/>
          <w:color w:val="auto"/>
          <w:kern w:val="0"/>
          <w:sz w:val="32"/>
          <w:szCs w:val="32"/>
          <w:lang w:eastAsia="zh-CN"/>
        </w:rPr>
        <w:t>。</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公用经费4.28万元，与2023年度相比，增加0.06万元，增长1.4%，主要原因是</w:t>
      </w:r>
      <w:r>
        <w:rPr>
          <w:rFonts w:hint="default" w:ascii="Times New Roman" w:hAnsi="Times New Roman" w:eastAsia="方正仿宋_GBK" w:cs="Times New Roman"/>
          <w:sz w:val="32"/>
          <w:szCs w:val="32"/>
          <w:shd w:val="clear" w:color="auto" w:fill="FFFFFF"/>
          <w:lang w:eastAsia="zh-CN"/>
        </w:rPr>
        <w:t>新媒体宣传培训费用增</w:t>
      </w:r>
      <w:r>
        <w:rPr>
          <w:rFonts w:hint="default" w:ascii="Times New Roman" w:hAnsi="Times New Roman" w:eastAsia="方正仿宋_GBK" w:cs="Times New Roman"/>
          <w:sz w:val="32"/>
          <w:szCs w:val="32"/>
          <w:shd w:val="clear" w:color="auto" w:fill="FFFFFF"/>
          <w:lang w:val="en-US" w:eastAsia="zh-CN"/>
        </w:rPr>
        <w:t>加</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kern w:val="0"/>
          <w:sz w:val="32"/>
          <w:szCs w:val="32"/>
        </w:rPr>
        <w:t>办公费、广告费、电费、邮电费、差旅费、培训费、公务接待费、工会经费、其他交通费用、其他商品和服务支出。</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（五）政府性基金预算收支决算情况说明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kern w:val="0"/>
          <w:sz w:val="32"/>
          <w:szCs w:val="32"/>
        </w:rPr>
        <w:t>本单位202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年度无政府性基金预算财政拨款收支。</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（六）国有资本经营预算财政拨款支出决算情况说明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w:t>
      </w:r>
      <w:r>
        <w:rPr>
          <w:rFonts w:hint="default" w:ascii="Times New Roman" w:hAnsi="Times New Roman" w:eastAsia="方正仿宋_GBK" w:cs="Times New Roman"/>
          <w:color w:val="auto"/>
          <w:kern w:val="0"/>
          <w:sz w:val="32"/>
          <w:szCs w:val="32"/>
          <w:lang w:eastAsia="zh-CN"/>
        </w:rPr>
        <w:t>单位</w:t>
      </w:r>
      <w:r>
        <w:rPr>
          <w:rFonts w:hint="default" w:ascii="Times New Roman" w:hAnsi="Times New Roman" w:eastAsia="方正仿宋_GBK" w:cs="Times New Roman"/>
          <w:color w:val="auto"/>
          <w:kern w:val="0"/>
          <w:sz w:val="32"/>
          <w:szCs w:val="32"/>
        </w:rPr>
        <w:t>2024年度无国有资本经营预算财政拨款支出。</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三、财政拨款“三公”经费情况说明</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（一）“三公”经费支出总体情况说明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w:t>
      </w:r>
      <w:r>
        <w:rPr>
          <w:rFonts w:hint="default" w:ascii="Times New Roman" w:hAnsi="Times New Roman" w:eastAsia="方正仿宋_GBK" w:cs="Times New Roman"/>
          <w:sz w:val="32"/>
          <w:szCs w:val="32"/>
          <w:highlight w:val="none"/>
          <w:shd w:val="clear" w:color="auto" w:fill="FFFFFF"/>
        </w:rPr>
        <w:t>是</w:t>
      </w:r>
      <w:r>
        <w:rPr>
          <w:rFonts w:hint="default" w:ascii="Times New Roman" w:hAnsi="Times New Roman" w:eastAsia="方正仿宋_GBK" w:cs="Times New Roman"/>
          <w:sz w:val="32"/>
          <w:szCs w:val="32"/>
          <w:highlight w:val="none"/>
          <w:shd w:val="clear" w:color="auto" w:fill="FFFFFF"/>
          <w:lang w:eastAsia="zh-CN"/>
        </w:rPr>
        <w:t>本单位公务接待合并在本级支付，</w:t>
      </w:r>
      <w:r>
        <w:rPr>
          <w:rFonts w:hint="default" w:ascii="Times New Roman" w:hAnsi="Times New Roman" w:eastAsia="方正仿宋_GBK" w:cs="Times New Roman"/>
          <w:sz w:val="32"/>
          <w:szCs w:val="32"/>
          <w:highlight w:val="none"/>
          <w:shd w:val="clear" w:color="auto" w:fill="FFFFFF"/>
          <w:lang w:val="en-US" w:eastAsia="zh-CN"/>
        </w:rPr>
        <w:t>2024年度未发生公务接待费用</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本单位公务接待合并在本级支付，</w:t>
      </w:r>
      <w:r>
        <w:rPr>
          <w:rFonts w:hint="default" w:ascii="Times New Roman" w:hAnsi="Times New Roman" w:eastAsia="方正仿宋_GBK" w:cs="Times New Roman"/>
          <w:sz w:val="32"/>
          <w:szCs w:val="32"/>
          <w:highlight w:val="none"/>
          <w:shd w:val="clear" w:color="auto" w:fill="FFFFFF"/>
          <w:lang w:val="en-US" w:eastAsia="zh-CN"/>
        </w:rPr>
        <w:t>2024年度未发生公务接待费用。</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（二）“三公”经费分项支出情况</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年度本单位未发生因公出国（境）费用。</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年度本单位未发生公务车购置费。</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年本单位度未发生公务车运行维护费。</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年本单位度未发生</w:t>
      </w:r>
      <w:r>
        <w:rPr>
          <w:rFonts w:hint="default" w:ascii="Times New Roman" w:hAnsi="Times New Roman" w:eastAsia="方正仿宋_GBK" w:cs="Times New Roman"/>
          <w:sz w:val="32"/>
          <w:szCs w:val="32"/>
          <w:highlight w:val="none"/>
          <w:shd w:val="clear" w:color="auto" w:fill="FFFFFF"/>
        </w:rPr>
        <w:t>公务接待费</w:t>
      </w:r>
      <w:r>
        <w:rPr>
          <w:rFonts w:hint="default" w:ascii="Times New Roman" w:hAnsi="Times New Roman" w:eastAsia="方正仿宋_GBK" w:cs="Times New Roman"/>
          <w:color w:val="auto"/>
          <w:kern w:val="0"/>
          <w:sz w:val="32"/>
          <w:szCs w:val="32"/>
        </w:rPr>
        <w:t>。</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（三）“三公”经费实物量情况</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四、其他需要说明的事项</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（一）财政拨款会议费、培训费和差旅费情况说明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本年度会议费支出0.00万元，与2023年度相比，无增减，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2024年度未发生会议支出。</w:t>
      </w:r>
      <w:r>
        <w:rPr>
          <w:rFonts w:hint="default" w:ascii="Times New Roman" w:hAnsi="Times New Roman" w:eastAsia="方正仿宋_GBK" w:cs="Times New Roman"/>
          <w:sz w:val="32"/>
          <w:szCs w:val="32"/>
          <w:shd w:val="clear" w:color="auto" w:fill="FFFFFF"/>
        </w:rPr>
        <w:t>本年度培训费支出0.00万元，与2023年度相比，无变化，</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2024年度未发生会议支出。</w:t>
      </w:r>
      <w:r>
        <w:rPr>
          <w:rFonts w:hint="default" w:ascii="Times New Roman" w:hAnsi="Times New Roman" w:eastAsia="方正仿宋_GBK" w:cs="Times New Roman"/>
          <w:sz w:val="32"/>
          <w:szCs w:val="32"/>
          <w:shd w:val="clear" w:color="auto" w:fill="FFFFFF"/>
        </w:rPr>
        <w:t>本年度差旅费支出0.00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与2023年度相比，减少0.20万元，下降100.0%，主要原因是</w:t>
      </w:r>
      <w:r>
        <w:rPr>
          <w:rFonts w:hint="default" w:ascii="Times New Roman" w:hAnsi="Times New Roman" w:eastAsia="方正仿宋_GBK" w:cs="Times New Roman"/>
          <w:sz w:val="32"/>
          <w:szCs w:val="32"/>
          <w:highlight w:val="none"/>
          <w:shd w:val="clear" w:color="auto" w:fill="FFFFFF"/>
          <w:lang w:eastAsia="zh-CN"/>
        </w:rPr>
        <w:t>本单位差旅费合并在本级支付。</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（二）机关运行经费情况说明</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因本单位为事业单位原因，</w:t>
      </w:r>
      <w:r>
        <w:rPr>
          <w:rFonts w:hint="default" w:ascii="Times New Roman" w:hAnsi="Times New Roman" w:eastAsia="方正仿宋_GBK" w:cs="Times New Roman"/>
          <w:color w:val="auto"/>
          <w:kern w:val="0"/>
          <w:sz w:val="32"/>
          <w:szCs w:val="32"/>
          <w:lang w:eastAsia="zh-CN"/>
        </w:rPr>
        <w:t>未使用财政资金保障</w:t>
      </w:r>
      <w:r>
        <w:rPr>
          <w:rFonts w:hint="default" w:ascii="Times New Roman" w:hAnsi="Times New Roman" w:eastAsia="方正仿宋_GBK" w:cs="Times New Roman"/>
          <w:color w:val="auto"/>
          <w:kern w:val="0"/>
          <w:sz w:val="32"/>
          <w:szCs w:val="32"/>
        </w:rPr>
        <w:t>机关运行经费。</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（三）国有资产占用情况说明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rPr>
        <w:t>因本单位资产合并在鱼池镇人民政府本级上报原因，我单位资产未纳入决算报表。</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（四）政府采购支出情况说明</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202</w:t>
      </w: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年度我单位未发生政府采购事项，无相关经费支出。</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val="en-US" w:eastAsia="zh-CN"/>
        </w:rPr>
        <w:t>五、</w:t>
      </w:r>
      <w:r>
        <w:rPr>
          <w:rStyle w:val="8"/>
          <w:rFonts w:hint="default" w:ascii="Times New Roman" w:hAnsi="Times New Roman" w:eastAsia="方正黑体_GBK" w:cs="Times New Roman"/>
          <w:b w:val="0"/>
          <w:bCs/>
          <w:sz w:val="32"/>
          <w:szCs w:val="32"/>
          <w:shd w:val="clear" w:color="auto" w:fill="FFFFFF"/>
          <w:lang w:eastAsia="zh-CN"/>
        </w:rPr>
        <w:t>预算绩效管理情况说明</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（一）单位自评情况</w:t>
      </w:r>
    </w:p>
    <w:p>
      <w:pPr>
        <w:keepNext/>
        <w:keepLines/>
        <w:pageBreakBefore w:val="0"/>
        <w:widowControl/>
        <w:suppressLineNumbers/>
        <w:kinsoku/>
        <w:wordWrap/>
        <w:overflowPunct/>
        <w:topLinePunct w:val="0"/>
        <w:autoSpaceDE w:val="0"/>
        <w:autoSpaceDN w:val="0"/>
        <w:bidi w:val="0"/>
        <w:adjustRightInd w:val="0"/>
        <w:spacing w:beforeLines="0" w:afterLines="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本单位为鱼池镇人民政府下属二级预算单位，预算绩效管理工作由鱼池镇人民政府本级开展，我单位未开展预算绩效管理工作。</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（二）单位绩效评价情况</w:t>
      </w:r>
    </w:p>
    <w:p>
      <w:pPr>
        <w:pStyle w:val="9"/>
        <w:pageBreakBefore w:val="0"/>
        <w:widowControl/>
        <w:kinsoku/>
        <w:wordWrap/>
        <w:overflowPunct/>
        <w:topLinePunct w:val="0"/>
        <w:autoSpaceDE w:val="0"/>
        <w:bidi w:val="0"/>
        <w:spacing w:line="594" w:lineRule="exact"/>
        <w:ind w:firstLine="643"/>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lang w:eastAsia="zh-CN"/>
        </w:rPr>
        <w:t>我单位未组织开展绩效评价</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楷体_GBK" w:cs="Times New Roman"/>
          <w:b w:val="0"/>
          <w:bCs/>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（三）财政绩效评价情况</w:t>
      </w:r>
    </w:p>
    <w:p>
      <w:pPr>
        <w:pStyle w:val="11"/>
        <w:pageBreakBefore w:val="0"/>
        <w:widowControl/>
        <w:kinsoku/>
        <w:wordWrap/>
        <w:overflowPunct/>
        <w:topLinePunct w:val="0"/>
        <w:autoSpaceDE w:val="0"/>
        <w:bidi w:val="0"/>
        <w:spacing w:line="594" w:lineRule="exact"/>
        <w:ind w:firstLine="64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sz w:val="32"/>
          <w:szCs w:val="32"/>
          <w:shd w:val="clear" w:color="auto" w:fill="FFFFFF"/>
        </w:rPr>
        <w:t>市财政局</w:t>
      </w:r>
      <w:r>
        <w:rPr>
          <w:rFonts w:hint="default" w:ascii="Times New Roman" w:hAnsi="Times New Roman" w:eastAsia="方正仿宋_GBK" w:cs="Times New Roman"/>
          <w:color w:val="auto"/>
          <w:sz w:val="32"/>
          <w:szCs w:val="32"/>
          <w:shd w:val="clear" w:color="auto" w:fill="FFFFFF"/>
          <w:lang w:eastAsia="zh-CN"/>
        </w:rPr>
        <w:t>未委托第三方对我单位开展绩效评价。</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eastAsia="zh-CN"/>
        </w:rPr>
      </w:pPr>
      <w:r>
        <w:rPr>
          <w:rStyle w:val="8"/>
          <w:rFonts w:hint="default" w:ascii="Times New Roman" w:hAnsi="Times New Roman" w:eastAsia="方正黑体_GBK" w:cs="Times New Roman"/>
          <w:b w:val="0"/>
          <w:bCs/>
          <w:sz w:val="32"/>
          <w:szCs w:val="32"/>
          <w:shd w:val="clear" w:color="auto" w:fill="FFFFFF"/>
          <w:lang w:eastAsia="zh-CN"/>
        </w:rPr>
        <w:t>六、专业名词解释</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ageBreakBefore w:val="0"/>
        <w:widowControl/>
        <w:kinsoku/>
        <w:wordWrap/>
        <w:overflowPunct/>
        <w:topLinePunct w:val="0"/>
        <w:bidi w:val="0"/>
        <w:spacing w:beforeLines="0" w:afterLines="0" w:line="594" w:lineRule="exact"/>
        <w:ind w:firstLine="640" w:firstLineChars="200"/>
        <w:textAlignment w:val="auto"/>
        <w:rPr>
          <w:rStyle w:val="8"/>
          <w:rFonts w:hint="default" w:ascii="Times New Roman" w:hAnsi="Times New Roman" w:eastAsia="方正黑体_GBK" w:cs="Times New Roman"/>
          <w:b w:val="0"/>
          <w:bCs/>
          <w:sz w:val="32"/>
          <w:szCs w:val="32"/>
          <w:shd w:val="clear" w:color="auto" w:fill="FFFFFF"/>
          <w:lang w:val="en-US" w:eastAsia="zh-CN"/>
        </w:rPr>
      </w:pPr>
      <w:bookmarkStart w:id="0" w:name="_GoBack"/>
      <w:bookmarkEnd w:id="0"/>
      <w:r>
        <w:rPr>
          <w:rStyle w:val="8"/>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5"/>
        <w:pageBreakBefore w:val="0"/>
        <w:widowControl/>
        <w:kinsoku/>
        <w:wordWrap/>
        <w:overflowPunct/>
        <w:topLinePunct w:val="0"/>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刘芷余023-73384001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pStyle w:val="9"/>
        <w:autoSpaceDE w:val="0"/>
        <w:ind w:firstLine="0" w:firstLineChars="0"/>
        <w:rPr>
          <w:rStyle w:val="8"/>
          <w:rFonts w:hint="default" w:ascii="Times New Roman" w:hAnsi="Times New Roman" w:eastAsia="方正仿宋_GBK" w:cs="Times New Roman"/>
          <w:sz w:val="32"/>
          <w:szCs w:val="32"/>
          <w:shd w:val="clear" w:color="auto" w:fill="FFFF00"/>
        </w:rPr>
        <w:sectPr>
          <w:footerReference r:id="rId3" w:type="default"/>
          <w:pgSz w:w="11915" w:h="16840"/>
          <w:pgMar w:top="1984" w:right="1446" w:bottom="1672" w:left="1446"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石柱土家族自治县鱼池镇新时代文明实践服务中心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232,469.56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42,893.28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16,669.10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17,013.60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309,045.54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309,045.54</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石柱土家族自治县鱼池镇新时代文明实践服务中心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309,045.54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309,045.54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232,469.56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232,469.56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232,469.56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232,469.56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232,469.56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232,469.56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42,893.28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42,893.28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42,893.28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42,893.28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28,595.52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28,595.52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14,297.76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14,297.76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13,469.10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13,469.10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17,013.60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石柱土家族自治县鱼池镇新时代文明实践服务中心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309,045.54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309,045.54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232,469.56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232,469.56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232,469.56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232,469.56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232,469.56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232,469.56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42,893.28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42,893.28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42,893.28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42,893.28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28,595.52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28,595.52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14,297.76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14,297.76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16,669.10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13,469.10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13,469.10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17,013.60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石柱土家族自治县鱼池镇新时代文明实践服务中心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232,469.56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232,469.56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42,893.28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42,893.28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16,669.10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16,669.10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17,013.60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17,013.60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309,045.54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石柱土家族自治县鱼池镇新时代文明实践服务中心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309,045.54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309,045.54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309,045.54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309,045.54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232,469.56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232,469.56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232,469.56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232,469.56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232,469.56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232,469.56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232,469.56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232,469.56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232,469.56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232,469.56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232,469.56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232,469.56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42,893.28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42,893.28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42,893.28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42,893.28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42,893.28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42,893.28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42,893.28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42,893.28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28,595.52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28,595.52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28,595.52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28,595.52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14,297.76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14,297.76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14,297.76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14,297.76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16,669.10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16,669.10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16,669.10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16,669.10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16,669.10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16,669.10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16,669.10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16,669.10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13,469.10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13,469.10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13,469.10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13,469.10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17,013.60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17,013.60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17,013.60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17,013.60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17,013.60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17,013.60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17,013.60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17,013.60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17,013.60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17,013.60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17,013.60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17,013.60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石柱土家族自治县鱼池镇新时代文明实践服务中心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266,209.94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42,835.60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51,886.00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27,266.58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15,844.00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120,201.00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28,595.52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1,913.98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14,297.76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14,178.00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994.06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17,013.60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2,835.60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10,819.44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266,209.94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42,835.60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石柱土家族自治县鱼池镇新时代文明实践服务中心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石柱土家族自治县鱼池镇新时代文明实践服务中心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石柱土家族自治县鱼池镇新时代文明实践服务中心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3303058-CE31-40DD-9F3D-7BCB5502927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2010600010101010101"/>
    <w:charset w:val="86"/>
    <w:family w:val="auto"/>
    <w:pitch w:val="default"/>
    <w:sig w:usb0="00000001" w:usb1="080E0000" w:usb2="00000000" w:usb3="00000000" w:csb0="00040000" w:csb1="00000000"/>
    <w:embedRegular r:id="rId2" w:fontKey="{E3DF4721-4A71-48A6-89D5-6C5017269892}"/>
  </w:font>
  <w:font w:name="方正楷体_GBK">
    <w:panose1 w:val="03000509000000000000"/>
    <w:charset w:val="86"/>
    <w:family w:val="script"/>
    <w:pitch w:val="default"/>
    <w:sig w:usb0="00000001" w:usb1="080E0000" w:usb2="00000000" w:usb3="00000000" w:csb0="00040000" w:csb1="00000000"/>
    <w:embedRegular r:id="rId3" w:fontKey="{006E21FD-7A93-4627-8FB5-DAB91DD8B50B}"/>
  </w:font>
  <w:font w:name="方正仿宋_GBK">
    <w:panose1 w:val="02000000000000000000"/>
    <w:charset w:val="86"/>
    <w:family w:val="script"/>
    <w:pitch w:val="default"/>
    <w:sig w:usb0="00000001" w:usb1="080E0000" w:usb2="00000000" w:usb3="00000000" w:csb0="00040000" w:csb1="00000000"/>
    <w:embedRegular r:id="rId4" w:fontKey="{595D2BC3-92D5-41C4-95A4-9C4A6E4BF0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- 4 -</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3NzQwNWJkNjAyN2QwOWZiMGIyYjAyNzEwZTE4NTM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633C00"/>
    <w:rsid w:val="1CCB1165"/>
    <w:rsid w:val="1CE157EE"/>
    <w:rsid w:val="1D014A01"/>
    <w:rsid w:val="1D022362"/>
    <w:rsid w:val="1DD26311"/>
    <w:rsid w:val="1EF67CA4"/>
    <w:rsid w:val="1FCD26AF"/>
    <w:rsid w:val="20642787"/>
    <w:rsid w:val="21556F04"/>
    <w:rsid w:val="22403BD3"/>
    <w:rsid w:val="24B92327"/>
    <w:rsid w:val="2533755C"/>
    <w:rsid w:val="25DE1F58"/>
    <w:rsid w:val="26396DF4"/>
    <w:rsid w:val="27167136"/>
    <w:rsid w:val="27B23302"/>
    <w:rsid w:val="29310A5F"/>
    <w:rsid w:val="29C37A35"/>
    <w:rsid w:val="29C95E09"/>
    <w:rsid w:val="2A076083"/>
    <w:rsid w:val="2A73162E"/>
    <w:rsid w:val="2B167953"/>
    <w:rsid w:val="2B200583"/>
    <w:rsid w:val="2B8209DE"/>
    <w:rsid w:val="2C161D32"/>
    <w:rsid w:val="2C2D3EC7"/>
    <w:rsid w:val="2C6762A3"/>
    <w:rsid w:val="2CF72A4A"/>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1219B2"/>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D940185"/>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5F05AC"/>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A42814"/>
    <w:rsid w:val="72DB435C"/>
    <w:rsid w:val="74F16CF6"/>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列出段落1"/>
    <w:basedOn w:val="1"/>
    <w:autoRedefine/>
    <w:qFormat/>
    <w:uiPriority w:val="99"/>
    <w:pPr>
      <w:ind w:firstLine="420" w:firstLineChars="200"/>
    </w:pPr>
    <w:rPr>
      <w:rFonts w:hint="default"/>
    </w:rPr>
  </w:style>
  <w:style w:type="character" w:customStyle="1" w:styleId="10">
    <w:name w:val="21"/>
    <w:basedOn w:val="7"/>
    <w:autoRedefine/>
    <w:qFormat/>
    <w:uiPriority w:val="0"/>
    <w:rPr>
      <w:rFonts w:hint="default" w:ascii="Wingdings" w:hAnsi="Wingdings" w:cs="Wingdings"/>
      <w:b/>
      <w:bCs/>
    </w:rPr>
  </w:style>
  <w:style w:type="paragraph" w:customStyle="1" w:styleId="11">
    <w:name w:val="列出段落2"/>
    <w:autoRedefine/>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3986</Words>
  <Characters>5513</Characters>
  <Lines>161</Lines>
  <Paragraphs>45</Paragraphs>
  <TotalTime>16</TotalTime>
  <ScaleCrop>false</ScaleCrop>
  <LinksUpToDate>false</LinksUpToDate>
  <CharactersWithSpaces>5766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麻酱</cp:lastModifiedBy>
  <dcterms:modified xsi:type="dcterms:W3CDTF">2025-10-14T10:56:09Z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FC84FF29599C473DAE71AB15F0D8D782_13</vt:lpwstr>
  </property>
  <property fmtid="{D5CDD505-2E9C-101B-9397-08002B2CF9AE}" pid="4" name="KSOTemplateDocerSaveRecord">
    <vt:lpwstr>eyJoZGlkIjoiMDFjMDkyZjc3NDUwNDgxODAyN2VhZmM0ZjVjNDQyYTYiLCJ1c2VySWQiOiI2NjMxMDczNzgifQ==</vt:lpwstr>
  </property>
</Properties>
</file>