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石柱土家族自治县鱼池镇便民服务中心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ageBreakBefore w:val="0"/>
        <w:widowControl/>
        <w:kinsoku/>
        <w:wordWrap/>
        <w:overflowPunct/>
        <w:topLinePunct w:val="0"/>
        <w:bidi w:val="0"/>
        <w:spacing w:line="594" w:lineRule="exact"/>
        <w:ind w:firstLine="627" w:firstLineChars="196"/>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宗旨：为劳动就业、社会保障等工作服务。</w:t>
      </w:r>
    </w:p>
    <w:p>
      <w:pPr>
        <w:pageBreakBefore w:val="0"/>
        <w:widowControl/>
        <w:kinsoku/>
        <w:wordWrap/>
        <w:overflowPunct/>
        <w:topLinePunct w:val="0"/>
        <w:bidi w:val="0"/>
        <w:spacing w:line="594" w:lineRule="exact"/>
        <w:ind w:firstLine="627" w:firstLineChars="196"/>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主要职责任务：承担劳动就业、社会保障等服务工作。</w:t>
      </w:r>
    </w:p>
    <w:p>
      <w:pPr>
        <w:pageBreakBefore w:val="0"/>
        <w:widowControl/>
        <w:kinsoku/>
        <w:wordWrap/>
        <w:overflowPunct/>
        <w:topLinePunct w:val="0"/>
        <w:bidi w:val="0"/>
        <w:spacing w:line="594" w:lineRule="exact"/>
        <w:ind w:firstLine="627" w:firstLineChars="196"/>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具体职责任务：</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（1）承担养老保险、失业保险、城乡居民医疗保险等社会保险服务工作。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（2）承担辖区内失业人员就业培训、职业介绍、就业创业指导、就业再就业小额贷款推荐审核等服务工作。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（3）承担辖区内农村富余劳动力及外来务工人员的就业管理服务工作。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（4）承担辖区内劳动保障咨询、调解和维权工作。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（5）承担辖区内退休人员、工伤人员及享受供养亲属抚恤金人员的社会化服务工作。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（6）负责村（居）劳动就业和社会保障服务站和社会保障工作者的业务指导工作。</w:t>
      </w:r>
    </w:p>
    <w:p>
      <w:pPr>
        <w:pageBreakBefore w:val="0"/>
        <w:widowControl/>
        <w:kinsoku/>
        <w:wordWrap/>
        <w:overflowPunct/>
        <w:topLinePunct w:val="0"/>
        <w:bidi w:val="0"/>
        <w:spacing w:line="594"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（7）参与辖区内定点医疗机构的督促检查工作。</w:t>
      </w:r>
    </w:p>
    <w:p>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（8）逐步开展面向农村社会缺乏供养保障的其他老年人、残疾人和未成年人提供生活服务。</w:t>
      </w:r>
    </w:p>
    <w:p>
      <w:pPr>
        <w:pageBreakBefore w:val="0"/>
        <w:widowControl/>
        <w:kinsoku/>
        <w:wordWrap/>
        <w:overflowPunct/>
        <w:topLinePunct w:val="0"/>
        <w:bidi w:val="0"/>
        <w:adjustRightInd w:val="0"/>
        <w:snapToGrid w:val="0"/>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（9）承办镇党委、镇政府交办的其他工作任务。</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本单位内设</w:t>
      </w:r>
      <w:r>
        <w:rPr>
          <w:rFonts w:hint="default" w:ascii="Times New Roman" w:hAnsi="Times New Roman" w:eastAsia="方正仿宋_GBK" w:cs="Times New Roman"/>
          <w:sz w:val="32"/>
          <w:lang w:eastAsia="zh-CN"/>
        </w:rPr>
        <w:t>便民</w:t>
      </w:r>
      <w:r>
        <w:rPr>
          <w:rFonts w:hint="default" w:ascii="Times New Roman" w:hAnsi="Times New Roman" w:eastAsia="方正仿宋_GBK" w:cs="Times New Roman"/>
          <w:sz w:val="32"/>
        </w:rPr>
        <w:t>服务</w:t>
      </w:r>
      <w:r>
        <w:rPr>
          <w:rFonts w:hint="default" w:ascii="Times New Roman" w:hAnsi="Times New Roman" w:eastAsia="方正仿宋_GBK" w:cs="Times New Roman"/>
          <w:sz w:val="32"/>
          <w:lang w:eastAsia="zh-CN"/>
        </w:rPr>
        <w:t>中心</w:t>
      </w:r>
      <w:r>
        <w:rPr>
          <w:rFonts w:hint="default" w:ascii="Times New Roman" w:hAnsi="Times New Roman" w:eastAsia="方正仿宋_GBK" w:cs="Times New Roman"/>
          <w:sz w:val="32"/>
        </w:rPr>
        <w:t>办公室。</w:t>
      </w: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ageBreakBefore w:val="0"/>
        <w:widowControl/>
        <w:kinsoku/>
        <w:wordWrap/>
        <w:overflowPunct/>
        <w:topLinePunct w:val="0"/>
        <w:bidi w:val="0"/>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2024年度收、支总计均为76.20万元。收、支与2023年度相比，增加2.85万元，增长3.9%，主要原因是人员增加。</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2024年度收入合计76.20万元，与2023年度相比，增加2.85万元，增长3.9%，主要原因是</w:t>
      </w:r>
      <w:r>
        <w:rPr>
          <w:rFonts w:hint="default" w:ascii="Times New Roman" w:hAnsi="Times New Roman" w:eastAsia="方正仿宋_GBK" w:cs="Times New Roman"/>
          <w:sz w:val="32"/>
          <w:szCs w:val="32"/>
          <w:shd w:val="clear" w:color="auto" w:fill="FFFFFF"/>
          <w:lang w:eastAsia="zh-CN"/>
        </w:rPr>
        <w:t>人员增加。</w:t>
      </w:r>
    </w:p>
    <w:p>
      <w:pPr>
        <w:pStyle w:val="5"/>
        <w:pageBreakBefore w:val="0"/>
        <w:widowControl/>
        <w:kinsoku/>
        <w:wordWrap/>
        <w:overflowPunct/>
        <w:topLinePunct w:val="0"/>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其中：财政拨款收入76.20万元，占100.0%；事业收入0.00万元，占0.0%；经营收入0.00万元，占0.0%；其他收入0.00万元，占0.0%。此外，使用非财政拨款结余（含专用结余）0.00万元，年初结转和结余0.00万元。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2024年度支出合计76.20万元，与2023年度相比，增加2.85万元，增长3.9%，主要原因是</w:t>
      </w:r>
      <w:r>
        <w:rPr>
          <w:rFonts w:hint="default" w:ascii="Times New Roman" w:hAnsi="Times New Roman" w:eastAsia="方正仿宋_GBK" w:cs="Times New Roman"/>
          <w:sz w:val="32"/>
          <w:szCs w:val="32"/>
          <w:shd w:val="clear" w:color="auto" w:fill="FFFFFF"/>
          <w:lang w:eastAsia="zh-CN"/>
        </w:rPr>
        <w:t>人员增加。</w:t>
      </w:r>
    </w:p>
    <w:p>
      <w:pPr>
        <w:pStyle w:val="5"/>
        <w:pageBreakBefore w:val="0"/>
        <w:widowControl/>
        <w:kinsoku/>
        <w:wordWrap/>
        <w:overflowPunct/>
        <w:topLinePunct w:val="0"/>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其中：基本支出76.20万元，占100.0%；项目支出0.00万元，占0.0%；经营支出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2024年无结转结余。</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2024年度财政拨款收、支总计均为76.20万元。与2023年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相比，财政拨款收、支总计各增加2.85万元，增长3.9%。主要原因是</w:t>
      </w:r>
      <w:r>
        <w:rPr>
          <w:rFonts w:hint="default" w:ascii="Times New Roman" w:hAnsi="Times New Roman" w:eastAsia="方正仿宋_GBK" w:cs="Times New Roman"/>
          <w:sz w:val="32"/>
          <w:szCs w:val="32"/>
          <w:shd w:val="clear" w:color="auto" w:fill="FFFFFF"/>
          <w:lang w:eastAsia="zh-CN"/>
        </w:rPr>
        <w:t>人员增加。</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2024年度一般公共预算财政拨款收入76.20万元，与2023年度相比，增加2.85万元，增长3.9%。主要原因是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sz w:val="32"/>
          <w:szCs w:val="32"/>
          <w:shd w:val="clear" w:color="auto" w:fill="FFFFFF"/>
        </w:rPr>
        <w:t>较年初预算数增加36.81万元，增长93.5%。主要原因是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sz w:val="32"/>
          <w:szCs w:val="32"/>
          <w:shd w:val="clear" w:color="auto" w:fill="FFFFFF"/>
        </w:rPr>
        <w:t>此外，年初财政拨款结转和结余0.00万元。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2024年度一般公共预算财政拨款支出76.20万元，与2023年度相比，增加2.85万元，增长3.9%。主要原因是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sz w:val="32"/>
          <w:szCs w:val="32"/>
          <w:shd w:val="clear" w:color="auto" w:fill="FFFFFF"/>
        </w:rPr>
        <w:t>较年初预算数增加36.81万元，增长93.5%。主要原因是</w:t>
      </w:r>
      <w:r>
        <w:rPr>
          <w:rFonts w:hint="default" w:ascii="Times New Roman" w:hAnsi="Times New Roman" w:eastAsia="方正仿宋_GBK" w:cs="Times New Roman"/>
          <w:sz w:val="32"/>
          <w:szCs w:val="32"/>
          <w:shd w:val="clear" w:color="auto" w:fill="FFFFFF"/>
          <w:lang w:eastAsia="zh-CN"/>
        </w:rPr>
        <w:t>人员增加。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就业支出69.50万元，占91.2%，较年初预算数增加33.81万元，增长94.7%，主要原因是</w:t>
      </w:r>
      <w:r>
        <w:rPr>
          <w:rFonts w:hint="default" w:ascii="Times New Roman" w:hAnsi="Times New Roman" w:eastAsia="方正仿宋_GBK" w:cs="Times New Roman"/>
          <w:sz w:val="32"/>
          <w:szCs w:val="32"/>
          <w:shd w:val="clear" w:color="auto" w:fill="FFFFFF"/>
          <w:lang w:eastAsia="zh-CN"/>
        </w:rPr>
        <w:t>人员增加。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）卫生健康支出3.33万元，占4.4%，较年初预算数增加1.32万元，增长65.7%，主要原因是</w:t>
      </w:r>
      <w:r>
        <w:rPr>
          <w:rFonts w:hint="default" w:ascii="Times New Roman" w:hAnsi="Times New Roman" w:eastAsia="方正仿宋_GBK" w:cs="Times New Roman"/>
          <w:sz w:val="32"/>
          <w:szCs w:val="32"/>
          <w:shd w:val="clear" w:color="auto" w:fill="FFFFFF"/>
          <w:lang w:eastAsia="zh-CN"/>
        </w:rPr>
        <w:t>人员增加。</w:t>
      </w:r>
    </w:p>
    <w:p>
      <w:pPr>
        <w:pageBreakBefore w:val="0"/>
        <w:widowControl/>
        <w:kinsoku/>
        <w:wordWrap/>
        <w:overflowPunct/>
        <w:topLinePunct w:val="0"/>
        <w:bidi w:val="0"/>
        <w:spacing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3.37万元，占4.4%，较年初预算数增加1.68万元，增长99.4%，主要原因是</w:t>
      </w:r>
      <w:r>
        <w:rPr>
          <w:rFonts w:hint="default" w:ascii="Times New Roman" w:hAnsi="Times New Roman" w:eastAsia="方正仿宋_GBK" w:cs="Times New Roman"/>
          <w:sz w:val="32"/>
          <w:szCs w:val="32"/>
          <w:shd w:val="clear" w:color="auto" w:fill="FFFFFF"/>
          <w:lang w:eastAsia="zh-CN"/>
        </w:rPr>
        <w:t>人员增加。</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2024年无结转结余。</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2024年度一般公共财政拨款基本支出76.20万元。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人员经费67.92万元，与2023年度相比，增加3.07万元，增长4.7%，主要原因是</w:t>
      </w:r>
      <w:r>
        <w:rPr>
          <w:rFonts w:hint="default" w:ascii="Times New Roman" w:hAnsi="Times New Roman" w:eastAsia="方正仿宋_GBK" w:cs="Times New Roman"/>
          <w:sz w:val="32"/>
          <w:szCs w:val="32"/>
          <w:shd w:val="clear" w:color="auto" w:fill="FFFFFF"/>
          <w:lang w:eastAsia="zh-CN"/>
        </w:rPr>
        <w:t>人员增加。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rPr>
        <w:t>基本工资、津贴补贴、奖金、社会保障缴费、养老保险职业年金缴费、住房公积金、超额绩效等。</w:t>
      </w:r>
      <w:r>
        <w:rPr>
          <w:rFonts w:hint="default" w:ascii="Times New Roman" w:hAnsi="Times New Roman" w:eastAsia="方正仿宋_GBK" w:cs="Times New Roman"/>
          <w:sz w:val="32"/>
          <w:szCs w:val="32"/>
          <w:shd w:val="clear" w:color="auto" w:fill="FFFFFF"/>
        </w:rPr>
        <w:t>公用经费8.28万元，与2023年度相比，减少0.22万元，下降2.6%，主要原因是</w:t>
      </w:r>
      <w:r>
        <w:rPr>
          <w:rFonts w:hint="default" w:ascii="Times New Roman" w:hAnsi="Times New Roman" w:eastAsia="方正仿宋_GBK" w:cs="Times New Roman"/>
          <w:kern w:val="0"/>
          <w:sz w:val="32"/>
          <w:szCs w:val="32"/>
          <w:lang w:eastAsia="zh-CN"/>
        </w:rPr>
        <w:t>厉行节约，办公经费减少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办公费、广告费、电费、邮电费、差旅费、培训费、公务接待费、工会经费、其他交通费用、其他商品和服务支出。</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年度无政府性基金预算财政拨款收支。</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w:t>
      </w:r>
      <w:r>
        <w:rPr>
          <w:rFonts w:hint="default" w:ascii="Times New Roman" w:hAnsi="Times New Roman" w:eastAsia="方正仿宋_GBK" w:cs="Times New Roman"/>
          <w:kern w:val="0"/>
          <w:sz w:val="32"/>
          <w:szCs w:val="32"/>
          <w:lang w:eastAsia="zh-CN"/>
        </w:rPr>
        <w:t>单位</w:t>
      </w:r>
      <w:r>
        <w:rPr>
          <w:rFonts w:hint="default" w:ascii="Times New Roman" w:hAnsi="Times New Roman" w:eastAsia="方正仿宋_GBK" w:cs="Times New Roman"/>
          <w:kern w:val="0"/>
          <w:sz w:val="32"/>
          <w:szCs w:val="32"/>
        </w:rPr>
        <w:t>2024年度无国有资本经营预算财政拨款支出。</w:t>
      </w: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主要原因是认真贯彻落实中央八项规定精神，按照只减不增的要求从严控制“三公”经费。较上年支出数无增减，主要原因是认真贯彻落实中央八项规定精神，按照只减不增的要求从严控制“三公”经费。</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年度本单位未发生因公出国（境）费用。</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年度本单位未发生公务车购置费。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年本单位度未发生公务车运行维护费。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rPr>
        <w:t>2024年</w:t>
      </w:r>
      <w:r>
        <w:rPr>
          <w:rFonts w:hint="default" w:ascii="Times New Roman" w:hAnsi="Times New Roman" w:eastAsia="方正仿宋_GBK" w:cs="Times New Roman"/>
          <w:kern w:val="0"/>
          <w:sz w:val="32"/>
          <w:szCs w:val="32"/>
        </w:rPr>
        <w:t>本单位度未发生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本年度培训费支出0.00万元，与2023年度相比，无变化，主要原因是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本年度差旅费支出1.56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与2023年度相比，增加1.41万元，增长940.0%，主要原因是</w:t>
      </w:r>
      <w:r>
        <w:rPr>
          <w:rFonts w:hint="default" w:ascii="Times New Roman" w:hAnsi="Times New Roman" w:eastAsia="方正仿宋_GBK" w:cs="Times New Roman"/>
          <w:sz w:val="32"/>
          <w:szCs w:val="32"/>
          <w:shd w:val="clear" w:color="auto" w:fill="FFFFFF"/>
          <w:lang w:val="en-US" w:eastAsia="zh-CN"/>
        </w:rPr>
        <w:t>本单位2024年度差旅增加。</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因本单位为事业单位原因，财政未保障我单位机关运行经费。</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kern w:val="0"/>
          <w:sz w:val="32"/>
          <w:szCs w:val="32"/>
        </w:rPr>
        <w:t>因本单位资产合并在鱼池镇人民政府本级上报原因，我单位资产未纳入决算报表。</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年度我单位未发生政府采购事项，无相关经费支出。</w:t>
      </w: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val="en-US" w:eastAsia="zh-CN"/>
        </w:rPr>
        <w:t>五、</w:t>
      </w:r>
      <w:r>
        <w:rPr>
          <w:rStyle w:val="8"/>
          <w:rFonts w:hint="default" w:ascii="Times New Roman" w:hAnsi="Times New Roman" w:eastAsia="方正黑体_GBK" w:cs="Times New Roman"/>
          <w:b w:val="0"/>
          <w:bCs/>
          <w:sz w:val="32"/>
          <w:szCs w:val="32"/>
          <w:shd w:val="clear" w:color="auto" w:fill="FFFFFF"/>
        </w:rPr>
        <w:t>预算绩效管理情况说明</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pPr>
        <w:pageBreakBefore w:val="0"/>
        <w:widowControl/>
        <w:kinsoku/>
        <w:wordWrap/>
        <w:overflowPunct/>
        <w:topLinePunct w:val="0"/>
        <w:bidi w:val="0"/>
        <w:spacing w:line="594" w:lineRule="exact"/>
        <w:ind w:firstLine="627" w:firstLineChars="196"/>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未委托第三方对我单位开展绩效评价。</w:t>
      </w:r>
    </w:p>
    <w:p>
      <w:pPr>
        <w:pageBreakBefore w:val="0"/>
        <w:widowControl/>
        <w:kinsoku/>
        <w:wordWrap/>
        <w:overflowPunct/>
        <w:topLinePunct w:val="0"/>
        <w:bidi w:val="0"/>
        <w:spacing w:line="594" w:lineRule="exact"/>
        <w:ind w:firstLine="645"/>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w:t>
      </w:r>
      <w:r>
        <w:rPr>
          <w:rFonts w:hint="default" w:ascii="Times New Roman" w:hAnsi="Times New Roman" w:eastAsia="方正仿宋_GBK" w:cs="Times New Roman"/>
          <w:sz w:val="32"/>
          <w:szCs w:val="32"/>
          <w:shd w:val="clear" w:color="auto" w:fill="FFFFFF"/>
          <w:lang w:val="en-US" w:eastAsia="zh-CN"/>
        </w:rPr>
        <w:t>用。</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lang w:val="en-US" w:eastAsia="zh-CN"/>
        </w:rPr>
        <w:t>反映单</w:t>
      </w:r>
      <w:r>
        <w:rPr>
          <w:rFonts w:hint="default" w:ascii="Times New Roman" w:hAnsi="Times New Roman" w:eastAsia="方正仿宋_GBK" w:cs="Times New Roman"/>
          <w:sz w:val="32"/>
          <w:szCs w:val="32"/>
          <w:shd w:val="clear" w:color="auto" w:fill="FFFFFF"/>
        </w:rPr>
        <w:t>位开支的在职职工和编制外长期聘用人员的各类劳动报酬，以及为上述人员缴纳的各项社会保险费等。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ageBreakBefore w:val="0"/>
        <w:widowControl/>
        <w:kinsoku/>
        <w:wordWrap/>
        <w:overflowPunct/>
        <w:topLinePunct w:val="0"/>
        <w:bidi w:val="0"/>
        <w:spacing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bookmarkStart w:id="0" w:name="_GoBack"/>
      <w:bookmarkEnd w:id="0"/>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9"/>
        <w:autoSpaceDE w:val="0"/>
        <w:ind w:firstLine="0" w:firstLineChars="0"/>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石柱土家族自治县鱼池镇便民服务中心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695,041.77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33,341.80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33,652.80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762,036.37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762,036.37</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762,036.37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762,036.37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695,041.77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695,041.77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578,117.12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578,117.12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578,117.12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578,117.12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69,796.48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69,796.48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33,652.80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762,036.37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762,036.37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695,041.77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695,041.77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578,117.12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578,117.12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578,117.12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578,117.12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116,924.65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69,796.48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69,796.48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33,652.80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695,041.77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695,041.77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33,341.80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33,341.80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33,652.80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33,652.80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762,036.37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762,036.37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762,036.37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762,036.37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762,036.37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695,041.77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695,041.77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695,041.77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695,041.77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578,117.12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578,117.12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578,117.12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578,117.12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578,117.12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578,117.12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578,117.12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578,117.12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116,924.65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116,924.65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116,924.65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116,924.65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69,796.48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69,796.48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69,796.48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69,796.48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35,053.17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35,053.17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35,053.17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35,053.17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33,341.80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33,652.80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33,652.80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33,652.80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33,652.80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33,652.80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664,643.05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82,818.32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136,034.00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53,424.35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37,851.00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317,067.00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69,796.48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3,854.16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35,053.17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28,044.00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2,944.60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15,596.50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33,652.80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12,075.00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2,818.32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7,124.99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679,218.05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82,818.32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石柱土家族自治县鱼池镇便民服务中心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15,596.50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B72023C-832B-4E9D-BB19-70434DE3EC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A865E931-6BE8-4A04-B099-813A2C32712E}"/>
  </w:font>
  <w:font w:name="方正楷体_GBK">
    <w:panose1 w:val="03000509000000000000"/>
    <w:charset w:val="86"/>
    <w:family w:val="auto"/>
    <w:pitch w:val="default"/>
    <w:sig w:usb0="00000001" w:usb1="080E0000" w:usb2="00000000" w:usb3="00000000" w:csb0="00040000" w:csb1="00000000"/>
    <w:embedRegular r:id="rId3" w:fontKey="{F3605B30-D0AF-4412-A6D5-FCFC478FBF71}"/>
  </w:font>
  <w:font w:name="方正仿宋_GBK">
    <w:panose1 w:val="02000000000000000000"/>
    <w:charset w:val="86"/>
    <w:family w:val="script"/>
    <w:pitch w:val="default"/>
    <w:sig w:usb0="00000001" w:usb1="080E0000" w:usb2="00000000" w:usb3="00000000" w:csb0="00040000" w:csb1="00000000"/>
    <w:embedRegular r:id="rId4" w:fontKey="{45A1A94E-3999-491B-8EAF-302254D51E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116574"/>
    <w:rsid w:val="1CE157EE"/>
    <w:rsid w:val="1D014A01"/>
    <w:rsid w:val="1D022362"/>
    <w:rsid w:val="1DD26311"/>
    <w:rsid w:val="1EF67CA4"/>
    <w:rsid w:val="1FCD26AF"/>
    <w:rsid w:val="20642787"/>
    <w:rsid w:val="21556F04"/>
    <w:rsid w:val="22403BD3"/>
    <w:rsid w:val="243463F2"/>
    <w:rsid w:val="24B92327"/>
    <w:rsid w:val="2533755C"/>
    <w:rsid w:val="26396DF4"/>
    <w:rsid w:val="27167136"/>
    <w:rsid w:val="27B23302"/>
    <w:rsid w:val="2874629B"/>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C16704"/>
    <w:rsid w:val="37F26E25"/>
    <w:rsid w:val="38BE4696"/>
    <w:rsid w:val="39166507"/>
    <w:rsid w:val="39B82A39"/>
    <w:rsid w:val="39F33306"/>
    <w:rsid w:val="3B1705E5"/>
    <w:rsid w:val="3B18334B"/>
    <w:rsid w:val="3B36794F"/>
    <w:rsid w:val="3B544954"/>
    <w:rsid w:val="3BF014AD"/>
    <w:rsid w:val="3C07778E"/>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5517E4"/>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503CE3"/>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3920</Words>
  <Characters>5431</Characters>
  <Lines>161</Lines>
  <Paragraphs>45</Paragraphs>
  <TotalTime>9</TotalTime>
  <ScaleCrop>false</ScaleCrop>
  <LinksUpToDate>false</LinksUpToDate>
  <CharactersWithSpaces>5685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麻酱</cp:lastModifiedBy>
  <dcterms:modified xsi:type="dcterms:W3CDTF">2025-10-14T10:59:57Z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5C4AA8C377B448E5A8DC20CCD9B72AC8_13</vt:lpwstr>
  </property>
  <property fmtid="{D5CDD505-2E9C-101B-9397-08002B2CF9AE}" pid="4" name="KSOTemplateDocerSaveRecord">
    <vt:lpwstr>eyJoZGlkIjoiMDFjMDkyZjc3NDUwNDgxODAyN2VhZmM0ZjVjNDQyYTYiLCJ1c2VySWQiOiI2NjMxMDczNzgifQ==</vt:lpwstr>
  </property>
</Properties>
</file>