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石柱土家族自治县鱼池镇景区服务中心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36"/>
          <w:szCs w:val="36"/>
          <w:shd w:val="clear" w:color="auto" w:fill="FFFFFF"/>
        </w:rPr>
      </w:pPr>
    </w:p>
    <w:p>
      <w:pPr>
        <w:pageBreakBefore w:val="0"/>
        <w:widowControl/>
        <w:kinsoku/>
        <w:wordWrap/>
        <w:overflowPunct/>
        <w:topLinePunct w:val="0"/>
        <w:bidi w:val="0"/>
        <w:spacing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ageBreakBefore w:val="0"/>
        <w:widowControl/>
        <w:kinsoku/>
        <w:wordWrap/>
        <w:overflowPunct/>
        <w:topLinePunct w:val="0"/>
        <w:bidi w:val="0"/>
        <w:spacing w:line="594"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val="0"/>
          <w:sz w:val="32"/>
          <w:lang w:eastAsia="zh-CN"/>
        </w:rPr>
      </w:pPr>
      <w:r>
        <w:rPr>
          <w:rFonts w:hint="default" w:ascii="Times New Roman" w:hAnsi="Times New Roman" w:eastAsia="方正仿宋_GBK" w:cs="Times New Roman"/>
          <w:b w:val="0"/>
          <w:bCs w:val="0"/>
          <w:sz w:val="32"/>
          <w:lang w:eastAsia="zh-CN"/>
        </w:rPr>
        <w:t>为辖区内的景区建设与管理提供服务。贯彻落实景区发展的方针政策。负责辖区内旅游信息采集、整理和分析，旅游资源的普查、规划等事务性工作。负责辖区内旅游宣传、旅游咨询、游客服务等服务性工作。负责辖区内的旅游设施管理与维护，旅游产品包装，旅游营销及乡村旅游服务等工作。负责维护辖区内旅游市场秩序，营造诚信经营、文明有序的旅游市场环境。负责指导旅游项目、旅游产品开发等工作。负责镇党委、人民政府交办的其他工作任务。</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本单位内设</w:t>
      </w:r>
      <w:r>
        <w:rPr>
          <w:rFonts w:hint="default" w:ascii="Times New Roman" w:hAnsi="Times New Roman" w:eastAsia="方正仿宋_GBK" w:cs="Times New Roman"/>
          <w:b w:val="0"/>
          <w:bCs w:val="0"/>
          <w:sz w:val="32"/>
          <w:lang w:eastAsia="zh-CN"/>
        </w:rPr>
        <w:t>景区服务中心</w:t>
      </w:r>
      <w:r>
        <w:rPr>
          <w:rFonts w:hint="default" w:ascii="Times New Roman" w:hAnsi="Times New Roman" w:eastAsia="方正仿宋_GBK" w:cs="Times New Roman"/>
          <w:b w:val="0"/>
          <w:bCs w:val="0"/>
          <w:sz w:val="32"/>
        </w:rPr>
        <w:t>办公室。</w:t>
      </w:r>
    </w:p>
    <w:p>
      <w:pPr>
        <w:pageBreakBefore w:val="0"/>
        <w:widowControl/>
        <w:kinsoku/>
        <w:wordWrap/>
        <w:overflowPunct/>
        <w:topLinePunct w:val="0"/>
        <w:bidi w:val="0"/>
        <w:spacing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eastAsia="zh-CN"/>
        </w:rPr>
      </w:pPr>
      <w:r>
        <w:rPr>
          <w:rStyle w:val="8"/>
          <w:rFonts w:hint="default" w:ascii="方正黑体_GBK" w:hAnsi="方正黑体_GBK" w:eastAsia="方正黑体_GBK" w:cs="方正黑体_GBK"/>
          <w:b w:val="0"/>
          <w:bCs w:val="0"/>
          <w:sz w:val="32"/>
          <w:szCs w:val="32"/>
          <w:shd w:val="clear" w:color="auto" w:fill="FFFFFF"/>
          <w:lang w:eastAsia="zh-CN"/>
        </w:rPr>
        <w:t>二、单位决算收支情况说明</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38.33万元。收、支与2023年度相</w:t>
      </w:r>
      <w:bookmarkStart w:id="0" w:name="_GoBack"/>
      <w:bookmarkEnd w:id="0"/>
      <w:r>
        <w:rPr>
          <w:rFonts w:hint="default" w:ascii="Times New Roman" w:hAnsi="Times New Roman" w:eastAsia="方正仿宋_GBK" w:cs="Times New Roman"/>
          <w:b w:val="0"/>
          <w:bCs w:val="0"/>
          <w:sz w:val="32"/>
          <w:szCs w:val="32"/>
          <w:shd w:val="clear" w:color="auto" w:fill="FFFFFF"/>
        </w:rPr>
        <w:t>比，增加38.33万元，增长100.0%，主要原因是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eastAsia" w:ascii="Times New Roman" w:hAnsi="Times New Roman" w:eastAsia="方正仿宋_GBK" w:cs="Times New Roman"/>
          <w:b/>
          <w:bCs/>
          <w:sz w:val="32"/>
          <w:szCs w:val="32"/>
          <w:shd w:val="clear" w:color="auto" w:fill="FFFFFF"/>
          <w:lang w:val="en-US" w:eastAsia="zh-CN"/>
        </w:rPr>
        <w:t>1.</w:t>
      </w:r>
      <w:r>
        <w:rPr>
          <w:rStyle w:val="8"/>
          <w:rFonts w:hint="default" w:ascii="Times New Roman" w:hAnsi="Times New Roman" w:eastAsia="方正仿宋_GBK" w:cs="Times New Roman"/>
          <w:b/>
          <w:bCs/>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2024年度收入合计38.33万元，与2023年度相比，增加38.33万元，增长100.0%，要原因是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其中：财政拨款收入38.33万元，占100.0%；事业收入0.00万元，占0.0%；经营收入0.00万元，占0.0%；其他收入0.00万元，占0.0%。此外，使用非财政拨款结余（含专用结余）0.00万元，年初结转和结余0.00万元。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bCs/>
          <w:sz w:val="32"/>
          <w:szCs w:val="32"/>
          <w:shd w:val="clear" w:color="auto" w:fill="FFFFFF"/>
          <w:lang w:val="en-US" w:eastAsia="zh-CN"/>
        </w:rPr>
        <w:t>2</w:t>
      </w:r>
      <w:r>
        <w:rPr>
          <w:rStyle w:val="8"/>
          <w:rFonts w:hint="default" w:ascii="Times New Roman" w:hAnsi="Times New Roman" w:eastAsia="方正仿宋_GBK" w:cs="Times New Roman"/>
          <w:b/>
          <w:bCs/>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2024年度支出合计38.33万元，与2023年度相比，增加38.33万元，增长100.0%，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其中：基本支出38.33万元，占100.0%；项目支出0.00万元，占0.0%；经营支出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Cs/>
          <w:sz w:val="32"/>
          <w:szCs w:val="32"/>
          <w:shd w:val="clear" w:color="auto" w:fill="FFFFFF"/>
          <w:lang w:val="en-US" w:eastAsia="zh-CN" w:bidi="ar-SA"/>
        </w:rPr>
        <w:t>3.结转结余情况</w:t>
      </w:r>
      <w:r>
        <w:rPr>
          <w:rStyle w:val="8"/>
          <w:rFonts w:hint="eastAsia" w:ascii="Times New Roman" w:hAnsi="Times New Roman" w:eastAsia="方正仿宋_GBK" w:cs="Times New Roman"/>
          <w:bCs/>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2024年度财政拨款收、支总计均为38.33万元。与2023年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相比，财政拨款收、支总计各增加38.33万元，增长100.0%。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Cs/>
          <w:sz w:val="32"/>
          <w:szCs w:val="32"/>
          <w:shd w:val="clear" w:color="auto" w:fill="FFFFFF"/>
          <w:lang w:val="en-US" w:eastAsia="zh-CN" w:bidi="ar-SA"/>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2024年度一般公共预算财政拨款收入38.33万元，与2023年度相比，增加38.33万元，增长100.0%。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较年初预算数增加38.33万元，增长100.0%。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此外，年初财政拨款结转和结余0.00万元。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Cs/>
          <w:sz w:val="32"/>
          <w:szCs w:val="32"/>
          <w:shd w:val="clear" w:color="auto" w:fill="FFFFFF"/>
          <w:lang w:val="en-US" w:eastAsia="zh-CN" w:bidi="ar-SA"/>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2024年度一般公共预算财政拨款支出38.33万元，与2023年度相比，增加38.33万元，增长100.0%。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较年初预算数增加38.33万元，增长100.0%。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pPr>
        <w:pStyle w:val="5"/>
        <w:pageBreakBefore w:val="0"/>
        <w:widowControl/>
        <w:numPr>
          <w:ilvl w:val="0"/>
          <w:numId w:val="1"/>
        </w:numPr>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一般公共服务支出8.29万元，占21.6%，较年初预算数增加8.29万元，增长100.0%，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为新增事业单位人员</w:t>
      </w:r>
      <w:r>
        <w:rPr>
          <w:rFonts w:hint="default" w:ascii="Times New Roman" w:hAnsi="Times New Roman" w:eastAsia="方正仿宋_GBK" w:cs="Times New Roman"/>
          <w:b w:val="0"/>
          <w:bCs w:val="0"/>
          <w:color w:val="auto"/>
          <w:sz w:val="32"/>
          <w:szCs w:val="32"/>
          <w:shd w:val="clear" w:color="auto" w:fill="FFFFFF"/>
          <w:lang w:eastAsia="zh-CN"/>
        </w:rPr>
        <w:t>经费保障工资、绩效等支出。</w:t>
      </w:r>
    </w:p>
    <w:p>
      <w:pPr>
        <w:pStyle w:val="5"/>
        <w:pageBreakBefore w:val="0"/>
        <w:widowControl/>
        <w:numPr>
          <w:ilvl w:val="0"/>
          <w:numId w:val="1"/>
        </w:numPr>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就业支出26.53万元，占69.2%，较年初预算数增加26.53万元，增长100.0%，</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为新增事业单位人员</w:t>
      </w:r>
      <w:r>
        <w:rPr>
          <w:rFonts w:hint="default" w:ascii="Times New Roman" w:hAnsi="Times New Roman" w:eastAsia="方正仿宋_GBK" w:cs="Times New Roman"/>
          <w:b w:val="0"/>
          <w:bCs w:val="0"/>
          <w:color w:val="auto"/>
          <w:sz w:val="32"/>
          <w:szCs w:val="32"/>
          <w:shd w:val="clear" w:color="auto" w:fill="FFFFFF"/>
          <w:lang w:eastAsia="zh-CN"/>
        </w:rPr>
        <w:t>保障职业年金等保险支出。。</w:t>
      </w:r>
    </w:p>
    <w:p>
      <w:pPr>
        <w:pStyle w:val="5"/>
        <w:pageBreakBefore w:val="0"/>
        <w:widowControl/>
        <w:numPr>
          <w:ilvl w:val="0"/>
          <w:numId w:val="1"/>
        </w:numPr>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eastAsia="zh-CN"/>
        </w:rPr>
        <w:t>卫生健康支出1.79万元，占4.7%，较年初预算数增加1.79万元，增长100.0%，主要原因是为新增事业单位人员医疗保险</w:t>
      </w:r>
      <w:r>
        <w:rPr>
          <w:rFonts w:hint="default" w:ascii="Times New Roman" w:hAnsi="Times New Roman" w:eastAsia="方正仿宋_GBK" w:cs="Times New Roman"/>
          <w:b w:val="0"/>
          <w:bCs w:val="0"/>
          <w:color w:val="auto"/>
          <w:sz w:val="32"/>
          <w:szCs w:val="32"/>
          <w:shd w:val="clear" w:color="auto" w:fill="FFFFFF"/>
          <w:lang w:val="en-US" w:eastAsia="zh-CN"/>
        </w:rPr>
        <w:t>的</w:t>
      </w:r>
      <w:r>
        <w:rPr>
          <w:rFonts w:hint="default" w:ascii="Times New Roman" w:hAnsi="Times New Roman" w:eastAsia="方正仿宋_GBK" w:cs="Times New Roman"/>
          <w:b w:val="0"/>
          <w:bCs w:val="0"/>
          <w:color w:val="auto"/>
          <w:sz w:val="32"/>
          <w:szCs w:val="32"/>
          <w:shd w:val="clear" w:color="auto" w:fill="FFFFFF"/>
          <w:lang w:eastAsia="zh-CN"/>
        </w:rPr>
        <w:t>支出增加。</w:t>
      </w:r>
    </w:p>
    <w:p>
      <w:pPr>
        <w:pStyle w:val="5"/>
        <w:pageBreakBefore w:val="0"/>
        <w:widowControl/>
        <w:numPr>
          <w:ilvl w:val="0"/>
          <w:numId w:val="1"/>
        </w:numPr>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1.72万元，占4.5%，较年初预算数增加1.72万元，增长100.0%，</w:t>
      </w:r>
      <w:r>
        <w:rPr>
          <w:rFonts w:hint="default" w:ascii="Times New Roman" w:hAnsi="Times New Roman" w:eastAsia="方正仿宋_GBK" w:cs="Times New Roman"/>
          <w:b w:val="0"/>
          <w:bCs w:val="0"/>
          <w:color w:val="auto"/>
          <w:sz w:val="32"/>
          <w:szCs w:val="32"/>
          <w:shd w:val="clear" w:color="auto" w:fill="FFFFFF"/>
          <w:lang w:eastAsia="zh-CN"/>
        </w:rPr>
        <w:t>主要原因是为新增事业单位人员</w:t>
      </w:r>
      <w:r>
        <w:rPr>
          <w:rFonts w:hint="default" w:ascii="Times New Roman" w:hAnsi="Times New Roman" w:eastAsia="方正仿宋_GBK" w:cs="Times New Roman"/>
          <w:b w:val="0"/>
          <w:bCs w:val="0"/>
          <w:color w:val="auto"/>
          <w:sz w:val="32"/>
          <w:szCs w:val="32"/>
          <w:lang w:eastAsia="zh-CN"/>
        </w:rPr>
        <w:t>住房公积金</w:t>
      </w:r>
      <w:r>
        <w:rPr>
          <w:rFonts w:hint="default"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lang w:eastAsia="zh-CN"/>
        </w:rPr>
        <w:t>支出增加。</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Cs/>
          <w:sz w:val="32"/>
          <w:szCs w:val="32"/>
          <w:shd w:val="clear" w:color="auto" w:fill="FFFFFF"/>
          <w:lang w:val="en-US" w:eastAsia="zh-CN" w:bidi="ar-SA"/>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主</w:t>
      </w:r>
      <w:r>
        <w:rPr>
          <w:rFonts w:hint="default" w:ascii="Times New Roman" w:hAnsi="Times New Roman" w:eastAsia="方正仿宋_GBK" w:cs="Times New Roman"/>
          <w:b w:val="0"/>
          <w:bCs w:val="0"/>
          <w:sz w:val="32"/>
          <w:szCs w:val="32"/>
          <w:shd w:val="clear" w:color="auto" w:fill="FFFFFF"/>
        </w:rPr>
        <w:t>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2024年度一般公共财政拨款基本支出38.33万元。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人员经费34.04万元，与2023年度相比，增加34.04万元，增长100.0%，主要原因是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人员经费用途主要</w:t>
      </w:r>
      <w:r>
        <w:rPr>
          <w:rFonts w:hint="default" w:ascii="Times New Roman" w:hAnsi="Times New Roman" w:eastAsia="方正仿宋_GBK" w:cs="Times New Roman"/>
          <w:b w:val="0"/>
          <w:bCs w:val="0"/>
          <w:color w:val="auto"/>
          <w:sz w:val="32"/>
          <w:szCs w:val="32"/>
          <w:shd w:val="clear" w:color="auto" w:fill="FFFFFF"/>
        </w:rPr>
        <w:t>包括</w:t>
      </w:r>
      <w:r>
        <w:rPr>
          <w:rFonts w:hint="default" w:ascii="Times New Roman" w:hAnsi="Times New Roman" w:eastAsia="方正仿宋_GBK" w:cs="Times New Roman"/>
          <w:b w:val="0"/>
          <w:bCs w:val="0"/>
          <w:color w:val="auto"/>
          <w:kern w:val="0"/>
          <w:sz w:val="32"/>
          <w:szCs w:val="32"/>
        </w:rPr>
        <w:t>基本工资、津贴补贴、奖金、社会保障缴费、养老保险职业年金缴费、住房公积金、超额绩效等</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sz w:val="32"/>
          <w:szCs w:val="32"/>
          <w:shd w:val="clear" w:color="auto" w:fill="FFFFFF"/>
        </w:rPr>
        <w:t>公用经费4.29万元，与2023年度相比，增加4.29万元，增长100.0%，主要原因是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auto"/>
          <w:kern w:val="0"/>
          <w:sz w:val="32"/>
          <w:szCs w:val="32"/>
        </w:rPr>
        <w:t>办公费、广告费、电费、邮电费、差旅费、培训费、公务接待费、工会经费、其他交通费用、其他商品和服务支出。</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0"/>
          <w:sz w:val="32"/>
          <w:szCs w:val="32"/>
        </w:rPr>
        <w:t>本</w:t>
      </w:r>
      <w:r>
        <w:rPr>
          <w:rFonts w:hint="default" w:ascii="Times New Roman" w:hAnsi="Times New Roman" w:eastAsia="方正仿宋_GBK" w:cs="Times New Roman"/>
          <w:b w:val="0"/>
          <w:bCs w:val="0"/>
          <w:kern w:val="0"/>
          <w:sz w:val="32"/>
          <w:szCs w:val="32"/>
          <w:lang w:eastAsia="zh-CN"/>
        </w:rPr>
        <w:t>单位</w:t>
      </w:r>
      <w:r>
        <w:rPr>
          <w:rFonts w:hint="default" w:ascii="Times New Roman" w:hAnsi="Times New Roman" w:eastAsia="方正仿宋_GBK" w:cs="Times New Roman"/>
          <w:b w:val="0"/>
          <w:bCs w:val="0"/>
          <w:kern w:val="0"/>
          <w:sz w:val="32"/>
          <w:szCs w:val="32"/>
        </w:rPr>
        <w:t>2024年度无政府性基金预算财政拨款收支。</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w:t>
      </w:r>
      <w:r>
        <w:rPr>
          <w:rStyle w:val="8"/>
          <w:rFonts w:hint="eastAsia" w:ascii="方正楷体_GBK" w:hAnsi="方正楷体_GBK" w:eastAsia="方正楷体_GBK" w:cs="方正楷体_GBK"/>
          <w:b w:val="0"/>
          <w:bCs w:val="0"/>
          <w:sz w:val="32"/>
          <w:szCs w:val="32"/>
          <w:shd w:val="clear" w:color="auto" w:fill="FFFFFF"/>
          <w:lang w:eastAsia="zh-CN"/>
        </w:rPr>
        <w:t>六</w:t>
      </w:r>
      <w:r>
        <w:rPr>
          <w:rStyle w:val="8"/>
          <w:rFonts w:hint="default" w:ascii="方正楷体_GBK" w:hAnsi="方正楷体_GBK" w:eastAsia="方正楷体_GBK" w:cs="方正楷体_GBK"/>
          <w:b w:val="0"/>
          <w:bCs w:val="0"/>
          <w:sz w:val="32"/>
          <w:szCs w:val="32"/>
          <w:shd w:val="clear" w:color="auto" w:fill="FFFFFF"/>
        </w:rPr>
        <w:t>）国有资本经营预算财政拨款支出决算情况说明</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本</w:t>
      </w:r>
      <w:r>
        <w:rPr>
          <w:rFonts w:hint="default" w:ascii="Times New Roman" w:hAnsi="Times New Roman" w:eastAsia="方正仿宋_GBK" w:cs="Times New Roman"/>
          <w:b w:val="0"/>
          <w:bCs w:val="0"/>
          <w:kern w:val="0"/>
          <w:sz w:val="32"/>
          <w:szCs w:val="32"/>
          <w:lang w:eastAsia="zh-CN"/>
        </w:rPr>
        <w:t>单位</w:t>
      </w:r>
      <w:r>
        <w:rPr>
          <w:rFonts w:hint="default" w:ascii="Times New Roman" w:hAnsi="Times New Roman" w:eastAsia="方正仿宋_GBK" w:cs="Times New Roman"/>
          <w:b w:val="0"/>
          <w:bCs w:val="0"/>
          <w:kern w:val="0"/>
          <w:sz w:val="32"/>
          <w:szCs w:val="32"/>
        </w:rPr>
        <w:t>2024年度无国有资本经营预算财政拨款支出。</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eastAsia="zh-CN"/>
        </w:rPr>
      </w:pPr>
      <w:r>
        <w:rPr>
          <w:rStyle w:val="8"/>
          <w:rFonts w:hint="default" w:ascii="方正黑体_GBK" w:hAnsi="方正黑体_GBK" w:eastAsia="方正黑体_GBK" w:cs="方正黑体_GBK"/>
          <w:b w:val="0"/>
          <w:bCs w:val="0"/>
          <w:sz w:val="32"/>
          <w:szCs w:val="32"/>
          <w:shd w:val="clear" w:color="auto" w:fill="FFFFFF"/>
          <w:lang w:eastAsia="zh-CN"/>
        </w:rPr>
        <w:t>三、财政拨款“三公”经费情况说明</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（一）“三公”经费支出总体情况说明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（二）“三公”经费分项支出情况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202</w:t>
      </w: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年度本单位未发生因公出国（境）费用。</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202</w:t>
      </w: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年度本单位未发生公务车购置费。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202</w:t>
      </w: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年本单位度未发生公务车运行维护费。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rPr>
        <w:t>202</w:t>
      </w: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年本单位度未发生公务</w:t>
      </w:r>
      <w:r>
        <w:rPr>
          <w:rFonts w:hint="default" w:ascii="Times New Roman" w:hAnsi="Times New Roman" w:eastAsia="方正仿宋_GBK" w:cs="Times New Roman"/>
          <w:b w:val="0"/>
          <w:bCs w:val="0"/>
          <w:kern w:val="0"/>
          <w:sz w:val="32"/>
          <w:szCs w:val="32"/>
          <w:lang w:eastAsia="zh-CN"/>
        </w:rPr>
        <w:t>接待费。</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（三）“三公”经费实物量情况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人均接待费0元，车均购置费0万元，车均维护费0万元。</w:t>
      </w:r>
    </w:p>
    <w:p>
      <w:pPr>
        <w:pStyle w:val="5"/>
        <w:pageBreakBefore w:val="0"/>
        <w:widowControl/>
        <w:numPr>
          <w:ilvl w:val="0"/>
          <w:numId w:val="2"/>
        </w:numPr>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lang w:eastAsia="zh-CN"/>
        </w:rPr>
        <w:t>其他需要说明的事项</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（一）财政拨款会议费、培训费和差旅费情况说明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本年度会议费支出0.00万元，与2023年度相比，无增减，主要原因是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本年度培训费支出0.00万元，与2023年度相比，无变化，主要原因是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r>
        <w:rPr>
          <w:rFonts w:hint="default" w:ascii="Times New Roman" w:hAnsi="Times New Roman" w:eastAsia="方正仿宋_GBK" w:cs="Times New Roman"/>
          <w:b w:val="0"/>
          <w:bCs w:val="0"/>
          <w:sz w:val="32"/>
          <w:szCs w:val="32"/>
          <w:shd w:val="clear" w:color="auto" w:fill="FFFFFF"/>
        </w:rPr>
        <w:t>本年度差旅费支出0.00</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与2023年度相比，无变化，主要原因是</w:t>
      </w:r>
      <w:r>
        <w:rPr>
          <w:rFonts w:hint="default" w:ascii="Times New Roman" w:hAnsi="Times New Roman" w:eastAsia="方正仿宋_GBK" w:cs="Times New Roman"/>
          <w:b w:val="0"/>
          <w:bCs w:val="0"/>
          <w:sz w:val="32"/>
          <w:szCs w:val="32"/>
          <w:shd w:val="clear" w:color="auto" w:fill="FFFFFF"/>
          <w:lang w:eastAsia="zh-CN"/>
        </w:rPr>
        <w:t>本单位为</w:t>
      </w:r>
      <w:r>
        <w:rPr>
          <w:rFonts w:hint="default" w:ascii="Times New Roman" w:hAnsi="Times New Roman" w:eastAsia="方正仿宋_GBK" w:cs="Times New Roman"/>
          <w:b w:val="0"/>
          <w:bCs w:val="0"/>
          <w:sz w:val="32"/>
          <w:szCs w:val="32"/>
          <w:shd w:val="clear" w:color="auto" w:fill="FFFFFF"/>
          <w:lang w:val="en-US" w:eastAsia="zh-CN"/>
        </w:rPr>
        <w:t>2024年9月新增单位。</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w:t>
      </w:r>
      <w:r>
        <w:rPr>
          <w:rStyle w:val="8"/>
          <w:rFonts w:hint="eastAsia" w:ascii="方正楷体_GBK" w:hAnsi="方正楷体_GBK" w:eastAsia="方正楷体_GBK" w:cs="方正楷体_GBK"/>
          <w:b w:val="0"/>
          <w:bCs w:val="0"/>
          <w:sz w:val="32"/>
          <w:szCs w:val="32"/>
          <w:shd w:val="clear" w:color="auto" w:fill="FFFFFF"/>
          <w:lang w:eastAsia="zh-CN"/>
        </w:rPr>
        <w:t>二</w:t>
      </w:r>
      <w:r>
        <w:rPr>
          <w:rStyle w:val="8"/>
          <w:rFonts w:hint="default" w:ascii="方正楷体_GBK" w:hAnsi="方正楷体_GBK" w:eastAsia="方正楷体_GBK" w:cs="方正楷体_GBK"/>
          <w:b w:val="0"/>
          <w:bCs w:val="0"/>
          <w:sz w:val="32"/>
          <w:szCs w:val="32"/>
          <w:shd w:val="clear" w:color="auto" w:fill="FFFFFF"/>
        </w:rPr>
        <w:t>）机关运行经费情况说明</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highlight w:val="yellow"/>
        </w:rPr>
      </w:pPr>
      <w:r>
        <w:rPr>
          <w:rFonts w:hint="default" w:ascii="Times New Roman" w:hAnsi="Times New Roman" w:eastAsia="方正仿宋_GBK" w:cs="Times New Roman"/>
          <w:b w:val="0"/>
          <w:bCs w:val="0"/>
          <w:color w:val="auto"/>
          <w:kern w:val="0"/>
          <w:sz w:val="32"/>
          <w:szCs w:val="32"/>
        </w:rPr>
        <w:t>因本单位为事业单位原因，</w:t>
      </w:r>
      <w:r>
        <w:rPr>
          <w:rFonts w:hint="default" w:ascii="Times New Roman" w:hAnsi="Times New Roman" w:eastAsia="方正仿宋_GBK" w:cs="Times New Roman"/>
          <w:b w:val="0"/>
          <w:bCs w:val="0"/>
          <w:color w:val="auto"/>
          <w:kern w:val="0"/>
          <w:sz w:val="32"/>
          <w:szCs w:val="32"/>
          <w:lang w:eastAsia="zh-CN"/>
        </w:rPr>
        <w:t>未使用财政资金保障</w:t>
      </w:r>
      <w:r>
        <w:rPr>
          <w:rFonts w:hint="default" w:ascii="Times New Roman" w:hAnsi="Times New Roman" w:eastAsia="方正仿宋_GBK" w:cs="Times New Roman"/>
          <w:b w:val="0"/>
          <w:bCs w:val="0"/>
          <w:color w:val="auto"/>
          <w:kern w:val="0"/>
          <w:sz w:val="32"/>
          <w:szCs w:val="32"/>
        </w:rPr>
        <w:t>机关运行经费。</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w:t>
      </w:r>
      <w:r>
        <w:rPr>
          <w:rStyle w:val="8"/>
          <w:rFonts w:hint="eastAsia" w:ascii="方正楷体_GBK" w:hAnsi="方正楷体_GBK" w:eastAsia="方正楷体_GBK" w:cs="方正楷体_GBK"/>
          <w:b w:val="0"/>
          <w:bCs w:val="0"/>
          <w:sz w:val="32"/>
          <w:szCs w:val="32"/>
          <w:shd w:val="clear" w:color="auto" w:fill="FFFFFF"/>
          <w:lang w:eastAsia="zh-CN"/>
        </w:rPr>
        <w:t>三</w:t>
      </w:r>
      <w:r>
        <w:rPr>
          <w:rStyle w:val="8"/>
          <w:rFonts w:hint="default" w:ascii="方正楷体_GBK" w:hAnsi="方正楷体_GBK" w:eastAsia="方正楷体_GBK" w:cs="方正楷体_GBK"/>
          <w:b w:val="0"/>
          <w:bCs w:val="0"/>
          <w:sz w:val="32"/>
          <w:szCs w:val="32"/>
          <w:shd w:val="clear" w:color="auto" w:fill="FFFFFF"/>
        </w:rPr>
        <w:t>）国有资产占用情况说明</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highlight w:val="yellow"/>
        </w:rPr>
      </w:pPr>
      <w:r>
        <w:rPr>
          <w:rFonts w:hint="default" w:ascii="Times New Roman" w:hAnsi="Times New Roman" w:eastAsia="方正仿宋_GBK" w:cs="Times New Roman"/>
          <w:b w:val="0"/>
          <w:bCs w:val="0"/>
          <w:color w:val="auto"/>
          <w:kern w:val="0"/>
          <w:sz w:val="32"/>
          <w:szCs w:val="32"/>
        </w:rPr>
        <w:t>因本单位为事业单位原因，</w:t>
      </w:r>
      <w:r>
        <w:rPr>
          <w:rFonts w:hint="default" w:ascii="Times New Roman" w:hAnsi="Times New Roman" w:eastAsia="方正仿宋_GBK" w:cs="Times New Roman"/>
          <w:b w:val="0"/>
          <w:bCs w:val="0"/>
          <w:color w:val="auto"/>
          <w:kern w:val="0"/>
          <w:sz w:val="32"/>
          <w:szCs w:val="32"/>
          <w:lang w:eastAsia="zh-CN"/>
        </w:rPr>
        <w:t>未使用财政资金保障</w:t>
      </w:r>
      <w:r>
        <w:rPr>
          <w:rFonts w:hint="default" w:ascii="Times New Roman" w:hAnsi="Times New Roman" w:eastAsia="方正仿宋_GBK" w:cs="Times New Roman"/>
          <w:b w:val="0"/>
          <w:bCs w:val="0"/>
          <w:color w:val="auto"/>
          <w:kern w:val="0"/>
          <w:sz w:val="32"/>
          <w:szCs w:val="32"/>
        </w:rPr>
        <w:t>机关运行经费。</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w:t>
      </w:r>
      <w:r>
        <w:rPr>
          <w:rStyle w:val="8"/>
          <w:rFonts w:hint="default" w:ascii="方正楷体_GBK" w:hAnsi="方正楷体_GBK" w:eastAsia="方正楷体_GBK" w:cs="方正楷体_GBK"/>
          <w:b w:val="0"/>
          <w:bCs w:val="0"/>
          <w:sz w:val="32"/>
          <w:szCs w:val="32"/>
          <w:shd w:val="clear" w:color="auto" w:fill="FFFFFF"/>
          <w:lang w:val="en-US" w:eastAsia="zh-CN"/>
        </w:rPr>
        <w:t>四）政府采购支出情况说明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202</w:t>
      </w:r>
      <w:r>
        <w:rPr>
          <w:rFonts w:hint="default" w:ascii="Times New Roman" w:hAnsi="Times New Roman" w:eastAsia="方正仿宋_GBK" w:cs="Times New Roman"/>
          <w:b w:val="0"/>
          <w:bCs w:val="0"/>
          <w:color w:val="auto"/>
          <w:kern w:val="0"/>
          <w:sz w:val="32"/>
          <w:szCs w:val="32"/>
          <w:lang w:val="en-US" w:eastAsia="zh-CN"/>
        </w:rPr>
        <w:t>4</w:t>
      </w:r>
      <w:r>
        <w:rPr>
          <w:rFonts w:hint="default" w:ascii="Times New Roman" w:hAnsi="Times New Roman" w:eastAsia="方正仿宋_GBK" w:cs="Times New Roman"/>
          <w:b w:val="0"/>
          <w:bCs w:val="0"/>
          <w:color w:val="auto"/>
          <w:kern w:val="0"/>
          <w:sz w:val="32"/>
          <w:szCs w:val="32"/>
        </w:rPr>
        <w:t>年度我单位未发生政府采购事项，无相关经费支出。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Style w:val="8"/>
          <w:rFonts w:hint="default" w:ascii="方正黑体_GBK" w:hAnsi="方正黑体_GBK" w:eastAsia="方正黑体_GBK" w:cs="方正黑体_GBK"/>
          <w:b w:val="0"/>
          <w:bCs w:val="0"/>
          <w:sz w:val="32"/>
          <w:szCs w:val="32"/>
          <w:shd w:val="clear" w:color="auto" w:fill="FFFFFF"/>
          <w:lang w:eastAsia="zh-CN"/>
        </w:rPr>
      </w:pPr>
      <w:r>
        <w:rPr>
          <w:rStyle w:val="8"/>
          <w:rFonts w:hint="eastAsia" w:ascii="方正黑体_GBK" w:hAnsi="方正黑体_GBK" w:eastAsia="方正黑体_GBK" w:cs="方正黑体_GBK"/>
          <w:b w:val="0"/>
          <w:bCs w:val="0"/>
          <w:sz w:val="32"/>
          <w:szCs w:val="32"/>
          <w:shd w:val="clear" w:color="auto" w:fill="FFFFFF"/>
          <w:lang w:eastAsia="zh-CN"/>
        </w:rPr>
        <w:t>五、</w:t>
      </w:r>
      <w:r>
        <w:rPr>
          <w:rStyle w:val="8"/>
          <w:rFonts w:hint="default" w:ascii="方正黑体_GBK" w:hAnsi="方正黑体_GBK" w:eastAsia="方正黑体_GBK" w:cs="方正黑体_GBK"/>
          <w:b w:val="0"/>
          <w:bCs w:val="0"/>
          <w:sz w:val="32"/>
          <w:szCs w:val="32"/>
          <w:shd w:val="clear" w:color="auto" w:fill="FFFFFF"/>
          <w:lang w:eastAsia="zh-CN"/>
        </w:rPr>
        <w:t>预算绩效管理情况说明</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（一）单位自评情况</w:t>
      </w:r>
    </w:p>
    <w:p>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本单位为鱼池镇人民政府下属二级预算单位，预算绩效管理工作由鱼池镇人民政府本级开展，我单位未开展预算绩效管理工作。</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（二）单位绩效评价情况</w:t>
      </w:r>
    </w:p>
    <w:p>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eastAsia="zh-CN"/>
        </w:rPr>
        <w:t>我单位未组织开展绩效评价</w:t>
      </w:r>
    </w:p>
    <w:p>
      <w:pPr>
        <w:pageBreakBefore w:val="0"/>
        <w:widowControl/>
        <w:kinsoku/>
        <w:wordWrap/>
        <w:overflowPunct/>
        <w:topLinePunct w:val="0"/>
        <w:bidi w:val="0"/>
        <w:spacing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（三）财政绩效评价情况</w:t>
      </w:r>
    </w:p>
    <w:p>
      <w:pPr>
        <w:pStyle w:val="10"/>
        <w:pageBreakBefore w:val="0"/>
        <w:widowControl/>
        <w:kinsoku/>
        <w:wordWrap/>
        <w:overflowPunct/>
        <w:topLinePunct w:val="0"/>
        <w:autoSpaceDE w:val="0"/>
        <w:bidi w:val="0"/>
        <w:spacing w:line="594" w:lineRule="exact"/>
        <w:ind w:firstLine="640"/>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市财政局</w:t>
      </w:r>
      <w:r>
        <w:rPr>
          <w:rFonts w:hint="default" w:ascii="Times New Roman" w:hAnsi="Times New Roman" w:eastAsia="方正仿宋_GBK" w:cs="Times New Roman"/>
          <w:b w:val="0"/>
          <w:bCs w:val="0"/>
          <w:color w:val="auto"/>
          <w:sz w:val="32"/>
          <w:szCs w:val="32"/>
          <w:shd w:val="clear" w:color="auto" w:fill="FFFFFF"/>
          <w:lang w:eastAsia="zh-CN"/>
        </w:rPr>
        <w:t>未委托第三方对我单位开展绩效评价。</w:t>
      </w:r>
    </w:p>
    <w:p>
      <w:pPr>
        <w:pStyle w:val="10"/>
        <w:pageBreakBefore w:val="0"/>
        <w:widowControl/>
        <w:kinsoku/>
        <w:wordWrap/>
        <w:overflowPunct/>
        <w:topLinePunct w:val="0"/>
        <w:autoSpaceDE w:val="0"/>
        <w:bidi w:val="0"/>
        <w:spacing w:line="594" w:lineRule="exact"/>
        <w:ind w:firstLine="640"/>
        <w:textAlignment w:val="auto"/>
        <w:rPr>
          <w:rStyle w:val="8"/>
          <w:rFonts w:hint="default" w:ascii="方正黑体_GBK" w:hAnsi="方正黑体_GBK" w:eastAsia="方正黑体_GBK" w:cs="方正黑体_GBK"/>
          <w:b w:val="0"/>
          <w:bCs w:val="0"/>
          <w:sz w:val="32"/>
          <w:szCs w:val="32"/>
          <w:shd w:val="clear" w:color="auto" w:fill="FFFFFF"/>
          <w:lang w:eastAsia="zh-CN"/>
        </w:rPr>
      </w:pPr>
      <w:r>
        <w:rPr>
          <w:rStyle w:val="8"/>
          <w:rFonts w:hint="default" w:ascii="方正黑体_GBK" w:hAnsi="方正黑体_GBK" w:eastAsia="方正黑体_GBK" w:cs="方正黑体_GBK"/>
          <w:b w:val="0"/>
          <w:bCs w:val="0"/>
          <w:sz w:val="32"/>
          <w:szCs w:val="32"/>
          <w:shd w:val="clear" w:color="auto" w:fill="FFFFFF"/>
          <w:lang w:eastAsia="zh-CN"/>
        </w:rPr>
        <w:t>六、专业名词解释</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Style w:val="8"/>
          <w:rFonts w:hint="default" w:ascii="Times New Roman" w:hAnsi="Times New Roman" w:eastAsia="方正仿宋_GBK" w:cs="Times New Roman"/>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lang w:eastAsia="zh-CN"/>
        </w:rPr>
        <w:t>七、决算公开联系方式及信息反馈渠道</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刘芷余</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023-73384001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10"/>
        <w:pageBreakBefore w:val="0"/>
        <w:widowControl/>
        <w:kinsoku/>
        <w:wordWrap/>
        <w:overflowPunct/>
        <w:topLinePunct w:val="0"/>
        <w:autoSpaceDE w:val="0"/>
        <w:bidi w:val="0"/>
        <w:spacing w:line="594" w:lineRule="exact"/>
        <w:ind w:firstLine="640"/>
        <w:textAlignment w:val="auto"/>
        <w:rPr>
          <w:rFonts w:hint="default" w:ascii="Times New Roman" w:hAnsi="Times New Roman" w:eastAsia="方正仿宋_GBK" w:cs="Times New Roman"/>
          <w:color w:val="auto"/>
          <w:sz w:val="32"/>
          <w:szCs w:val="32"/>
          <w:shd w:val="clear" w:color="auto" w:fill="FFFFFF"/>
          <w:lang w:val="en-US" w:eastAsia="zh-CN"/>
        </w:rPr>
        <w:sectPr>
          <w:footerReference r:id="rId3" w:type="default"/>
          <w:pgSz w:w="11915" w:h="16840"/>
          <w:pgMar w:top="1984" w:right="1446" w:bottom="1672"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石柱土家族自治县鱼池镇景区服务中心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82,858.94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265,299.50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17,928.70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17,190.72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383,277.86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383,277.86</w:t>
            </w:r>
          </w:p>
        </w:tc>
      </w:tr>
    </w:tbl>
    <w:p>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石柱土家族自治县鱼池镇景区服务中心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383,277.86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383,277.86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82,858.94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82,858.94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265,299.50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265,299.50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46,357.44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46,357.44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30,904.96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30,904.96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15,452.48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15,452.48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218,942.06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218,942.06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13,728.70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13,728.70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石柱土家族自治县鱼池镇景区服务中心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383,277.86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383,277.86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82,858.94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82,858.94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82,858.94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265,299.50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265,299.50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46,357.44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46,357.44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30,904.96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30,904.96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15,452.48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15,452.48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218,942.06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218,942.06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218,942.06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17,928.70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13,728.70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13,728.70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17,190.72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17,190.72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石柱土家族自治县鱼池镇景区服务中心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82,858.94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82,858.94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265,299.50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265,299.50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17,928.70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17,928.70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17,190.72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17,190.72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383,277.86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石柱土家族自治县鱼池镇景区服务中心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383,277.86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383,277.86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383,277.86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383,277.86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82,858.94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82,858.94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82,858.94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82,858.94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82,858.94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265,299.50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265,299.50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265,299.50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265,299.50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46,357.44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46,357.44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46,357.44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46,357.44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30,904.96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30,904.96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30,904.96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30,904.96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15,452.48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15,452.48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15,452.48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15,452.48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218,942.06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218,942.06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218,942.06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218,942.06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218,942.06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218,942.06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218,942.06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218,942.06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17,928.70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13,728.70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13,728.70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13,728.70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13,728.70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17,190.72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17,190.72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17,190.72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17,190.72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17,190.72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石柱土家族自治县鱼池镇景区服务中心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340,412.74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42,865.12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73,077.00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31,189.64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23,076.00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161,219.00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401.48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15,452.48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14,325.60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966.98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17,190.72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2,865.12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8,408.88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340,412.74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42,865.12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石柱土家族自治县鱼池镇景区服务中心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石柱土家族自治县鱼池镇景区服务中心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石柱土家族自治县鱼池镇景区服务中心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5C21B0EF-D73F-4D48-8260-7EE80BA5576D}"/>
  </w:font>
  <w:font w:name="方正黑体_GBK">
    <w:panose1 w:val="02010600010101010101"/>
    <w:charset w:val="86"/>
    <w:family w:val="auto"/>
    <w:pitch w:val="default"/>
    <w:sig w:usb0="00000001" w:usb1="080E0000" w:usb2="00000000" w:usb3="00000000" w:csb0="00040000" w:csb1="00000000"/>
    <w:embedRegular r:id="rId2" w:fontKey="{D037081A-2372-4782-99EB-1EF36EC7C35F}"/>
  </w:font>
  <w:font w:name="方正楷体_GBK">
    <w:panose1 w:val="03000509000000000000"/>
    <w:charset w:val="86"/>
    <w:family w:val="auto"/>
    <w:pitch w:val="default"/>
    <w:sig w:usb0="00000001" w:usb1="080E0000" w:usb2="00000000" w:usb3="00000000" w:csb0="00040000" w:csb1="00000000"/>
    <w:embedRegular r:id="rId3" w:fontKey="{54D14758-EB26-4851-9F88-5E211DD53D3E}"/>
  </w:font>
  <w:font w:name="方正仿宋_GBK">
    <w:panose1 w:val="02000000000000000000"/>
    <w:charset w:val="86"/>
    <w:family w:val="script"/>
    <w:pitch w:val="default"/>
    <w:sig w:usb0="00000001" w:usb1="080E0000" w:usb2="00000000" w:usb3="00000000" w:csb0="00040000" w:csb1="00000000"/>
    <w:embedRegular r:id="rId4" w:fontKey="{A944A039-4064-46B2-84C2-F678D6823C47}"/>
  </w:font>
  <w:font w:name="楷体">
    <w:panose1 w:val="02010609060101010101"/>
    <w:charset w:val="86"/>
    <w:family w:val="auto"/>
    <w:pitch w:val="default"/>
    <w:sig w:usb0="800002BF" w:usb1="38CF7CFA" w:usb2="00000016" w:usb3="00000000" w:csb0="00040001" w:csb1="00000000"/>
    <w:embedRegular r:id="rId5" w:fontKey="{C89DAFF1-E13B-442D-AE36-5FEE232923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BC8F8"/>
    <w:multiLevelType w:val="singleLevel"/>
    <w:tmpl w:val="91BBC8F8"/>
    <w:lvl w:ilvl="0" w:tentative="0">
      <w:start w:val="4"/>
      <w:numFmt w:val="chineseCounting"/>
      <w:suff w:val="nothing"/>
      <w:lvlText w:val="%1、"/>
      <w:lvlJc w:val="left"/>
      <w:rPr>
        <w:rFonts w:hint="eastAsia" w:ascii="方正黑体_GBK" w:hAnsi="方正黑体_GBK" w:eastAsia="方正黑体_GBK" w:cs="方正黑体_GBK"/>
        <w:sz w:val="32"/>
        <w:szCs w:val="32"/>
      </w:rPr>
    </w:lvl>
  </w:abstractNum>
  <w:abstractNum w:abstractNumId="1">
    <w:nsid w:val="A7496121"/>
    <w:multiLevelType w:val="singleLevel"/>
    <w:tmpl w:val="A7496121"/>
    <w:lvl w:ilvl="0" w:tentative="0">
      <w:start w:val="1"/>
      <w:numFmt w:val="decimal"/>
      <w:suff w:val="nothing"/>
      <w:lvlText w:val="（%1）"/>
      <w:lvlJc w:val="left"/>
      <w:rPr>
        <w:rFonts w:hint="default"/>
        <w:color w:val="000000" w:themeColor="text1"/>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172A27"/>
    <w:rsid w:val="00550ABE"/>
    <w:rsid w:val="007B419D"/>
    <w:rsid w:val="009B67B8"/>
    <w:rsid w:val="00B03CCD"/>
    <w:rsid w:val="00FE7556"/>
    <w:rsid w:val="01474EBF"/>
    <w:rsid w:val="01F3521E"/>
    <w:rsid w:val="035717DD"/>
    <w:rsid w:val="03E3214F"/>
    <w:rsid w:val="04446191"/>
    <w:rsid w:val="044C50BA"/>
    <w:rsid w:val="051C4A8C"/>
    <w:rsid w:val="054C26F9"/>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66EF8"/>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183868"/>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1D4354"/>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B10E38"/>
    <w:rsid w:val="4F186D58"/>
    <w:rsid w:val="50EC262C"/>
    <w:rsid w:val="522F6E0C"/>
    <w:rsid w:val="52463BA1"/>
    <w:rsid w:val="53C0244D"/>
    <w:rsid w:val="53DD4D4E"/>
    <w:rsid w:val="53E578CE"/>
    <w:rsid w:val="543B029D"/>
    <w:rsid w:val="545D0246"/>
    <w:rsid w:val="553D504E"/>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4B0F63"/>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列出段落2"/>
    <w:autoRedefine/>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780</Words>
  <Characters>861</Characters>
  <Lines>161</Lines>
  <Paragraphs>45</Paragraphs>
  <TotalTime>5</TotalTime>
  <ScaleCrop>false</ScaleCrop>
  <LinksUpToDate>false</LinksUpToDate>
  <CharactersWithSpaces>861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麻酱</cp:lastModifiedBy>
  <dcterms:modified xsi:type="dcterms:W3CDTF">2025-10-14T11:01:48Z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A4F5838BF77D4783AE3331E685EB4FD4_13</vt:lpwstr>
  </property>
  <property fmtid="{D5CDD505-2E9C-101B-9397-08002B2CF9AE}" pid="4" name="KSOTemplateDocerSaveRecord">
    <vt:lpwstr>eyJoZGlkIjoiMDFjMDkyZjc3NDUwNDgxODAyN2VhZmM0ZjVjNDQyYTYiLCJ1c2VySWQiOiI2NjMxMDczNzgifQ==</vt:lpwstr>
  </property>
</Properties>
</file>