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kinsoku/>
        <w:wordWrap/>
        <w:overflowPunct/>
        <w:topLinePunct w:val="0"/>
        <w:bidi w:val="0"/>
        <w:spacing w:before="0" w:beforeAutospacing="0" w:line="594"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重庆市石柱土家族自治县鱼池镇综合行政执法大队</w:t>
      </w:r>
      <w:r>
        <w:rPr>
          <w:rFonts w:hint="default" w:ascii="Times New Roman" w:hAnsi="Times New Roman" w:eastAsia="方正小标宋_GBK" w:cs="Times New Roman"/>
          <w:sz w:val="36"/>
          <w:szCs w:val="36"/>
          <w:shd w:val="clear" w:color="auto" w:fill="FFFFFF"/>
        </w:rPr>
        <w:t>2023年度决算公开说明</w:t>
      </w:r>
    </w:p>
    <w:p>
      <w:pPr>
        <w:pStyle w:val="6"/>
        <w:pageBreakBefore w:val="0"/>
        <w:widowControl/>
        <w:shd w:val="clear" w:color="auto" w:fill="FFFFFF"/>
        <w:kinsoku/>
        <w:wordWrap/>
        <w:overflowPunct/>
        <w:topLinePunct w:val="0"/>
        <w:bidi w:val="0"/>
        <w:spacing w:line="594" w:lineRule="exact"/>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pageBreakBefore w:val="0"/>
        <w:widowControl/>
        <w:shd w:val="clear" w:color="auto" w:fill="FFFFFF"/>
        <w:kinsoku/>
        <w:wordWrap/>
        <w:overflowPunct/>
        <w:topLinePunct w:val="0"/>
        <w:bidi w:val="0"/>
        <w:spacing w:line="594"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宗旨：依法执法，确保执法公平、公正。</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主要职责任务：根据授权或委托，承担辖区范围内集中行使农林水利、规划建设、市政管理、环境保护、卫生健康、文化旅游、民政管理等领域的行政执法权。</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具体职责任务：</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（1）贯彻落实综合行政执法工作的有关规定；依据有关法律、法规和规章，参与起草本辖区实行综合行政执法领域相关方面的工作计划，并具体实施。</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（2）根据授权或委托，承担辖区范围内集中行使农林水利、规划建设、市政管理、环境保护、卫生健康、文化旅游、民政管理等领域的行政执法权。</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（3）承担市县授权或委托的其他行政执法权。</w:t>
      </w:r>
    </w:p>
    <w:p>
      <w:pPr>
        <w:pageBreakBefore w:val="0"/>
        <w:widowControl/>
        <w:kinsoku/>
        <w:wordWrap/>
        <w:overflowPunct/>
        <w:topLinePunct w:val="0"/>
        <w:bidi w:val="0"/>
        <w:adjustRightInd w:val="0"/>
        <w:snapToGri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（4）承办镇党委、镇政府交办的其他工作任务。</w:t>
      </w:r>
    </w:p>
    <w:p>
      <w:pPr>
        <w:pStyle w:val="6"/>
        <w:pageBreakBefore w:val="0"/>
        <w:widowControl/>
        <w:shd w:val="clear" w:color="auto" w:fill="FFFFFF"/>
        <w:kinsoku/>
        <w:wordWrap/>
        <w:overflowPunct/>
        <w:topLinePunct w:val="0"/>
        <w:bidi w:val="0"/>
        <w:spacing w:line="594"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ageBreakBefore w:val="0"/>
        <w:widowControl/>
        <w:kinsoku/>
        <w:wordWrap/>
        <w:overflowPunct/>
        <w:topLinePunct w:val="0"/>
        <w:bidi w:val="0"/>
        <w:spacing w:beforeLines="0" w:afterLines="0" w:line="594" w:lineRule="exact"/>
        <w:ind w:firstLine="640" w:firstLineChars="200"/>
        <w:textAlignment w:val="auto"/>
        <w:rPr>
          <w:rFonts w:hint="default" w:ascii="Times New Roman" w:hAnsi="Times New Roman" w:eastAsia="方正楷体_GBK" w:cs="Times New Roman"/>
          <w:kern w:val="0"/>
          <w:sz w:val="32"/>
          <w:szCs w:val="32"/>
        </w:rPr>
      </w:pPr>
      <w:r>
        <w:rPr>
          <w:rStyle w:val="13"/>
          <w:rFonts w:hint="default" w:ascii="Times New Roman" w:hAnsi="Times New Roman" w:eastAsia="方正仿宋_GBK" w:cs="Times New Roman"/>
          <w:b w:val="0"/>
          <w:sz w:val="32"/>
          <w:szCs w:val="32"/>
          <w:shd w:val="clear" w:color="auto" w:fill="FFFFFF"/>
        </w:rPr>
        <w:t>202</w:t>
      </w:r>
      <w:r>
        <w:rPr>
          <w:rStyle w:val="13"/>
          <w:rFonts w:hint="default" w:ascii="Times New Roman" w:hAnsi="Times New Roman" w:eastAsia="方正仿宋_GBK" w:cs="Times New Roman"/>
          <w:b w:val="0"/>
          <w:sz w:val="32"/>
          <w:szCs w:val="32"/>
          <w:shd w:val="clear" w:color="auto" w:fill="FFFFFF"/>
          <w:lang w:val="en-US" w:eastAsia="zh-CN"/>
        </w:rPr>
        <w:t>3</w:t>
      </w:r>
      <w:r>
        <w:rPr>
          <w:rStyle w:val="13"/>
          <w:rFonts w:hint="default" w:ascii="Times New Roman" w:hAnsi="Times New Roman" w:eastAsia="方正仿宋_GBK" w:cs="Times New Roman"/>
          <w:b w:val="0"/>
          <w:sz w:val="32"/>
          <w:szCs w:val="32"/>
          <w:shd w:val="clear" w:color="auto" w:fill="FFFFFF"/>
        </w:rPr>
        <w:t>年</w:t>
      </w:r>
      <w:r>
        <w:rPr>
          <w:rFonts w:hint="default" w:ascii="Times New Roman" w:hAnsi="Times New Roman" w:eastAsia="方正仿宋_GBK" w:cs="Times New Roman"/>
          <w:sz w:val="32"/>
          <w:szCs w:val="32"/>
          <w:shd w:val="clear" w:color="auto" w:fill="FFFFFF"/>
        </w:rPr>
        <w:t>本单位独立编制机构数1个，为鱼池镇综合行政执法大队。</w:t>
      </w:r>
    </w:p>
    <w:p>
      <w:pPr>
        <w:pStyle w:val="6"/>
        <w:pageBreakBefore w:val="0"/>
        <w:widowControl/>
        <w:shd w:val="clear" w:color="auto" w:fill="FFFFFF"/>
        <w:kinsoku/>
        <w:wordWrap/>
        <w:overflowPunct/>
        <w:topLinePunct w:val="0"/>
        <w:bidi w:val="0"/>
        <w:spacing w:line="594" w:lineRule="exact"/>
        <w:textAlignment w:val="auto"/>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二、单位决算情况说明</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pageBreakBefore w:val="0"/>
        <w:widowControl/>
        <w:shd w:val="clear" w:color="auto" w:fill="FFFFFF"/>
        <w:kinsoku/>
        <w:wordWrap/>
        <w:overflowPunct/>
        <w:topLinePunct w:val="0"/>
        <w:bidi w:val="0"/>
        <w:spacing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2023年度收入总计66.76万元，支出总计</w:t>
      </w:r>
      <w:r>
        <w:rPr>
          <w:rFonts w:hint="default" w:ascii="Times New Roman" w:hAnsi="Times New Roman" w:eastAsia="方正仿宋_GBK" w:cs="Times New Roman"/>
          <w:sz w:val="32"/>
          <w:szCs w:val="32"/>
        </w:rPr>
        <w:t>66.76</w:t>
      </w:r>
      <w:r>
        <w:rPr>
          <w:rFonts w:hint="default" w:ascii="Times New Roman" w:hAnsi="Times New Roman" w:eastAsia="方正仿宋_GBK" w:cs="Times New Roman"/>
          <w:sz w:val="32"/>
          <w:szCs w:val="32"/>
          <w:shd w:val="clear" w:color="auto" w:fill="FFFFFF"/>
        </w:rPr>
        <w:t>万元。收支较上年决算数减少2.86万元，下降4.11%，主要原因是厉行节约，压减办公经费。</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2023年度收入合计66.76万元，较上年决算数减少2.86万元，下降4.11%，主要原因是厉行节约，压减办公经费。其中：财政拨款收入</w:t>
      </w:r>
      <w:r>
        <w:rPr>
          <w:rFonts w:hint="default" w:ascii="Times New Roman" w:hAnsi="Times New Roman" w:eastAsia="方正仿宋_GBK" w:cs="Times New Roman"/>
          <w:sz w:val="32"/>
          <w:szCs w:val="32"/>
        </w:rPr>
        <w:t>66.76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66.76</w:t>
      </w:r>
      <w:r>
        <w:rPr>
          <w:rFonts w:hint="default" w:ascii="Times New Roman" w:hAnsi="Times New Roman" w:eastAsia="方正仿宋_GBK" w:cs="Times New Roman"/>
          <w:sz w:val="32"/>
          <w:szCs w:val="32"/>
          <w:shd w:val="clear" w:color="auto" w:fill="FFFFFF"/>
        </w:rPr>
        <w:t>万元，较上年决算数减少2.86万元，下降4.11%，主要原因是是厉行节约，压减办公经费。其中：基本支出</w:t>
      </w:r>
      <w:r>
        <w:rPr>
          <w:rFonts w:hint="default" w:ascii="Times New Roman" w:hAnsi="Times New Roman" w:eastAsia="方正仿宋_GBK" w:cs="Times New Roman"/>
          <w:sz w:val="32"/>
          <w:szCs w:val="32"/>
        </w:rPr>
        <w:t>66.76</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2023年无结转结余。</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2023年度财政拨款收、支总计66.76万元。与2022年相比，财政拨款收、支总计各减少2.86万元，下降4.11%。主要原因是厉行节约，压减办公经费。</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66.76</w:t>
      </w:r>
      <w:r>
        <w:rPr>
          <w:rFonts w:hint="default" w:ascii="Times New Roman" w:hAnsi="Times New Roman" w:eastAsia="方正仿宋_GBK" w:cs="Times New Roman"/>
          <w:sz w:val="32"/>
          <w:szCs w:val="32"/>
          <w:shd w:val="clear" w:color="auto" w:fill="FFFFFF"/>
        </w:rPr>
        <w:t>万元，较上年决算数减少2.86万元，下降4.11%。主要原因是厉行节约，压减办公经费。较年初预算数增加14.69万元，增长28.21%。主要原因是</w:t>
      </w:r>
      <w:r>
        <w:rPr>
          <w:rFonts w:hint="default" w:ascii="Times New Roman" w:hAnsi="Times New Roman" w:eastAsia="方正仿宋_GBK" w:cs="Times New Roman"/>
          <w:kern w:val="0"/>
          <w:sz w:val="32"/>
          <w:szCs w:val="32"/>
        </w:rPr>
        <w:t>人员经费拨款增</w:t>
      </w:r>
      <w:r>
        <w:rPr>
          <w:rFonts w:hint="default" w:ascii="Times New Roman" w:hAnsi="Times New Roman" w:eastAsia="方正仿宋_GBK" w:cs="Times New Roman"/>
          <w:kern w:val="0"/>
          <w:sz w:val="32"/>
          <w:szCs w:val="32"/>
          <w:lang w:eastAsia="zh-CN"/>
        </w:rPr>
        <w:t>加</w:t>
      </w:r>
      <w:r>
        <w:rPr>
          <w:rFonts w:hint="default" w:ascii="Times New Roman" w:hAnsi="Times New Roman" w:eastAsia="方正仿宋_GBK" w:cs="Times New Roman"/>
          <w:kern w:val="0"/>
          <w:sz w:val="32"/>
          <w:szCs w:val="32"/>
          <w:lang w:val="en-US" w:eastAsia="zh-CN"/>
        </w:rPr>
        <w:t>14.69万元。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66.76</w:t>
      </w:r>
      <w:r>
        <w:rPr>
          <w:rFonts w:hint="default" w:ascii="Times New Roman" w:hAnsi="Times New Roman" w:eastAsia="方正仿宋_GBK" w:cs="Times New Roman"/>
          <w:sz w:val="32"/>
          <w:szCs w:val="32"/>
          <w:shd w:val="clear" w:color="auto" w:fill="FFFFFF"/>
        </w:rPr>
        <w:t>万元，较上年决算数减少2.86万元，下降4.11%。主要原因是厉行节约，压减办公经费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较年初预算数增加14.69万元，增长28.21%。主要原因是</w:t>
      </w:r>
      <w:r>
        <w:rPr>
          <w:rFonts w:hint="default" w:ascii="Times New Roman" w:hAnsi="Times New Roman" w:eastAsia="方正仿宋_GBK" w:cs="Times New Roman"/>
          <w:kern w:val="0"/>
          <w:sz w:val="32"/>
          <w:szCs w:val="32"/>
        </w:rPr>
        <w:t>人员经费拨款增</w:t>
      </w:r>
      <w:r>
        <w:rPr>
          <w:rFonts w:hint="default" w:ascii="Times New Roman" w:hAnsi="Times New Roman" w:eastAsia="方正仿宋_GBK" w:cs="Times New Roman"/>
          <w:kern w:val="0"/>
          <w:sz w:val="32"/>
          <w:szCs w:val="32"/>
          <w:lang w:eastAsia="zh-CN"/>
        </w:rPr>
        <w:t>加</w:t>
      </w:r>
      <w:r>
        <w:rPr>
          <w:rFonts w:hint="default" w:ascii="Times New Roman" w:hAnsi="Times New Roman" w:eastAsia="方正仿宋_GBK" w:cs="Times New Roman"/>
          <w:kern w:val="0"/>
          <w:sz w:val="32"/>
          <w:szCs w:val="32"/>
          <w:lang w:val="en-US" w:eastAsia="zh-CN"/>
        </w:rPr>
        <w:t>14.69万元。</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2023年无结转结余。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55.37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82.94</w:t>
      </w:r>
      <w:r>
        <w:rPr>
          <w:rFonts w:hint="default" w:ascii="Times New Roman" w:hAnsi="Times New Roman" w:eastAsia="方正仿宋_GBK" w:cs="Times New Roman"/>
          <w:sz w:val="32"/>
          <w:szCs w:val="32"/>
          <w:shd w:val="clear" w:color="auto" w:fill="FFFFFF"/>
        </w:rPr>
        <w:t>%，较年初预算数增加12.17万元，增长28.17%，主要原因是</w:t>
      </w:r>
      <w:r>
        <w:rPr>
          <w:rFonts w:hint="default" w:ascii="Times New Roman" w:hAnsi="Times New Roman" w:eastAsia="方正仿宋_GBK" w:cs="Times New Roman"/>
          <w:kern w:val="0"/>
          <w:sz w:val="32"/>
          <w:szCs w:val="32"/>
        </w:rPr>
        <w:t>政策性调标及年中追加人员经费用于运行支出</w:t>
      </w:r>
      <w:r>
        <w:rPr>
          <w:rFonts w:hint="default" w:ascii="Times New Roman" w:hAnsi="Times New Roman" w:eastAsia="方正仿宋_GBK" w:cs="Times New Roman"/>
          <w:kern w:val="0"/>
          <w:sz w:val="32"/>
          <w:szCs w:val="32"/>
          <w:lang w:eastAsia="zh-CN"/>
        </w:rPr>
        <w:t>。</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8.49</w:t>
      </w:r>
      <w:r>
        <w:rPr>
          <w:rFonts w:hint="default" w:ascii="Times New Roman" w:hAnsi="Times New Roman" w:eastAsia="方正仿宋_GBK" w:cs="Times New Roman"/>
          <w:sz w:val="32"/>
          <w:szCs w:val="32"/>
          <w:shd w:val="clear" w:color="auto" w:fill="FFFFFF"/>
        </w:rPr>
        <w:t>%，较年初预算数增加1.33万元，增长30.65%，主要原因是</w:t>
      </w:r>
      <w:r>
        <w:rPr>
          <w:rFonts w:hint="default" w:ascii="Times New Roman" w:hAnsi="Times New Roman" w:eastAsia="方正仿宋_GBK" w:cs="Times New Roman"/>
          <w:sz w:val="32"/>
          <w:szCs w:val="32"/>
          <w:shd w:val="clear" w:color="auto" w:fill="FFFFFF"/>
          <w:lang w:eastAsia="zh-CN"/>
        </w:rPr>
        <w:t>年中追加人员经费保障职业年金等支出。</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2.88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4.31</w:t>
      </w:r>
      <w:r>
        <w:rPr>
          <w:rFonts w:hint="default" w:ascii="Times New Roman" w:hAnsi="Times New Roman" w:eastAsia="方正仿宋_GBK" w:cs="Times New Roman"/>
          <w:sz w:val="32"/>
          <w:szCs w:val="32"/>
          <w:shd w:val="clear" w:color="auto" w:fill="FFFFFF"/>
        </w:rPr>
        <w:t>%，较年初预算数增加0.53万元，增长22.55%，主要原因是</w:t>
      </w:r>
      <w:r>
        <w:rPr>
          <w:rFonts w:hint="default" w:ascii="Times New Roman" w:hAnsi="Times New Roman" w:eastAsia="方正仿宋_GBK" w:cs="Times New Roman"/>
          <w:sz w:val="32"/>
          <w:szCs w:val="32"/>
          <w:shd w:val="clear" w:color="auto" w:fill="FFFFFF"/>
          <w:lang w:eastAsia="zh-CN"/>
        </w:rPr>
        <w:t>人员职级晋升，年中追加医疗保险支出。</w:t>
      </w:r>
    </w:p>
    <w:p>
      <w:pPr>
        <w:pageBreakBefore w:val="0"/>
        <w:widowControl/>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4.25</w:t>
      </w:r>
      <w:r>
        <w:rPr>
          <w:rFonts w:hint="default" w:ascii="Times New Roman" w:hAnsi="Times New Roman" w:eastAsia="方正仿宋_GBK" w:cs="Times New Roman"/>
          <w:sz w:val="32"/>
          <w:szCs w:val="32"/>
          <w:shd w:val="clear" w:color="auto" w:fill="FFFFFF"/>
        </w:rPr>
        <w:t>%，较年初预算数增加0.67万元，增长30.88%，主要原因是</w:t>
      </w:r>
      <w:r>
        <w:rPr>
          <w:rFonts w:hint="default" w:ascii="Times New Roman" w:hAnsi="Times New Roman" w:eastAsia="方正仿宋_GBK" w:cs="Times New Roman"/>
          <w:sz w:val="32"/>
          <w:szCs w:val="32"/>
          <w:shd w:val="clear" w:color="auto" w:fill="FFFFFF"/>
          <w:lang w:eastAsia="zh-CN"/>
        </w:rPr>
        <w:t>人员职级晋升，年中追加住房公积金。</w:t>
      </w:r>
    </w:p>
    <w:p>
      <w:pPr>
        <w:pageBreakBefore w:val="0"/>
        <w:widowControl/>
        <w:kinsoku/>
        <w:wordWrap/>
        <w:overflowPunct/>
        <w:topLinePunct w:val="0"/>
        <w:bidi w:val="0"/>
        <w:spacing w:line="594"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66.76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54.40</w:t>
      </w:r>
      <w:r>
        <w:rPr>
          <w:rFonts w:hint="default" w:ascii="Times New Roman" w:hAnsi="Times New Roman" w:eastAsia="方正仿宋_GBK" w:cs="Times New Roman"/>
          <w:sz w:val="32"/>
          <w:szCs w:val="32"/>
          <w:shd w:val="clear" w:color="auto" w:fill="FFFFFF"/>
        </w:rPr>
        <w:t>万元，较上年决算数增加0.19万元，增长0.35%，主要原因是</w:t>
      </w:r>
      <w:r>
        <w:rPr>
          <w:rFonts w:hint="default" w:ascii="Times New Roman" w:hAnsi="Times New Roman" w:eastAsia="方正仿宋_GBK" w:cs="Times New Roman"/>
          <w:sz w:val="32"/>
          <w:szCs w:val="32"/>
          <w:shd w:val="clear" w:color="auto" w:fill="FFFFFF"/>
          <w:lang w:eastAsia="zh-CN"/>
        </w:rPr>
        <w:t>人员职级</w:t>
      </w:r>
      <w:r>
        <w:rPr>
          <w:rFonts w:hint="default" w:ascii="Times New Roman" w:hAnsi="Times New Roman" w:eastAsia="方正仿宋_GBK" w:cs="Times New Roman"/>
          <w:sz w:val="32"/>
          <w:szCs w:val="32"/>
          <w:shd w:val="clear" w:color="auto" w:fill="FFFFFF"/>
          <w:lang w:val="en-US" w:eastAsia="zh-CN"/>
        </w:rPr>
        <w:t>晋升，保险等人员经费增加。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基本工资、津贴补贴、奖金、社会保障缴费、养老保险职业年金缴费、住房公积金、超额绩效等。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12.36</w:t>
      </w:r>
      <w:r>
        <w:rPr>
          <w:rFonts w:hint="default" w:ascii="Times New Roman" w:hAnsi="Times New Roman" w:eastAsia="方正仿宋_GBK" w:cs="Times New Roman"/>
          <w:sz w:val="32"/>
          <w:szCs w:val="32"/>
          <w:shd w:val="clear" w:color="auto" w:fill="FFFFFF"/>
        </w:rPr>
        <w:t>万元，较上年决算数减少3.06万元，下降19.84%，主要原</w:t>
      </w:r>
      <w:r>
        <w:rPr>
          <w:rFonts w:hint="default" w:ascii="Times New Roman" w:hAnsi="Times New Roman" w:eastAsia="方正仿宋_GBK" w:cs="Times New Roman"/>
          <w:kern w:val="0"/>
          <w:sz w:val="32"/>
          <w:szCs w:val="32"/>
        </w:rPr>
        <w:t>因是</w:t>
      </w:r>
      <w:r>
        <w:rPr>
          <w:rFonts w:hint="default" w:ascii="Times New Roman" w:hAnsi="Times New Roman" w:eastAsia="方正仿宋_GBK" w:cs="Times New Roman"/>
          <w:kern w:val="0"/>
          <w:sz w:val="32"/>
          <w:szCs w:val="32"/>
          <w:lang w:eastAsia="zh-CN"/>
        </w:rPr>
        <w:t>厉行节约，办公经费减少。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办公费、广告费、电费、邮电费、差旅费、培训费、公务接待费、工会经费、其他交通费用、其他商品和服务支出。</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年度无政府性基金预算财政拨款收支。</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pageBreakBefore w:val="0"/>
        <w:widowControl/>
        <w:shd w:val="clear" w:color="auto" w:fill="FFFFFF"/>
        <w:kinsoku/>
        <w:wordWrap/>
        <w:overflowPunct/>
        <w:topLinePunct w:val="0"/>
        <w:bidi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年度无国有资本经营预算财政拨款支出。</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0.56</w:t>
      </w:r>
      <w:r>
        <w:rPr>
          <w:rFonts w:hint="default" w:ascii="Times New Roman" w:hAnsi="Times New Roman" w:eastAsia="方正仿宋_GBK" w:cs="Times New Roman"/>
          <w:sz w:val="32"/>
          <w:szCs w:val="32"/>
          <w:shd w:val="clear" w:color="auto" w:fill="FFFFFF"/>
        </w:rPr>
        <w:t>万元，较年初预算数减少0.84万元，下降60.00%，主要原因是认真贯彻落实中央八项规定精神，按照只减不增的要求从严控制“三公”经费</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较上年支出数减少0.44万元，下降44.00%，主要原因认真贯彻落实中央八项规定精神，按照只减不增的要求从严控制“三公”经费。</w:t>
      </w:r>
    </w:p>
    <w:p>
      <w:pPr>
        <w:pStyle w:val="11"/>
        <w:pageBreakBefore w:val="0"/>
        <w:widowControl/>
        <w:kinsoku/>
        <w:wordWrap/>
        <w:overflowPunct/>
        <w:topLinePunct w:val="0"/>
        <w:autoSpaceDE w:val="0"/>
        <w:bidi w:val="0"/>
        <w:spacing w:line="594" w:lineRule="exact"/>
        <w:ind w:left="0" w:leftChars="0"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年度本单位未发生因公出国（境）费用。</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年度本单位未发生公务车购置费。</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年本单位度未发生公务车运行维护费。</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0.56</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rPr>
        <w:t>县内相关部门检查指导工作发生的接待支出。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费用支出较年初预算数减少0.44万元，下降44.00%，</w:t>
      </w:r>
      <w:r>
        <w:rPr>
          <w:rFonts w:hint="default" w:ascii="Times New Roman" w:hAnsi="Times New Roman" w:eastAsia="方正仿宋_GBK" w:cs="Times New Roman"/>
          <w:sz w:val="32"/>
          <w:szCs w:val="32"/>
          <w:shd w:val="clear" w:color="auto" w:fill="FFFFFF"/>
          <w:lang w:eastAsia="zh-CN"/>
        </w:rPr>
        <w:t>厉行节约，严格控制公务接待标准和范围。</w:t>
      </w:r>
      <w:r>
        <w:rPr>
          <w:rFonts w:hint="default" w:ascii="Times New Roman" w:hAnsi="Times New Roman" w:eastAsia="方正仿宋_GBK" w:cs="Times New Roman"/>
          <w:sz w:val="32"/>
          <w:szCs w:val="32"/>
          <w:shd w:val="clear" w:color="auto" w:fill="FFFFFF"/>
        </w:rPr>
        <w:t>较上年支出数减少0.44万元，下降44.00%，主要原因是</w:t>
      </w:r>
      <w:r>
        <w:rPr>
          <w:rFonts w:hint="default" w:ascii="Times New Roman" w:hAnsi="Times New Roman" w:eastAsia="方正仿宋_GBK" w:cs="Times New Roman"/>
          <w:sz w:val="32"/>
          <w:szCs w:val="32"/>
          <w:shd w:val="clear" w:color="auto" w:fill="FFFFFF"/>
          <w:lang w:eastAsia="zh-CN"/>
        </w:rPr>
        <w:t>严格遵守</w:t>
      </w:r>
      <w:r>
        <w:rPr>
          <w:rFonts w:hint="default" w:ascii="Times New Roman" w:hAnsi="Times New Roman" w:eastAsia="方正仿宋_GBK" w:cs="Times New Roman"/>
          <w:sz w:val="32"/>
          <w:szCs w:val="32"/>
          <w:shd w:val="clear" w:color="auto" w:fill="FFFFFF"/>
        </w:rPr>
        <w:t>公务接待开支范围和开支标准，严格控制陪餐人数，公务接待费大幅下降。</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175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32.02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万元，较上年决算数减少1.00万元，下降100.00%，主要原因是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2023年度未发生会议支出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0.42</w:t>
      </w:r>
      <w:r>
        <w:rPr>
          <w:rFonts w:hint="default" w:ascii="Times New Roman" w:hAnsi="Times New Roman" w:eastAsia="方正仿宋_GBK" w:cs="Times New Roman"/>
          <w:sz w:val="32"/>
          <w:szCs w:val="32"/>
          <w:shd w:val="clear" w:color="auto" w:fill="FFFFFF"/>
        </w:rPr>
        <w:t>万元，较上年决算数增加0.12万元，增长40.00%，主要原因是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2023年度培训减少。</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因本单位为事业单位原因，财政未保障我单位机关运行经费。</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kern w:val="0"/>
          <w:sz w:val="32"/>
          <w:szCs w:val="32"/>
        </w:rPr>
        <w:t xml:space="preserve"> 因本单位资产合并在鱼池镇人民政府本级上报原因，我单位资产未纳入</w:t>
      </w:r>
      <w:bookmarkStart w:id="0" w:name="_GoBack"/>
      <w:bookmarkEnd w:id="0"/>
      <w:r>
        <w:rPr>
          <w:rFonts w:hint="default" w:ascii="Times New Roman" w:hAnsi="Times New Roman" w:eastAsia="方正仿宋_GBK" w:cs="Times New Roman"/>
          <w:kern w:val="0"/>
          <w:sz w:val="32"/>
          <w:szCs w:val="32"/>
        </w:rPr>
        <w:t>决算报表。</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94" w:lineRule="exact"/>
        <w:ind w:firstLine="0" w:firstLineChars="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pageBreakBefore w:val="0"/>
        <w:widowControl/>
        <w:kinsoku/>
        <w:wordWrap/>
        <w:overflowPunct/>
        <w:topLinePunct w:val="0"/>
        <w:autoSpaceDE w:val="0"/>
        <w:bidi w:val="0"/>
        <w:spacing w:line="594" w:lineRule="exact"/>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keepNext/>
        <w:keepLines/>
        <w:pageBreakBefore w:val="0"/>
        <w:widowControl/>
        <w:suppressLineNumbers/>
        <w:kinsoku/>
        <w:wordWrap/>
        <w:overflowPunct/>
        <w:topLinePunct w:val="0"/>
        <w:autoSpaceDE w:val="0"/>
        <w:autoSpaceDN w:val="0"/>
        <w:bidi w:val="0"/>
        <w:adjustRightInd w:val="0"/>
        <w:spacing w:beforeLines="0" w:afterLines="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本单位为鱼池镇人民政府下属二级预算单位，预算绩效管理工作由鱼池镇人民政府本级开展，我单位未开展预算绩效管理工作。</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我单位未组织开展绩效评价</w:t>
      </w:r>
    </w:p>
    <w:p>
      <w:pPr>
        <w:pStyle w:val="11"/>
        <w:pageBreakBefore w:val="0"/>
        <w:widowControl/>
        <w:kinsoku/>
        <w:wordWrap/>
        <w:overflowPunct/>
        <w:topLinePunct w:val="0"/>
        <w:autoSpaceDE w:val="0"/>
        <w:bidi w:val="0"/>
        <w:spacing w:line="594"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4"/>
        <w:pageBreakBefore w:val="0"/>
        <w:widowControl/>
        <w:kinsoku/>
        <w:wordWrap/>
        <w:overflowPunct/>
        <w:topLinePunct w:val="0"/>
        <w:autoSpaceDE w:val="0"/>
        <w:bidi w:val="0"/>
        <w:spacing w:line="594" w:lineRule="exact"/>
        <w:ind w:firstLine="64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市财政局</w:t>
      </w:r>
      <w:r>
        <w:rPr>
          <w:rFonts w:hint="default" w:ascii="Times New Roman" w:hAnsi="Times New Roman" w:eastAsia="方正仿宋_GBK" w:cs="Times New Roman"/>
          <w:sz w:val="32"/>
          <w:szCs w:val="32"/>
          <w:shd w:val="clear" w:color="auto" w:fill="FFFFFF"/>
          <w:lang w:eastAsia="zh-CN"/>
        </w:rPr>
        <w:t>未委托第三方对我单位开展绩效评价。</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黑体" w:cs="Times New Roman"/>
          <w:sz w:val="32"/>
          <w:szCs w:val="32"/>
          <w:shd w:val="clear" w:color="auto" w:fill="FFFFFF"/>
        </w:rPr>
        <w:t>六、专业名词解释</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pageBreakBefore w:val="0"/>
        <w:widowControl/>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pageBreakBefore w:val="0"/>
        <w:widowControl/>
        <w:shd w:val="clear" w:color="auto" w:fill="FFFFFF"/>
        <w:kinsoku/>
        <w:wordWrap/>
        <w:overflowPunct/>
        <w:topLinePunct w:val="0"/>
        <w:bidi w:val="0"/>
        <w:spacing w:line="594" w:lineRule="exact"/>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000000" w:themeColor="text1"/>
          <w:sz w:val="32"/>
          <w:szCs w:val="32"/>
          <w:shd w:val="clear" w:color="auto" w:fill="FFFFFF"/>
        </w:rPr>
        <w:t>：</w:t>
      </w:r>
    </w:p>
    <w:p>
      <w:pPr>
        <w:pStyle w:val="6"/>
        <w:pageBreakBefore w:val="0"/>
        <w:widowControl/>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themeColor="text1"/>
          <w:sz w:val="32"/>
          <w:szCs w:val="32"/>
          <w:shd w:val="clear" w:color="auto" w:fill="FFFFFF"/>
          <w:lang w:val="en-US" w:eastAsia="zh-CN"/>
        </w:rPr>
        <w:t>丁运平</w:t>
      </w:r>
      <w:r>
        <w:rPr>
          <w:rFonts w:hint="default" w:ascii="Times New Roman" w:hAnsi="Times New Roman" w:eastAsia="方正仿宋_GBK" w:cs="Times New Roman"/>
          <w:color w:val="000000" w:themeColor="text1"/>
          <w:sz w:val="32"/>
          <w:szCs w:val="32"/>
          <w:shd w:val="clear" w:color="auto" w:fill="FFFFFF"/>
          <w:lang w:val="en-US" w:eastAsia="zh-CN"/>
        </w:rPr>
        <w:t>023-73384001</w:t>
      </w:r>
      <w:r>
        <w:rPr>
          <w:rFonts w:hint="default" w:ascii="Times New Roman" w:hAnsi="Times New Roman" w:eastAsia="方正仿宋_GBK" w:cs="Times New Roman"/>
          <w:color w:val="000000" w:themeColor="text1"/>
          <w:sz w:val="32"/>
          <w:szCs w:val="32"/>
          <w:shd w:val="clear" w:color="auto" w:fill="FFFFFF"/>
        </w:rPr>
        <w:t>。</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重庆市石柱土家族自治县鱼池镇综合行政执法大队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66.76</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66.76</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重庆市石柱土家族自治县鱼池镇综合行政执法大队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66.76</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66.76</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重庆市石柱土家族自治县鱼池镇综合行政执法大队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66.76</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66.76</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55.37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66.76</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66.76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66.76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66.76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55.37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55.37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54.40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54.40</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12.36</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重庆市石柱土家族自治县鱼池镇综合行政执法大队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0.56</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0.56</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21</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175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0.42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3ZWNiNGEwOGU1NmM0Y2I3NTI0ZGE5YzZhMzNhZjg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727719"/>
    <w:rsid w:val="05BC6D49"/>
    <w:rsid w:val="06194FF1"/>
    <w:rsid w:val="06A2550B"/>
    <w:rsid w:val="06F80EE2"/>
    <w:rsid w:val="07001CCA"/>
    <w:rsid w:val="075678DB"/>
    <w:rsid w:val="079D7CC7"/>
    <w:rsid w:val="08051BCA"/>
    <w:rsid w:val="086C12F4"/>
    <w:rsid w:val="08705944"/>
    <w:rsid w:val="08BA052C"/>
    <w:rsid w:val="08CA3ADF"/>
    <w:rsid w:val="08DB07BA"/>
    <w:rsid w:val="091371C3"/>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974C34"/>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D3442B"/>
    <w:rsid w:val="24B92327"/>
    <w:rsid w:val="24C14514"/>
    <w:rsid w:val="2533755C"/>
    <w:rsid w:val="25791755"/>
    <w:rsid w:val="262B1207"/>
    <w:rsid w:val="26396DF4"/>
    <w:rsid w:val="27167136"/>
    <w:rsid w:val="271B442C"/>
    <w:rsid w:val="27B23302"/>
    <w:rsid w:val="28E50E01"/>
    <w:rsid w:val="29310A5F"/>
    <w:rsid w:val="29C37A35"/>
    <w:rsid w:val="2A076083"/>
    <w:rsid w:val="2A73162E"/>
    <w:rsid w:val="2B167953"/>
    <w:rsid w:val="2B1A7ED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4D2D2E"/>
    <w:rsid w:val="3DDF3AB1"/>
    <w:rsid w:val="3E1D0952"/>
    <w:rsid w:val="3E42660A"/>
    <w:rsid w:val="3E7555B1"/>
    <w:rsid w:val="3E787ED9"/>
    <w:rsid w:val="3F032E93"/>
    <w:rsid w:val="3F0527E5"/>
    <w:rsid w:val="3F694D83"/>
    <w:rsid w:val="3F885DCC"/>
    <w:rsid w:val="3FCD675E"/>
    <w:rsid w:val="4004000C"/>
    <w:rsid w:val="40235DB3"/>
    <w:rsid w:val="40BD5482"/>
    <w:rsid w:val="411B6CE5"/>
    <w:rsid w:val="412070D7"/>
    <w:rsid w:val="41314E40"/>
    <w:rsid w:val="41E0734B"/>
    <w:rsid w:val="426C1EA8"/>
    <w:rsid w:val="42702FAA"/>
    <w:rsid w:val="42736402"/>
    <w:rsid w:val="42E86A87"/>
    <w:rsid w:val="43307B09"/>
    <w:rsid w:val="439A3EB9"/>
    <w:rsid w:val="43BB152F"/>
    <w:rsid w:val="440525B4"/>
    <w:rsid w:val="44C37687"/>
    <w:rsid w:val="45633A36"/>
    <w:rsid w:val="45CB699A"/>
    <w:rsid w:val="465B470D"/>
    <w:rsid w:val="469D6AD4"/>
    <w:rsid w:val="46C9141B"/>
    <w:rsid w:val="471E6C84"/>
    <w:rsid w:val="4748792B"/>
    <w:rsid w:val="475D719D"/>
    <w:rsid w:val="47674801"/>
    <w:rsid w:val="48225EF7"/>
    <w:rsid w:val="488F422B"/>
    <w:rsid w:val="48E36915"/>
    <w:rsid w:val="48EB6572"/>
    <w:rsid w:val="495C4A24"/>
    <w:rsid w:val="497135DF"/>
    <w:rsid w:val="4A163063"/>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647162"/>
    <w:rsid w:val="6247406C"/>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C139A1"/>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306C53"/>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4</TotalTime>
  <ScaleCrop>false</ScaleCrop>
  <LinksUpToDate>false</LinksUpToDate>
  <CharactersWithSpaces>26759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2024-10-17T10:09:03Z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BB46EABDBB2749749395447164B066B3_12</vt:lpwstr>
  </property>
</Properties>
</file>