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70" w:lineRule="exact"/>
        <w:jc w:val="center"/>
        <w:rPr>
          <w:rFonts w:hint="default" w:eastAsia="方正小标宋_GBK" w:cs="方正小标宋_GBK" w:asciiTheme="minorAscii" w:hAnsiTheme="minorAscii"/>
          <w:b w:val="0"/>
          <w:bCs w:val="0"/>
          <w:sz w:val="36"/>
          <w:szCs w:val="36"/>
          <w:shd w:val="clear" w:color="auto" w:fill="FFFFFF"/>
        </w:rPr>
      </w:pPr>
      <w:r>
        <w:rPr>
          <w:rFonts w:hint="default" w:eastAsia="方正小标宋_GBK" w:cs="方正小标宋_GBK" w:asciiTheme="minorAscii" w:hAnsiTheme="minorAscii"/>
          <w:b w:val="0"/>
          <w:bCs w:val="0"/>
          <w:sz w:val="36"/>
          <w:szCs w:val="36"/>
        </w:rPr>
        <w:t>重庆市石柱土家族自治县洗新乡综合行政执法大队</w:t>
      </w:r>
      <w:r>
        <w:rPr>
          <w:rFonts w:hint="default" w:eastAsia="方正小标宋_GBK" w:cs="方正小标宋_GBK" w:asciiTheme="minorAscii" w:hAnsiTheme="minorAscii"/>
          <w:b w:val="0"/>
          <w:bCs w:val="0"/>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黑体" w:cs="黑体" w:asciiTheme="minorAscii" w:hAnsiTheme="minorAscii"/>
          <w:b w:val="0"/>
          <w:bCs w:val="0"/>
          <w:sz w:val="32"/>
          <w:szCs w:val="32"/>
        </w:rPr>
      </w:pPr>
      <w:r>
        <w:rPr>
          <w:rStyle w:val="10"/>
          <w:rFonts w:hint="default" w:eastAsia="黑体" w:cs="黑体" w:asciiTheme="minorAscii" w:hAnsiTheme="minorAscii"/>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（一）职能职责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2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方正仿宋_GBK" w:cs="方正仿宋_GBK" w:asciiTheme="minorAscii" w:hAnsiTheme="minorAscii"/>
          <w:b w:val="0"/>
          <w:bCs w:val="0"/>
          <w:i w:val="0"/>
          <w:iCs w:val="0"/>
          <w:caps w:val="0"/>
          <w:color w:val="000000"/>
          <w:spacing w:val="0"/>
          <w:sz w:val="31"/>
          <w:szCs w:val="31"/>
          <w:vertAlign w:val="baseline"/>
          <w:lang w:val="en-US" w:eastAsia="zh-CN"/>
        </w:rPr>
        <w:t>1.</w:t>
      </w:r>
      <w:r>
        <w:rPr>
          <w:rFonts w:hint="default" w:eastAsia="方正仿宋_GBK" w:cs="方正仿宋_GBK" w:asciiTheme="minorAscii" w:hAnsiTheme="minorAscii"/>
          <w:b w:val="0"/>
          <w:bCs w:val="0"/>
          <w:i w:val="0"/>
          <w:iCs w:val="0"/>
          <w:caps w:val="0"/>
          <w:color w:val="000000"/>
          <w:spacing w:val="0"/>
          <w:sz w:val="31"/>
          <w:szCs w:val="31"/>
          <w:vertAlign w:val="baseline"/>
        </w:rPr>
        <w:t>贯彻落实综合行政执法工作的有关规定；依据有关法律、法规和规章，参与起草本辖区实行综合行政执法领域相关方面的工作计划，并具体实施。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2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方正仿宋_GBK" w:cs="方正仿宋_GBK" w:asciiTheme="minorAscii" w:hAnsiTheme="minorAscii"/>
          <w:b w:val="0"/>
          <w:bCs w:val="0"/>
          <w:i w:val="0"/>
          <w:iCs w:val="0"/>
          <w:caps w:val="0"/>
          <w:color w:val="000000"/>
          <w:spacing w:val="0"/>
          <w:sz w:val="31"/>
          <w:szCs w:val="31"/>
          <w:vertAlign w:val="baseline"/>
          <w:lang w:val="en-US" w:eastAsia="zh-CN"/>
        </w:rPr>
        <w:t>2.</w:t>
      </w:r>
      <w:r>
        <w:rPr>
          <w:rFonts w:hint="default" w:eastAsia="方正仿宋_GBK" w:cs="方正仿宋_GBK" w:asciiTheme="minorAscii" w:hAnsiTheme="minorAscii"/>
          <w:b w:val="0"/>
          <w:bCs w:val="0"/>
          <w:i w:val="0"/>
          <w:iCs w:val="0"/>
          <w:caps w:val="0"/>
          <w:color w:val="000000"/>
          <w:spacing w:val="0"/>
          <w:sz w:val="31"/>
          <w:szCs w:val="31"/>
          <w:vertAlign w:val="baseline"/>
        </w:rPr>
        <w:t>根据授权或委托，承担辖区范围内集中行使农林水利、规划建设、市政管理、环境保护、卫生健康、文化旅游、民政管理等领域的行政执法权。</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2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方正仿宋_GBK" w:cs="方正仿宋_GBK" w:asciiTheme="minorAscii" w:hAnsiTheme="minorAscii"/>
          <w:b w:val="0"/>
          <w:bCs w:val="0"/>
          <w:i w:val="0"/>
          <w:iCs w:val="0"/>
          <w:caps w:val="0"/>
          <w:color w:val="000000"/>
          <w:spacing w:val="0"/>
          <w:sz w:val="31"/>
          <w:szCs w:val="31"/>
          <w:vertAlign w:val="baseline"/>
          <w:lang w:val="en-US" w:eastAsia="zh-CN"/>
        </w:rPr>
        <w:t>3.</w:t>
      </w:r>
      <w:r>
        <w:rPr>
          <w:rFonts w:hint="default" w:eastAsia="方正仿宋_GBK" w:cs="方正仿宋_GBK" w:asciiTheme="minorAscii" w:hAnsiTheme="minorAscii"/>
          <w:b w:val="0"/>
          <w:bCs w:val="0"/>
          <w:i w:val="0"/>
          <w:iCs w:val="0"/>
          <w:caps w:val="0"/>
          <w:color w:val="000000"/>
          <w:spacing w:val="0"/>
          <w:sz w:val="31"/>
          <w:szCs w:val="31"/>
          <w:vertAlign w:val="baseline"/>
        </w:rPr>
        <w:t>承担市县授权或委托的其他行政执法权。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20" w:firstLineChars="200"/>
        <w:jc w:val="both"/>
        <w:textAlignment w:val="baseline"/>
        <w:rPr>
          <w:rFonts w:hint="default" w:eastAsia="宋体" w:cs="宋体" w:asciiTheme="minorAscii" w:hAnsiTheme="minorAscii"/>
          <w:b w:val="0"/>
          <w:bCs w:val="0"/>
          <w:i w:val="0"/>
          <w:iCs w:val="0"/>
          <w:caps w:val="0"/>
          <w:color w:val="000000"/>
          <w:spacing w:val="0"/>
          <w:sz w:val="24"/>
          <w:szCs w:val="24"/>
        </w:rPr>
      </w:pPr>
      <w:r>
        <w:rPr>
          <w:rFonts w:hint="default" w:eastAsia="方正仿宋_GBK" w:cs="方正仿宋_GBK" w:asciiTheme="minorAscii" w:hAnsiTheme="minorAscii"/>
          <w:b w:val="0"/>
          <w:bCs w:val="0"/>
          <w:i w:val="0"/>
          <w:iCs w:val="0"/>
          <w:caps w:val="0"/>
          <w:color w:val="000000"/>
          <w:spacing w:val="0"/>
          <w:sz w:val="31"/>
          <w:szCs w:val="31"/>
          <w:vertAlign w:val="baseline"/>
          <w:lang w:val="en-US" w:eastAsia="zh-CN"/>
        </w:rPr>
        <w:t>4.</w:t>
      </w:r>
      <w:r>
        <w:rPr>
          <w:rFonts w:hint="default" w:eastAsia="方正仿宋_GBK" w:cs="方正仿宋_GBK" w:asciiTheme="minorAscii" w:hAnsiTheme="minorAscii"/>
          <w:b w:val="0"/>
          <w:bCs w:val="0"/>
          <w:i w:val="0"/>
          <w:iCs w:val="0"/>
          <w:caps w:val="0"/>
          <w:color w:val="000000"/>
          <w:spacing w:val="0"/>
          <w:sz w:val="31"/>
          <w:szCs w:val="31"/>
          <w:vertAlign w:val="baseline"/>
        </w:rPr>
        <w:t>承办乡党委、乡政府交办的其他工作任务。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20" w:firstLineChars="200"/>
        <w:jc w:val="both"/>
        <w:textAlignment w:val="baseline"/>
        <w:rPr>
          <w:rFonts w:hint="default" w:eastAsia="宋体" w:cs="Times New Roman" w:asciiTheme="minorAscii" w:hAnsiTheme="minorAscii"/>
          <w:b w:val="0"/>
          <w:bCs w:val="0"/>
          <w:i w:val="0"/>
          <w:iCs w:val="0"/>
          <w:caps w:val="0"/>
          <w:color w:val="000000"/>
          <w:spacing w:val="0"/>
          <w:sz w:val="31"/>
          <w:szCs w:val="31"/>
          <w:vertAlign w:val="baseline"/>
        </w:rPr>
      </w:pPr>
      <w:r>
        <w:rPr>
          <w:rFonts w:hint="default" w:eastAsia="方正仿宋_GBK" w:cs="方正仿宋_GBK" w:asciiTheme="minorAscii" w:hAnsiTheme="minorAscii"/>
          <w:b w:val="0"/>
          <w:bCs w:val="0"/>
          <w:i w:val="0"/>
          <w:iCs w:val="0"/>
          <w:caps w:val="0"/>
          <w:color w:val="000000"/>
          <w:spacing w:val="0"/>
          <w:sz w:val="31"/>
          <w:szCs w:val="31"/>
          <w:vertAlign w:val="baseline"/>
        </w:rPr>
        <w:t>除法律法规授权外，市政府授权及县级相关部门委托的行政处罚、行政强制等执法权以正式授权或委托为准。</w:t>
      </w:r>
      <w:r>
        <w:rPr>
          <w:rFonts w:hint="default" w:eastAsia="宋体" w:cs="Times New Roman" w:asciiTheme="minorAscii" w:hAnsiTheme="minorAscii"/>
          <w:b w:val="0"/>
          <w:bCs w:val="0"/>
          <w:i w:val="0"/>
          <w:iCs w:val="0"/>
          <w:caps w:val="0"/>
          <w:color w:val="000000"/>
          <w:spacing w:val="0"/>
          <w:sz w:val="31"/>
          <w:szCs w:val="31"/>
          <w:vertAlign w:val="baseline"/>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70" w:lineRule="exact"/>
        <w:ind w:right="0" w:firstLine="640" w:firstLineChars="200"/>
        <w:jc w:val="both"/>
        <w:textAlignment w:val="baseline"/>
        <w:rPr>
          <w:rFonts w:hint="default" w:eastAsia="楷体" w:cs="楷体"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（二）机构设置</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20" w:firstLineChars="200"/>
        <w:jc w:val="both"/>
        <w:rPr>
          <w:rFonts w:hint="default" w:asciiTheme="minorAscii" w:hAnsiTheme="minorAscii"/>
          <w:b w:val="0"/>
          <w:bCs w:val="0"/>
        </w:rPr>
      </w:pPr>
      <w:r>
        <w:rPr>
          <w:rFonts w:hint="default" w:eastAsia="方正仿宋_GBK" w:cs="方正仿宋_GBK" w:asciiTheme="minorAscii" w:hAnsiTheme="minorAscii"/>
          <w:b w:val="0"/>
          <w:bCs w:val="0"/>
          <w:i w:val="0"/>
          <w:iCs w:val="0"/>
          <w:caps w:val="0"/>
          <w:color w:val="000000"/>
          <w:spacing w:val="0"/>
          <w:kern w:val="0"/>
          <w:sz w:val="31"/>
          <w:szCs w:val="31"/>
          <w:lang w:val="en-US" w:eastAsia="zh-CN" w:bidi="ar"/>
        </w:rPr>
        <w:t>从决算单位构成看，洗新乡综合行政执法大队决算由</w:t>
      </w:r>
      <w:r>
        <w:rPr>
          <w:rFonts w:hint="default" w:eastAsia="宋体" w:cs="Times New Roman" w:asciiTheme="minorAscii" w:hAnsiTheme="minorAscii"/>
          <w:b w:val="0"/>
          <w:bCs w:val="0"/>
          <w:i w:val="0"/>
          <w:iCs w:val="0"/>
          <w:caps w:val="0"/>
          <w:color w:val="000000"/>
          <w:spacing w:val="0"/>
          <w:kern w:val="0"/>
          <w:sz w:val="31"/>
          <w:szCs w:val="31"/>
          <w:lang w:val="en-US" w:eastAsia="zh-CN" w:bidi="ar"/>
        </w:rPr>
        <w:t>1</w:t>
      </w:r>
      <w:r>
        <w:rPr>
          <w:rFonts w:hint="default" w:eastAsia="方正仿宋_GBK" w:cs="方正仿宋_GBK" w:asciiTheme="minorAscii" w:hAnsiTheme="minorAscii"/>
          <w:b w:val="0"/>
          <w:bCs w:val="0"/>
          <w:i w:val="0"/>
          <w:iCs w:val="0"/>
          <w:caps w:val="0"/>
          <w:color w:val="000000"/>
          <w:spacing w:val="0"/>
          <w:kern w:val="0"/>
          <w:sz w:val="31"/>
          <w:szCs w:val="31"/>
          <w:lang w:val="en-US" w:eastAsia="zh-CN" w:bidi="ar"/>
        </w:rPr>
        <w:t>个部门组成。人员编制</w:t>
      </w:r>
      <w:r>
        <w:rPr>
          <w:rFonts w:hint="default" w:eastAsia="宋体" w:cs="Times New Roman" w:asciiTheme="minorAscii" w:hAnsiTheme="minorAscii"/>
          <w:b w:val="0"/>
          <w:bCs w:val="0"/>
          <w:i w:val="0"/>
          <w:iCs w:val="0"/>
          <w:caps w:val="0"/>
          <w:color w:val="000000"/>
          <w:spacing w:val="0"/>
          <w:kern w:val="0"/>
          <w:sz w:val="31"/>
          <w:szCs w:val="31"/>
          <w:lang w:val="en-US" w:eastAsia="zh-CN" w:bidi="ar"/>
        </w:rPr>
        <w:t>3</w:t>
      </w:r>
      <w:r>
        <w:rPr>
          <w:rFonts w:hint="default" w:eastAsia="方正仿宋_GBK" w:cs="方正仿宋_GBK" w:asciiTheme="minorAscii" w:hAnsiTheme="minorAscii"/>
          <w:b w:val="0"/>
          <w:bCs w:val="0"/>
          <w:i w:val="0"/>
          <w:iCs w:val="0"/>
          <w:caps w:val="0"/>
          <w:color w:val="000000"/>
          <w:spacing w:val="0"/>
          <w:kern w:val="0"/>
          <w:sz w:val="31"/>
          <w:szCs w:val="31"/>
          <w:lang w:val="en-US" w:eastAsia="zh-CN" w:bidi="ar"/>
        </w:rPr>
        <w:t>人，实有</w:t>
      </w:r>
      <w:r>
        <w:rPr>
          <w:rFonts w:hint="eastAsia" w:cs="Times New Roman" w:asciiTheme="minorAscii" w:hAnsiTheme="minorAscii"/>
          <w:b w:val="0"/>
          <w:bCs w:val="0"/>
          <w:i w:val="0"/>
          <w:iCs w:val="0"/>
          <w:caps w:val="0"/>
          <w:color w:val="000000"/>
          <w:spacing w:val="0"/>
          <w:kern w:val="0"/>
          <w:sz w:val="31"/>
          <w:szCs w:val="31"/>
          <w:lang w:val="en-US" w:eastAsia="zh-CN" w:bidi="ar"/>
        </w:rPr>
        <w:t>2</w:t>
      </w:r>
      <w:r>
        <w:rPr>
          <w:rFonts w:hint="default" w:eastAsia="方正仿宋_GBK" w:cs="方正仿宋_GBK" w:asciiTheme="minorAscii" w:hAnsiTheme="minorAscii"/>
          <w:b w:val="0"/>
          <w:bCs w:val="0"/>
          <w:i w:val="0"/>
          <w:iCs w:val="0"/>
          <w:caps w:val="0"/>
          <w:color w:val="000000"/>
          <w:spacing w:val="0"/>
          <w:kern w:val="0"/>
          <w:sz w:val="31"/>
          <w:szCs w:val="31"/>
          <w:lang w:val="en-US" w:eastAsia="zh-CN" w:bidi="ar"/>
        </w:rPr>
        <w:t>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1.总体情况。</w:t>
      </w:r>
      <w:r>
        <w:rPr>
          <w:rFonts w:hint="default" w:eastAsia="方正仿宋_GBK" w:cs="方正仿宋_GBK" w:asciiTheme="minorAscii" w:hAnsiTheme="minorAscii"/>
          <w:b w:val="0"/>
          <w:bCs w:val="0"/>
          <w:sz w:val="32"/>
          <w:szCs w:val="32"/>
          <w:shd w:val="clear" w:color="auto" w:fill="FFFFFF"/>
        </w:rPr>
        <w:t>2023年度收入总计38.40万元，支出总计</w:t>
      </w:r>
      <w:r>
        <w:rPr>
          <w:rFonts w:hint="default" w:eastAsia="方正仿宋_GBK" w:cs="方正仿宋_GBK" w:asciiTheme="minorAscii" w:hAnsiTheme="minorAscii"/>
          <w:b w:val="0"/>
          <w:bCs w:val="0"/>
          <w:sz w:val="32"/>
          <w:szCs w:val="32"/>
        </w:rPr>
        <w:t>38.40</w:t>
      </w:r>
      <w:r>
        <w:rPr>
          <w:rFonts w:hint="default" w:eastAsia="方正仿宋_GBK" w:cs="方正仿宋_GBK" w:asciiTheme="minorAscii" w:hAnsiTheme="minorAscii"/>
          <w:b w:val="0"/>
          <w:bCs w:val="0"/>
          <w:sz w:val="32"/>
          <w:szCs w:val="32"/>
          <w:shd w:val="clear" w:color="auto" w:fill="FFFFFF"/>
        </w:rPr>
        <w:t>万元。收支较上年决算数减少2.38万元，下降5.84%，主要原因是</w:t>
      </w:r>
      <w:r>
        <w:rPr>
          <w:rFonts w:hint="default" w:eastAsia="方正仿宋_GBK" w:cs="方正仿宋_GBK" w:asciiTheme="minorAscii" w:hAnsiTheme="minorAscii"/>
          <w:b w:val="0"/>
          <w:bCs w:val="0"/>
          <w:sz w:val="32"/>
          <w:szCs w:val="32"/>
          <w:highlight w:val="none"/>
          <w:shd w:val="clear" w:color="auto" w:fill="FFFFFF"/>
          <w:lang w:eastAsia="zh-CN"/>
        </w:rPr>
        <w:t>人员社保基数调整，人员经费减少。</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shd w:val="clear" w:color="auto" w:fill="FFFFFF"/>
        </w:rPr>
      </w:pPr>
      <w:r>
        <w:rPr>
          <w:rStyle w:val="10"/>
          <w:rFonts w:hint="default" w:eastAsia="方正仿宋_GBK" w:cs="方正仿宋_GBK" w:asciiTheme="minorAscii" w:hAnsiTheme="minorAscii"/>
          <w:b w:val="0"/>
          <w:bCs w:val="0"/>
          <w:sz w:val="32"/>
          <w:szCs w:val="32"/>
          <w:shd w:val="clear" w:color="auto" w:fill="FFFFFF"/>
        </w:rPr>
        <w:t>2.收入情况。</w:t>
      </w:r>
      <w:r>
        <w:rPr>
          <w:rFonts w:hint="default" w:eastAsia="方正仿宋_GBK" w:cs="方正仿宋_GBK" w:asciiTheme="minorAscii" w:hAnsiTheme="minorAscii"/>
          <w:b w:val="0"/>
          <w:bCs w:val="0"/>
          <w:sz w:val="32"/>
          <w:szCs w:val="32"/>
          <w:shd w:val="clear" w:color="auto" w:fill="FFFFFF"/>
        </w:rPr>
        <w:t>2023年度收入合计38.40万元，较上年决算数减少2.38万元，下降5.84%，主要原因是</w:t>
      </w:r>
      <w:r>
        <w:rPr>
          <w:rFonts w:hint="default" w:eastAsia="方正仿宋_GBK" w:cs="方正仿宋_GBK" w:asciiTheme="minorAscii" w:hAnsiTheme="minorAscii"/>
          <w:b w:val="0"/>
          <w:bCs w:val="0"/>
          <w:sz w:val="32"/>
          <w:szCs w:val="32"/>
          <w:highlight w:val="none"/>
          <w:shd w:val="clear" w:color="auto" w:fill="FFFFFF"/>
          <w:lang w:eastAsia="zh-CN"/>
        </w:rPr>
        <w:t>人员社保基数调整，人员经费预算减少。</w:t>
      </w:r>
      <w:r>
        <w:rPr>
          <w:rFonts w:hint="default" w:eastAsia="方正仿宋_GBK" w:cs="方正仿宋_GBK" w:asciiTheme="minorAscii" w:hAnsiTheme="minorAscii"/>
          <w:b w:val="0"/>
          <w:bCs w:val="0"/>
          <w:sz w:val="32"/>
          <w:szCs w:val="32"/>
          <w:shd w:val="clear" w:color="auto" w:fill="FFFFFF"/>
        </w:rPr>
        <w:t>其中：财政拨款收入</w:t>
      </w:r>
      <w:r>
        <w:rPr>
          <w:rFonts w:hint="default" w:eastAsia="方正仿宋_GBK" w:cs="方正仿宋_GBK" w:asciiTheme="minorAscii" w:hAnsiTheme="minorAscii"/>
          <w:b w:val="0"/>
          <w:bCs w:val="0"/>
          <w:sz w:val="32"/>
          <w:szCs w:val="32"/>
        </w:rPr>
        <w:t>38.40</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100.00</w:t>
      </w:r>
      <w:r>
        <w:rPr>
          <w:rFonts w:hint="default" w:eastAsia="方正仿宋_GBK" w:cs="方正仿宋_GBK" w:asciiTheme="minorAscii" w:hAnsiTheme="minorAscii"/>
          <w:b w:val="0"/>
          <w:bCs w:val="0"/>
          <w:sz w:val="32"/>
          <w:szCs w:val="32"/>
          <w:shd w:val="clear" w:color="auto" w:fill="FFFFFF"/>
        </w:rPr>
        <w:t>%；事业收入</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万元，占0.00%；经营收入</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万元，占0.00%；其他收入</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万元，占0.00%。此外，使用非财政拨款结余和专用结余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万元，年初结转和结余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shd w:val="clear" w:color="auto" w:fill="FFFFFF"/>
        </w:rPr>
      </w:pPr>
      <w:r>
        <w:rPr>
          <w:rStyle w:val="10"/>
          <w:rFonts w:hint="default" w:eastAsia="方正仿宋_GBK" w:cs="方正仿宋_GBK" w:asciiTheme="minorAscii" w:hAnsiTheme="minorAscii"/>
          <w:b w:val="0"/>
          <w:bCs w:val="0"/>
          <w:sz w:val="32"/>
          <w:szCs w:val="32"/>
          <w:shd w:val="clear" w:color="auto" w:fill="FFFFFF"/>
        </w:rPr>
        <w:t>3.支出情况。</w:t>
      </w:r>
      <w:r>
        <w:rPr>
          <w:rFonts w:hint="default" w:eastAsia="方正仿宋_GBK" w:cs="方正仿宋_GBK" w:asciiTheme="minorAscii" w:hAnsiTheme="minorAscii"/>
          <w:b w:val="0"/>
          <w:bCs w:val="0"/>
          <w:sz w:val="32"/>
          <w:szCs w:val="32"/>
          <w:shd w:val="clear" w:color="auto" w:fill="FFFFFF"/>
        </w:rPr>
        <w:t>2023年度支出合计</w:t>
      </w:r>
      <w:r>
        <w:rPr>
          <w:rFonts w:hint="default" w:eastAsia="方正仿宋_GBK" w:cs="方正仿宋_GBK" w:asciiTheme="minorAscii" w:hAnsiTheme="minorAscii"/>
          <w:b w:val="0"/>
          <w:bCs w:val="0"/>
          <w:sz w:val="32"/>
          <w:szCs w:val="32"/>
        </w:rPr>
        <w:t>38.40</w:t>
      </w:r>
      <w:r>
        <w:rPr>
          <w:rFonts w:hint="default" w:eastAsia="方正仿宋_GBK" w:cs="方正仿宋_GBK" w:asciiTheme="minorAscii" w:hAnsiTheme="minorAscii"/>
          <w:b w:val="0"/>
          <w:bCs w:val="0"/>
          <w:sz w:val="32"/>
          <w:szCs w:val="32"/>
          <w:shd w:val="clear" w:color="auto" w:fill="FFFFFF"/>
        </w:rPr>
        <w:t>万元，较上年决算数减少2.38万元，下降5.84%，主要原因是</w:t>
      </w:r>
      <w:r>
        <w:rPr>
          <w:rFonts w:hint="default" w:eastAsia="方正仿宋_GBK" w:cs="方正仿宋_GBK" w:asciiTheme="minorAscii" w:hAnsiTheme="minorAscii"/>
          <w:b w:val="0"/>
          <w:bCs w:val="0"/>
          <w:sz w:val="32"/>
          <w:szCs w:val="32"/>
          <w:highlight w:val="none"/>
          <w:shd w:val="clear" w:color="auto" w:fill="FFFFFF"/>
          <w:lang w:eastAsia="zh-CN"/>
        </w:rPr>
        <w:t>人员社保基数调整，人员经费支出减少。</w:t>
      </w:r>
      <w:r>
        <w:rPr>
          <w:rFonts w:hint="default" w:eastAsia="方正仿宋_GBK" w:cs="方正仿宋_GBK" w:asciiTheme="minorAscii" w:hAnsiTheme="minorAscii"/>
          <w:b w:val="0"/>
          <w:bCs w:val="0"/>
          <w:sz w:val="32"/>
          <w:szCs w:val="32"/>
          <w:shd w:val="clear" w:color="auto" w:fill="FFFFFF"/>
        </w:rPr>
        <w:t>其中：基本支出</w:t>
      </w:r>
      <w:r>
        <w:rPr>
          <w:rFonts w:hint="default" w:eastAsia="方正仿宋_GBK" w:cs="方正仿宋_GBK" w:asciiTheme="minorAscii" w:hAnsiTheme="minorAscii"/>
          <w:b w:val="0"/>
          <w:bCs w:val="0"/>
          <w:sz w:val="32"/>
          <w:szCs w:val="32"/>
        </w:rPr>
        <w:t>38.40</w:t>
      </w:r>
      <w:r>
        <w:rPr>
          <w:rFonts w:hint="default" w:eastAsia="方正仿宋_GBK" w:cs="方正仿宋_GBK" w:asciiTheme="minorAscii" w:hAnsiTheme="minorAscii"/>
          <w:b w:val="0"/>
          <w:bCs w:val="0"/>
          <w:sz w:val="32"/>
          <w:szCs w:val="32"/>
          <w:shd w:val="clear" w:color="auto" w:fill="FFFFFF"/>
        </w:rPr>
        <w:t>万元，占100.00%；项目支出</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万元，占0.00%；经营支出</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万元，占0.00%。此外，结余分配</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4.结转结余情况。</w:t>
      </w:r>
      <w:r>
        <w:rPr>
          <w:rFonts w:hint="default" w:eastAsia="方正仿宋_GBK" w:cs="方正仿宋_GBK" w:asciiTheme="minorAscii" w:hAnsiTheme="minorAscii"/>
          <w:b w:val="0"/>
          <w:bCs w:val="0"/>
          <w:sz w:val="32"/>
          <w:szCs w:val="32"/>
          <w:shd w:val="clear" w:color="auto" w:fill="FFFFFF"/>
        </w:rPr>
        <w:t>2023年度年末结转和结余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万元，较上年决算数无增减，主要原因是</w:t>
      </w:r>
      <w:r>
        <w:rPr>
          <w:rFonts w:hint="default" w:eastAsia="方正仿宋_GBK" w:cs="方正仿宋_GBK" w:asciiTheme="minorAscii" w:hAnsiTheme="minorAscii"/>
          <w:b w:val="0"/>
          <w:bCs w:val="0"/>
          <w:color w:val="auto"/>
          <w:sz w:val="32"/>
          <w:szCs w:val="32"/>
          <w:shd w:val="clear" w:color="auto" w:fill="FFFFFF"/>
          <w:lang w:eastAsia="zh-CN"/>
        </w:rPr>
        <w:t>本单位</w:t>
      </w:r>
      <w:r>
        <w:rPr>
          <w:rFonts w:hint="default" w:eastAsia="方正仿宋_GBK" w:cs="方正仿宋_GBK" w:asciiTheme="minorAscii" w:hAnsiTheme="minorAscii"/>
          <w:b w:val="0"/>
          <w:bCs w:val="0"/>
          <w:color w:val="auto"/>
          <w:sz w:val="32"/>
          <w:szCs w:val="32"/>
          <w:shd w:val="clear" w:color="auto" w:fill="FFFFFF"/>
          <w:lang w:val="en-US" w:eastAsia="zh-CN"/>
        </w:rPr>
        <w:t>2022年、2023年均无结转结余。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Fonts w:hint="default" w:eastAsia="方正仿宋_GBK" w:cs="方正仿宋_GBK" w:asciiTheme="minorAscii" w:hAnsiTheme="minorAscii"/>
          <w:b w:val="0"/>
          <w:bCs w:val="0"/>
          <w:sz w:val="32"/>
          <w:szCs w:val="32"/>
          <w:shd w:val="clear" w:color="auto" w:fill="FFFFFF"/>
        </w:rPr>
        <w:t>2023年度财政拨款收、支总计38.40万元。与2022年相比，财政拨款收、支总计各减少2.38万元，下降5.84%。主要原因是</w:t>
      </w:r>
      <w:r>
        <w:rPr>
          <w:rFonts w:hint="default" w:eastAsia="方正仿宋_GBK" w:cs="方正仿宋_GBK" w:asciiTheme="minorAscii" w:hAnsiTheme="minorAscii"/>
          <w:b w:val="0"/>
          <w:bCs w:val="0"/>
          <w:sz w:val="32"/>
          <w:szCs w:val="32"/>
          <w:highlight w:val="none"/>
          <w:shd w:val="clear" w:color="auto" w:fill="FFFFFF"/>
          <w:lang w:eastAsia="zh-CN"/>
        </w:rPr>
        <w:t>人员社保基数调整，人员经费减少。</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1.收入情况。</w:t>
      </w:r>
      <w:r>
        <w:rPr>
          <w:rFonts w:hint="default" w:eastAsia="方正仿宋_GBK" w:cs="方正仿宋_GBK" w:asciiTheme="minorAscii" w:hAnsiTheme="minorAscii"/>
          <w:b w:val="0"/>
          <w:bCs w:val="0"/>
          <w:sz w:val="32"/>
          <w:szCs w:val="32"/>
          <w:shd w:val="clear" w:color="auto" w:fill="FFFFFF"/>
        </w:rPr>
        <w:t>2023年度一般公共预算财政拨款收入</w:t>
      </w:r>
      <w:r>
        <w:rPr>
          <w:rFonts w:hint="default" w:eastAsia="方正仿宋_GBK" w:cs="方正仿宋_GBK" w:asciiTheme="minorAscii" w:hAnsiTheme="minorAscii"/>
          <w:b w:val="0"/>
          <w:bCs w:val="0"/>
          <w:sz w:val="32"/>
          <w:szCs w:val="32"/>
        </w:rPr>
        <w:t>38.40</w:t>
      </w:r>
      <w:r>
        <w:rPr>
          <w:rFonts w:hint="default" w:eastAsia="方正仿宋_GBK" w:cs="方正仿宋_GBK" w:asciiTheme="minorAscii" w:hAnsiTheme="minorAscii"/>
          <w:b w:val="0"/>
          <w:bCs w:val="0"/>
          <w:sz w:val="32"/>
          <w:szCs w:val="32"/>
          <w:shd w:val="clear" w:color="auto" w:fill="FFFFFF"/>
        </w:rPr>
        <w:t>万元，较上年决算数减少2.38万元，下降5.84%。主要原因是</w:t>
      </w:r>
      <w:r>
        <w:rPr>
          <w:rFonts w:hint="default" w:eastAsia="方正仿宋_GBK" w:cs="方正仿宋_GBK" w:asciiTheme="minorAscii" w:hAnsiTheme="minorAscii"/>
          <w:b w:val="0"/>
          <w:bCs w:val="0"/>
          <w:sz w:val="32"/>
          <w:szCs w:val="32"/>
          <w:highlight w:val="none"/>
          <w:shd w:val="clear" w:color="auto" w:fill="FFFFFF"/>
          <w:lang w:eastAsia="zh-CN"/>
        </w:rPr>
        <w:t>人员社保基数调整，人员经费预算减少。</w:t>
      </w:r>
      <w:r>
        <w:rPr>
          <w:rFonts w:hint="default" w:eastAsia="方正仿宋_GBK" w:cs="方正仿宋_GBK" w:asciiTheme="minorAscii" w:hAnsiTheme="minorAscii"/>
          <w:b w:val="0"/>
          <w:bCs w:val="0"/>
          <w:sz w:val="32"/>
          <w:szCs w:val="32"/>
          <w:shd w:val="clear" w:color="auto" w:fill="FFFFFF"/>
        </w:rPr>
        <w:t>较年初预算数增加4.00万元，增长11.63%。主要原因是</w:t>
      </w:r>
      <w:r>
        <w:rPr>
          <w:rFonts w:hint="default" w:eastAsia="方正仿宋_GBK" w:cs="方正仿宋_GBK" w:asciiTheme="minorAscii" w:hAnsiTheme="minorAscii"/>
          <w:b w:val="0"/>
          <w:bCs w:val="0"/>
          <w:color w:val="auto"/>
          <w:sz w:val="32"/>
          <w:szCs w:val="32"/>
          <w:highlight w:val="none"/>
          <w:shd w:val="clear" w:color="auto" w:fill="FFFFFF"/>
          <w:lang w:eastAsia="zh-CN"/>
        </w:rPr>
        <w:t>年中追加人员类工资福利支出预算</w:t>
      </w:r>
      <w:r>
        <w:rPr>
          <w:rFonts w:hint="default" w:eastAsia="方正仿宋_GBK" w:cs="方正仿宋_GBK" w:asciiTheme="minorAscii" w:hAnsiTheme="minorAscii"/>
          <w:b w:val="0"/>
          <w:bCs w:val="0"/>
          <w:color w:val="auto"/>
          <w:sz w:val="32"/>
          <w:szCs w:val="32"/>
          <w:highlight w:val="none"/>
          <w:shd w:val="clear" w:color="auto" w:fill="FFFFFF"/>
        </w:rPr>
        <w:t>。</w:t>
      </w:r>
      <w:r>
        <w:rPr>
          <w:rFonts w:hint="default" w:eastAsia="方正仿宋_GBK" w:cs="方正仿宋_GBK" w:asciiTheme="minorAscii" w:hAnsiTheme="minorAscii"/>
          <w:b w:val="0"/>
          <w:bCs w:val="0"/>
          <w:sz w:val="32"/>
          <w:szCs w:val="32"/>
          <w:shd w:val="clear" w:color="auto" w:fill="FFFFFF"/>
        </w:rPr>
        <w:t>此外，年初财政拨款结转和结余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2.支出情况。</w:t>
      </w:r>
      <w:r>
        <w:rPr>
          <w:rFonts w:hint="default" w:eastAsia="方正仿宋_GBK" w:cs="方正仿宋_GBK" w:asciiTheme="minorAscii" w:hAnsiTheme="minorAscii"/>
          <w:b w:val="0"/>
          <w:bCs w:val="0"/>
          <w:sz w:val="32"/>
          <w:szCs w:val="32"/>
          <w:shd w:val="clear" w:color="auto" w:fill="FFFFFF"/>
        </w:rPr>
        <w:t>2023年度一般公共预算财政拨款支出</w:t>
      </w:r>
      <w:r>
        <w:rPr>
          <w:rFonts w:hint="default" w:eastAsia="方正仿宋_GBK" w:cs="方正仿宋_GBK" w:asciiTheme="minorAscii" w:hAnsiTheme="minorAscii"/>
          <w:b w:val="0"/>
          <w:bCs w:val="0"/>
          <w:sz w:val="32"/>
          <w:szCs w:val="32"/>
        </w:rPr>
        <w:t>38.40</w:t>
      </w:r>
      <w:r>
        <w:rPr>
          <w:rFonts w:hint="default" w:eastAsia="方正仿宋_GBK" w:cs="方正仿宋_GBK" w:asciiTheme="minorAscii" w:hAnsiTheme="minorAscii"/>
          <w:b w:val="0"/>
          <w:bCs w:val="0"/>
          <w:sz w:val="32"/>
          <w:szCs w:val="32"/>
          <w:shd w:val="clear" w:color="auto" w:fill="FFFFFF"/>
        </w:rPr>
        <w:t>万元，较上年决算数减少2.38万元，下降5.84%。主要原因是</w:t>
      </w:r>
      <w:r>
        <w:rPr>
          <w:rFonts w:hint="default" w:eastAsia="方正仿宋_GBK" w:cs="方正仿宋_GBK" w:asciiTheme="minorAscii" w:hAnsiTheme="minorAscii"/>
          <w:b w:val="0"/>
          <w:bCs w:val="0"/>
          <w:sz w:val="32"/>
          <w:szCs w:val="32"/>
          <w:highlight w:val="none"/>
          <w:shd w:val="clear" w:color="auto" w:fill="FFFFFF"/>
          <w:lang w:eastAsia="zh-CN"/>
        </w:rPr>
        <w:t>人员社保基数调整，人员经费支出减少。</w:t>
      </w:r>
      <w:r>
        <w:rPr>
          <w:rFonts w:hint="default" w:eastAsia="方正仿宋_GBK" w:cs="方正仿宋_GBK" w:asciiTheme="minorAscii" w:hAnsiTheme="minorAscii"/>
          <w:b w:val="0"/>
          <w:bCs w:val="0"/>
          <w:sz w:val="32"/>
          <w:szCs w:val="32"/>
          <w:shd w:val="clear" w:color="auto" w:fill="FFFFFF"/>
        </w:rPr>
        <w:t>较年初预算数增加4.00万元，增长11.63%。主要原因是</w:t>
      </w:r>
      <w:r>
        <w:rPr>
          <w:rFonts w:hint="default" w:eastAsia="方正仿宋_GBK" w:cs="方正仿宋_GBK" w:asciiTheme="minorAscii" w:hAnsiTheme="minorAscii"/>
          <w:b w:val="0"/>
          <w:bCs w:val="0"/>
          <w:color w:val="auto"/>
          <w:sz w:val="32"/>
          <w:szCs w:val="32"/>
          <w:highlight w:val="none"/>
          <w:shd w:val="clear" w:color="auto" w:fill="FFFFFF"/>
          <w:lang w:eastAsia="zh-CN"/>
        </w:rPr>
        <w:t>年中追加人员类工资福利支出</w:t>
      </w:r>
      <w:r>
        <w:rPr>
          <w:rFonts w:hint="default" w:eastAsia="方正仿宋_GBK" w:cs="方正仿宋_GBK" w:asciiTheme="minorAscii" w:hAnsiTheme="minorAscii"/>
          <w:b w:val="0"/>
          <w:bCs w:val="0"/>
          <w:color w:val="auto"/>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方正仿宋_GBK" w:cs="方正仿宋_GBK" w:asciiTheme="minorAscii" w:hAnsiTheme="minorAscii"/>
          <w:b w:val="0"/>
          <w:bCs w:val="0"/>
          <w:sz w:val="32"/>
          <w:szCs w:val="32"/>
          <w:shd w:val="clear" w:color="auto" w:fill="FFFFFF"/>
        </w:rPr>
        <w:t>3.结转结余情况。</w:t>
      </w:r>
      <w:r>
        <w:rPr>
          <w:rFonts w:hint="default" w:eastAsia="方正仿宋_GBK" w:cs="方正仿宋_GBK" w:asciiTheme="minorAscii" w:hAnsiTheme="minorAscii"/>
          <w:b w:val="0"/>
          <w:bCs w:val="0"/>
          <w:sz w:val="32"/>
          <w:szCs w:val="32"/>
          <w:shd w:val="clear" w:color="auto" w:fill="FFFFFF"/>
        </w:rPr>
        <w:t>2023年度年末一般公共预算财政拨款结转和结余</w:t>
      </w:r>
      <w:r>
        <w:rPr>
          <w:rFonts w:hint="default" w:eastAsia="方正仿宋_GBK" w:cs="方正仿宋_GBK" w:asciiTheme="minorAscii" w:hAnsiTheme="minorAscii"/>
          <w:b w:val="0"/>
          <w:bCs w:val="0"/>
          <w:sz w:val="32"/>
          <w:szCs w:val="32"/>
        </w:rPr>
        <w:t>0.00</w:t>
      </w:r>
      <w:r>
        <w:rPr>
          <w:rFonts w:hint="default" w:eastAsia="方正仿宋_GBK" w:cs="方正仿宋_GBK" w:asciiTheme="minorAscii" w:hAnsiTheme="minorAscii"/>
          <w:b w:val="0"/>
          <w:bCs w:val="0"/>
          <w:sz w:val="32"/>
          <w:szCs w:val="32"/>
          <w:shd w:val="clear" w:color="auto" w:fill="FFFFFF"/>
        </w:rPr>
        <w:t>万元，较上年决算数无增减，主要原因是</w:t>
      </w:r>
      <w:r>
        <w:rPr>
          <w:rFonts w:hint="default" w:eastAsia="方正仿宋_GBK" w:cs="方正仿宋_GBK" w:asciiTheme="minorAscii" w:hAnsiTheme="minorAscii"/>
          <w:b w:val="0"/>
          <w:bCs w:val="0"/>
          <w:color w:val="auto"/>
          <w:sz w:val="32"/>
          <w:szCs w:val="32"/>
          <w:shd w:val="clear" w:color="auto" w:fill="FFFFFF"/>
          <w:lang w:eastAsia="zh-CN"/>
        </w:rPr>
        <w:t>本单位</w:t>
      </w:r>
      <w:r>
        <w:rPr>
          <w:rFonts w:hint="default" w:eastAsia="方正仿宋_GBK" w:cs="方正仿宋_GBK" w:asciiTheme="minorAscii" w:hAnsiTheme="minorAscii"/>
          <w:b w:val="0"/>
          <w:bCs w:val="0"/>
          <w:color w:val="auto"/>
          <w:sz w:val="32"/>
          <w:szCs w:val="32"/>
          <w:shd w:val="clear" w:color="auto" w:fill="FFFFFF"/>
          <w:lang w:val="en-US" w:eastAsia="zh-CN"/>
        </w:rPr>
        <w:t>2022年、2023年均无结转结余。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FF0000"/>
          <w:sz w:val="32"/>
          <w:szCs w:val="32"/>
          <w:highlight w:val="cyan"/>
          <w:shd w:val="clear" w:color="auto" w:fill="FFFFFF"/>
        </w:rPr>
      </w:pPr>
      <w:r>
        <w:rPr>
          <w:rStyle w:val="10"/>
          <w:rFonts w:hint="default" w:eastAsia="方正仿宋_GBK" w:cs="方正仿宋_GBK" w:asciiTheme="minorAscii" w:hAnsiTheme="minorAscii"/>
          <w:b w:val="0"/>
          <w:bCs w:val="0"/>
          <w:sz w:val="32"/>
          <w:szCs w:val="32"/>
          <w:shd w:val="clear" w:color="auto" w:fill="FFFFFF"/>
        </w:rPr>
        <w:t>4.比较情况。</w:t>
      </w:r>
      <w:r>
        <w:rPr>
          <w:rFonts w:hint="default" w:eastAsia="方正仿宋_GBK" w:cs="方正仿宋_GBK" w:asciiTheme="minorAscii" w:hAnsiTheme="minorAscii"/>
          <w:b w:val="0"/>
          <w:bCs w:val="0"/>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auto"/>
          <w:sz w:val="32"/>
          <w:szCs w:val="32"/>
          <w:shd w:val="clear" w:color="auto" w:fill="FFFFFF"/>
          <w:lang w:eastAsia="zh-CN"/>
        </w:rPr>
      </w:pPr>
      <w:r>
        <w:rPr>
          <w:rFonts w:hint="default" w:eastAsia="方正仿宋_GBK" w:cs="方正仿宋_GBK" w:asciiTheme="minorAscii" w:hAnsiTheme="minorAscii"/>
          <w:b w:val="0"/>
          <w:bCs w:val="0"/>
          <w:sz w:val="32"/>
          <w:szCs w:val="32"/>
          <w:shd w:val="clear" w:color="auto" w:fill="FFFFFF"/>
        </w:rPr>
        <w:t>（1）一般公共服务支出</w:t>
      </w:r>
      <w:r>
        <w:rPr>
          <w:rFonts w:hint="default" w:eastAsia="方正仿宋_GBK" w:cs="方正仿宋_GBK" w:asciiTheme="minorAscii" w:hAnsiTheme="minorAscii"/>
          <w:b w:val="0"/>
          <w:bCs w:val="0"/>
          <w:sz w:val="32"/>
          <w:szCs w:val="32"/>
        </w:rPr>
        <w:t>31.94</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83.19</w:t>
      </w:r>
      <w:r>
        <w:rPr>
          <w:rFonts w:hint="default" w:eastAsia="方正仿宋_GBK" w:cs="方正仿宋_GBK" w:asciiTheme="minorAscii" w:hAnsiTheme="minorAscii"/>
          <w:b w:val="0"/>
          <w:bCs w:val="0"/>
          <w:sz w:val="32"/>
          <w:szCs w:val="32"/>
          <w:shd w:val="clear" w:color="auto" w:fill="FFFFFF"/>
        </w:rPr>
        <w:t>%，较年初预算数增加3.51万元，增长12.35%，主要原因是</w:t>
      </w:r>
      <w:r>
        <w:rPr>
          <w:rFonts w:hint="default" w:eastAsia="方正仿宋_GBK" w:cs="方正仿宋_GBK" w:asciiTheme="minorAscii" w:hAnsiTheme="minorAscii"/>
          <w:b w:val="0"/>
          <w:bCs w:val="0"/>
          <w:color w:val="auto"/>
          <w:sz w:val="32"/>
          <w:szCs w:val="32"/>
          <w:shd w:val="clear" w:color="auto" w:fill="FFFFFF"/>
          <w:lang w:eastAsia="zh-CN"/>
        </w:rPr>
        <w:t>年中追加人员类工资福利支出经费预算。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auto"/>
          <w:sz w:val="32"/>
          <w:szCs w:val="32"/>
          <w:highlight w:val="none"/>
          <w:shd w:val="clear" w:color="auto" w:fill="FFFFFF"/>
          <w:lang w:eastAsia="zh-CN"/>
        </w:rPr>
      </w:pPr>
      <w:r>
        <w:rPr>
          <w:rFonts w:hint="default" w:eastAsia="方正仿宋_GBK" w:cs="方正仿宋_GBK"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lang w:val="en-US" w:eastAsia="zh-CN"/>
        </w:rPr>
        <w:t>2</w:t>
      </w:r>
      <w:r>
        <w:rPr>
          <w:rFonts w:hint="default" w:eastAsia="方正仿宋_GBK" w:cs="方正仿宋_GBK" w:asciiTheme="minorAscii" w:hAnsiTheme="minorAscii"/>
          <w:b w:val="0"/>
          <w:bCs w:val="0"/>
          <w:sz w:val="32"/>
          <w:szCs w:val="32"/>
          <w:shd w:val="clear" w:color="auto" w:fill="FFFFFF"/>
        </w:rPr>
        <w:t>）社会保障与就业支出</w:t>
      </w:r>
      <w:r>
        <w:rPr>
          <w:rFonts w:hint="default" w:eastAsia="方正仿宋_GBK" w:cs="方正仿宋_GBK" w:asciiTheme="minorAscii" w:hAnsiTheme="minorAscii"/>
          <w:b w:val="0"/>
          <w:bCs w:val="0"/>
          <w:sz w:val="32"/>
          <w:szCs w:val="32"/>
        </w:rPr>
        <w:t>3.19</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8.30</w:t>
      </w:r>
      <w:r>
        <w:rPr>
          <w:rFonts w:hint="default" w:eastAsia="方正仿宋_GBK" w:cs="方正仿宋_GBK" w:asciiTheme="minorAscii" w:hAnsiTheme="minorAscii"/>
          <w:b w:val="0"/>
          <w:bCs w:val="0"/>
          <w:sz w:val="32"/>
          <w:szCs w:val="32"/>
          <w:shd w:val="clear" w:color="auto" w:fill="FFFFFF"/>
        </w:rPr>
        <w:t>%，较年初预算数增加0.26万元，增长8.87%，主要原因是</w:t>
      </w:r>
      <w:r>
        <w:rPr>
          <w:rFonts w:hint="default" w:eastAsia="方正仿宋_GBK" w:cs="方正仿宋_GBK" w:asciiTheme="minorAscii" w:hAnsiTheme="minorAscii"/>
          <w:b w:val="0"/>
          <w:bCs w:val="0"/>
          <w:color w:val="auto"/>
          <w:sz w:val="32"/>
          <w:szCs w:val="32"/>
          <w:highlight w:val="none"/>
          <w:shd w:val="clear" w:color="auto" w:fill="FFFFFF"/>
          <w:lang w:eastAsia="zh-CN"/>
        </w:rPr>
        <w:t>年中追加</w:t>
      </w:r>
      <w:r>
        <w:rPr>
          <w:rFonts w:hint="default" w:eastAsia="方正仿宋_GBK" w:cs="方正仿宋_GBK" w:asciiTheme="minorAscii" w:hAnsiTheme="minorAscii"/>
          <w:b w:val="0"/>
          <w:bCs w:val="0"/>
          <w:sz w:val="32"/>
          <w:szCs w:val="32"/>
          <w:highlight w:val="none"/>
          <w:shd w:val="clear" w:color="auto" w:fill="FFFFFF"/>
        </w:rPr>
        <w:t>社会保障</w:t>
      </w:r>
      <w:r>
        <w:rPr>
          <w:rFonts w:hint="default" w:eastAsia="方正仿宋_GBK" w:cs="方正仿宋_GBK" w:asciiTheme="minorAscii" w:hAnsiTheme="minorAscii"/>
          <w:b w:val="0"/>
          <w:bCs w:val="0"/>
          <w:color w:val="auto"/>
          <w:sz w:val="32"/>
          <w:szCs w:val="32"/>
          <w:highlight w:val="none"/>
          <w:shd w:val="clear" w:color="auto" w:fill="FFFFFF"/>
          <w:lang w:eastAsia="zh-CN"/>
        </w:rPr>
        <w:t>经费预算。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auto"/>
          <w:sz w:val="32"/>
          <w:szCs w:val="32"/>
          <w:highlight w:val="none"/>
          <w:shd w:val="clear" w:color="auto" w:fill="FFFFFF"/>
          <w:lang w:eastAsia="zh-CN"/>
        </w:rPr>
      </w:pPr>
      <w:r>
        <w:rPr>
          <w:rFonts w:hint="default" w:eastAsia="方正仿宋_GBK" w:cs="方正仿宋_GBK"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lang w:val="en-US" w:eastAsia="zh-CN"/>
        </w:rPr>
        <w:t>3</w:t>
      </w:r>
      <w:r>
        <w:rPr>
          <w:rFonts w:hint="default" w:eastAsia="方正仿宋_GBK" w:cs="方正仿宋_GBK" w:asciiTheme="minorAscii" w:hAnsiTheme="minorAscii"/>
          <w:b w:val="0"/>
          <w:bCs w:val="0"/>
          <w:sz w:val="32"/>
          <w:szCs w:val="32"/>
          <w:shd w:val="clear" w:color="auto" w:fill="FFFFFF"/>
        </w:rPr>
        <w:t>）卫生健康支出</w:t>
      </w:r>
      <w:r>
        <w:rPr>
          <w:rFonts w:hint="default" w:eastAsia="方正仿宋_GBK" w:cs="方正仿宋_GBK" w:asciiTheme="minorAscii" w:hAnsiTheme="minorAscii"/>
          <w:b w:val="0"/>
          <w:bCs w:val="0"/>
          <w:sz w:val="32"/>
          <w:szCs w:val="32"/>
        </w:rPr>
        <w:t>1.68</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4.37</w:t>
      </w:r>
      <w:r>
        <w:rPr>
          <w:rFonts w:hint="default" w:eastAsia="方正仿宋_GBK" w:cs="方正仿宋_GBK" w:asciiTheme="minorAscii" w:hAnsiTheme="minorAscii"/>
          <w:b w:val="0"/>
          <w:bCs w:val="0"/>
          <w:sz w:val="32"/>
          <w:szCs w:val="32"/>
          <w:shd w:val="clear" w:color="auto" w:fill="FFFFFF"/>
        </w:rPr>
        <w:t>%，较年初预算数增加0.10万元，增长6.33%，主要原因是</w:t>
      </w:r>
      <w:r>
        <w:rPr>
          <w:rFonts w:hint="default" w:eastAsia="方正仿宋_GBK" w:cs="方正仿宋_GBK" w:asciiTheme="minorAscii" w:hAnsiTheme="minorAscii"/>
          <w:b w:val="0"/>
          <w:bCs w:val="0"/>
          <w:color w:val="auto"/>
          <w:sz w:val="32"/>
          <w:szCs w:val="32"/>
          <w:highlight w:val="none"/>
          <w:shd w:val="clear" w:color="auto" w:fill="FFFFFF"/>
          <w:lang w:eastAsia="zh-CN"/>
        </w:rPr>
        <w:t>年中追加</w:t>
      </w:r>
      <w:r>
        <w:rPr>
          <w:rFonts w:hint="default" w:eastAsia="方正仿宋_GBK" w:cs="方正仿宋_GBK" w:asciiTheme="minorAscii" w:hAnsiTheme="minorAscii"/>
          <w:b w:val="0"/>
          <w:bCs w:val="0"/>
          <w:sz w:val="32"/>
          <w:szCs w:val="32"/>
          <w:highlight w:val="none"/>
          <w:shd w:val="clear" w:color="auto" w:fill="FFFFFF"/>
        </w:rPr>
        <w:t>卫生健康</w:t>
      </w:r>
      <w:r>
        <w:rPr>
          <w:rFonts w:hint="default" w:eastAsia="方正仿宋_GBK" w:cs="方正仿宋_GBK" w:asciiTheme="minorAscii" w:hAnsiTheme="minorAscii"/>
          <w:b w:val="0"/>
          <w:bCs w:val="0"/>
          <w:color w:val="auto"/>
          <w:sz w:val="32"/>
          <w:szCs w:val="32"/>
          <w:highlight w:val="none"/>
          <w:shd w:val="clear" w:color="auto" w:fill="FFFFFF"/>
          <w:lang w:eastAsia="zh-CN"/>
        </w:rPr>
        <w:t>经费预算。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color w:val="FF0000"/>
          <w:sz w:val="32"/>
          <w:szCs w:val="32"/>
          <w:shd w:val="clear" w:color="auto" w:fill="FFFFFF"/>
        </w:rPr>
      </w:pPr>
      <w:r>
        <w:rPr>
          <w:rFonts w:hint="default" w:eastAsia="方正仿宋_GBK" w:cs="方正仿宋_GBK"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lang w:val="en-US" w:eastAsia="zh-CN"/>
        </w:rPr>
        <w:t>4</w:t>
      </w:r>
      <w:r>
        <w:rPr>
          <w:rFonts w:hint="default" w:eastAsia="方正仿宋_GBK" w:cs="方正仿宋_GBK"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rPr>
        <w:t>住房保障支出1.59</w:t>
      </w:r>
      <w:r>
        <w:rPr>
          <w:rFonts w:hint="default" w:eastAsia="方正仿宋_GBK" w:cs="方正仿宋_GBK" w:asciiTheme="minorAscii" w:hAnsiTheme="minorAscii"/>
          <w:b w:val="0"/>
          <w:bCs w:val="0"/>
          <w:sz w:val="32"/>
          <w:szCs w:val="32"/>
          <w:shd w:val="clear" w:color="auto" w:fill="FFFFFF"/>
        </w:rPr>
        <w:t>万元，占</w:t>
      </w:r>
      <w:r>
        <w:rPr>
          <w:rFonts w:hint="default" w:eastAsia="方正仿宋_GBK" w:cs="方正仿宋_GBK" w:asciiTheme="minorAscii" w:hAnsiTheme="minorAscii"/>
          <w:b w:val="0"/>
          <w:bCs w:val="0"/>
          <w:sz w:val="32"/>
          <w:szCs w:val="32"/>
        </w:rPr>
        <w:t>4.15</w:t>
      </w:r>
      <w:r>
        <w:rPr>
          <w:rFonts w:hint="default" w:eastAsia="方正仿宋_GBK" w:cs="方正仿宋_GBK" w:asciiTheme="minorAscii" w:hAnsiTheme="minorAscii"/>
          <w:b w:val="0"/>
          <w:bCs w:val="0"/>
          <w:sz w:val="32"/>
          <w:szCs w:val="32"/>
          <w:shd w:val="clear" w:color="auto" w:fill="FFFFFF"/>
        </w:rPr>
        <w:t>%，较年初预算数增加0.13万元，增长8.90%，主要原因是</w:t>
      </w:r>
      <w:r>
        <w:rPr>
          <w:rFonts w:hint="default" w:eastAsia="方正仿宋_GBK" w:cs="方正仿宋_GBK" w:asciiTheme="minorAscii" w:hAnsiTheme="minorAscii"/>
          <w:b w:val="0"/>
          <w:bCs w:val="0"/>
          <w:color w:val="auto"/>
          <w:sz w:val="32"/>
          <w:szCs w:val="32"/>
          <w:highlight w:val="none"/>
          <w:shd w:val="clear" w:color="auto" w:fill="FFFFFF"/>
          <w:lang w:eastAsia="zh-CN"/>
        </w:rPr>
        <w:t>年中追加</w:t>
      </w:r>
      <w:r>
        <w:rPr>
          <w:rFonts w:hint="default" w:eastAsia="方正仿宋_GBK" w:cs="方正仿宋_GBK" w:asciiTheme="minorAscii" w:hAnsiTheme="minorAscii"/>
          <w:b w:val="0"/>
          <w:bCs w:val="0"/>
          <w:sz w:val="32"/>
          <w:szCs w:val="32"/>
          <w:highlight w:val="none"/>
        </w:rPr>
        <w:t>住房保障</w:t>
      </w:r>
      <w:r>
        <w:rPr>
          <w:rFonts w:hint="default" w:eastAsia="方正仿宋_GBK" w:cs="方正仿宋_GBK" w:asciiTheme="minorAscii" w:hAnsiTheme="minorAscii"/>
          <w:b w:val="0"/>
          <w:bCs w:val="0"/>
          <w:color w:val="auto"/>
          <w:sz w:val="32"/>
          <w:szCs w:val="32"/>
          <w:highlight w:val="none"/>
          <w:shd w:val="clear" w:color="auto" w:fill="FFFFFF"/>
          <w:lang w:eastAsia="zh-CN"/>
        </w:rPr>
        <w:t>经费预算。</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（四）一般公共预算财政拨款基本支出决算情况说明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eastAsia="方正仿宋_GBK" w:cs="方正仿宋_GBK" w:asciiTheme="minorAscii" w:hAnsiTheme="minorAscii"/>
          <w:b w:val="0"/>
          <w:bCs w:val="0"/>
          <w:sz w:val="32"/>
          <w:szCs w:val="32"/>
        </w:rPr>
      </w:pPr>
      <w:r>
        <w:rPr>
          <w:rFonts w:hint="default" w:eastAsia="方正仿宋_GBK" w:cs="方正仿宋_GBK" w:asciiTheme="minorAscii" w:hAnsiTheme="minorAscii"/>
          <w:b w:val="0"/>
          <w:bCs w:val="0"/>
          <w:sz w:val="32"/>
          <w:szCs w:val="32"/>
          <w:shd w:val="clear" w:color="auto" w:fill="FFFFFF"/>
        </w:rPr>
        <w:t>2023年度一般公共财政拨款基本支出</w:t>
      </w:r>
      <w:r>
        <w:rPr>
          <w:rFonts w:hint="default" w:eastAsia="方正仿宋_GBK" w:cs="方正仿宋_GBK" w:asciiTheme="minorAscii" w:hAnsiTheme="minorAscii"/>
          <w:b w:val="0"/>
          <w:bCs w:val="0"/>
          <w:sz w:val="32"/>
          <w:szCs w:val="32"/>
        </w:rPr>
        <w:t>38.40</w:t>
      </w:r>
      <w:r>
        <w:rPr>
          <w:rFonts w:hint="default" w:eastAsia="方正仿宋_GBK" w:cs="方正仿宋_GBK" w:asciiTheme="minorAscii" w:hAnsiTheme="minorAscii"/>
          <w:b w:val="0"/>
          <w:bCs w:val="0"/>
          <w:sz w:val="32"/>
          <w:szCs w:val="32"/>
          <w:shd w:val="clear" w:color="auto" w:fill="FFFFFF"/>
        </w:rPr>
        <w:t>万元。其中：人员经费</w:t>
      </w:r>
      <w:r>
        <w:rPr>
          <w:rFonts w:hint="default" w:eastAsia="方正仿宋_GBK" w:cs="方正仿宋_GBK" w:asciiTheme="minorAscii" w:hAnsiTheme="minorAscii"/>
          <w:b w:val="0"/>
          <w:bCs w:val="0"/>
          <w:sz w:val="32"/>
          <w:szCs w:val="32"/>
        </w:rPr>
        <w:t>30.66</w:t>
      </w:r>
      <w:r>
        <w:rPr>
          <w:rFonts w:hint="default" w:eastAsia="方正仿宋_GBK" w:cs="方正仿宋_GBK" w:asciiTheme="minorAscii" w:hAnsiTheme="minorAscii"/>
          <w:b w:val="0"/>
          <w:bCs w:val="0"/>
          <w:sz w:val="32"/>
          <w:szCs w:val="32"/>
          <w:shd w:val="clear" w:color="auto" w:fill="FFFFFF"/>
        </w:rPr>
        <w:t>万元，较上年决算数减少2.43万元，下降7.34%，主要原因是</w:t>
      </w:r>
      <w:r>
        <w:rPr>
          <w:rFonts w:hint="default" w:eastAsia="方正仿宋_GBK" w:cs="方正仿宋_GBK" w:asciiTheme="minorAscii" w:hAnsiTheme="minorAscii"/>
          <w:b w:val="0"/>
          <w:bCs w:val="0"/>
          <w:sz w:val="32"/>
          <w:szCs w:val="32"/>
          <w:highlight w:val="none"/>
          <w:shd w:val="clear" w:color="auto" w:fill="FFFFFF"/>
          <w:lang w:eastAsia="zh-CN"/>
        </w:rPr>
        <w:t>人员社保基数调整，人员经费减少。</w:t>
      </w:r>
      <w:r>
        <w:rPr>
          <w:rFonts w:hint="default" w:eastAsia="方正仿宋_GBK" w:cs="方正仿宋_GBK" w:asciiTheme="minorAscii" w:hAnsiTheme="minorAscii"/>
          <w:b w:val="0"/>
          <w:bCs w:val="0"/>
          <w:sz w:val="32"/>
          <w:szCs w:val="32"/>
          <w:shd w:val="clear" w:color="auto" w:fill="FFFFFF"/>
        </w:rPr>
        <w:t>人员经费用途主要包括</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在职人员工资福利及社会保险缴费，离休人员离休费，退休人员补助等。</w:t>
      </w:r>
      <w:r>
        <w:rPr>
          <w:rFonts w:hint="default" w:eastAsia="方正仿宋_GBK" w:cs="方正仿宋_GBK" w:asciiTheme="minorAscii" w:hAnsiTheme="minorAscii"/>
          <w:b w:val="0"/>
          <w:bCs w:val="0"/>
          <w:sz w:val="32"/>
          <w:szCs w:val="32"/>
          <w:shd w:val="clear" w:color="auto" w:fill="FFFFFF"/>
        </w:rPr>
        <w:t>公用经费</w:t>
      </w:r>
      <w:r>
        <w:rPr>
          <w:rFonts w:hint="default" w:eastAsia="方正仿宋_GBK" w:cs="方正仿宋_GBK" w:asciiTheme="minorAscii" w:hAnsiTheme="minorAscii"/>
          <w:b w:val="0"/>
          <w:bCs w:val="0"/>
          <w:sz w:val="32"/>
          <w:szCs w:val="32"/>
        </w:rPr>
        <w:t>7.74</w:t>
      </w:r>
      <w:r>
        <w:rPr>
          <w:rFonts w:hint="default" w:eastAsia="方正仿宋_GBK" w:cs="方正仿宋_GBK" w:asciiTheme="minorAscii" w:hAnsiTheme="minorAscii"/>
          <w:b w:val="0"/>
          <w:bCs w:val="0"/>
          <w:sz w:val="32"/>
          <w:szCs w:val="32"/>
          <w:shd w:val="clear" w:color="auto" w:fill="FFFFFF"/>
        </w:rPr>
        <w:t>万元，较上年决算数增加0.05万元，增长0.65%，主要原因是</w:t>
      </w:r>
      <w:r>
        <w:rPr>
          <w:rFonts w:hint="default" w:eastAsia="方正仿宋_GBK" w:cs="方正仿宋_GBK" w:asciiTheme="minorAscii" w:hAnsiTheme="minorAscii"/>
          <w:b w:val="0"/>
          <w:bCs w:val="0"/>
          <w:color w:val="auto"/>
          <w:sz w:val="32"/>
          <w:szCs w:val="32"/>
          <w:shd w:val="clear" w:color="auto" w:fill="FFFFFF"/>
          <w:lang w:eastAsia="zh-CN"/>
        </w:rPr>
        <w:t>办公支出增加</w:t>
      </w:r>
      <w:r>
        <w:rPr>
          <w:rFonts w:hint="default" w:eastAsia="方正仿宋_GBK" w:cs="方正仿宋_GBK" w:asciiTheme="minorAscii" w:hAnsiTheme="minorAscii"/>
          <w:b w:val="0"/>
          <w:bCs w:val="0"/>
          <w:color w:val="auto"/>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公用经费用途主要包括</w:t>
      </w:r>
      <w:r>
        <w:rPr>
          <w:rFonts w:hint="default" w:eastAsia="方正仿宋_GBK" w:cs="方正仿宋_GBK" w:asciiTheme="minorAscii" w:hAnsiTheme="minorAscii"/>
          <w:b w:val="0"/>
          <w:bCs w:val="0"/>
          <w:i w:val="0"/>
          <w:iCs w:val="0"/>
          <w:caps w:val="0"/>
          <w:color w:val="auto"/>
          <w:spacing w:val="0"/>
          <w:kern w:val="0"/>
          <w:sz w:val="32"/>
          <w:szCs w:val="32"/>
          <w:lang w:val="en-US" w:eastAsia="zh-CN" w:bidi="ar"/>
        </w:rPr>
        <w:t>保障单位正常运转的各</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项商品服务支出。</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（五）政府性基金预算收支决算情况说明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eastAsia="方正仿宋_GBK" w:cs="方正仿宋_GBK" w:asciiTheme="minorAscii" w:hAnsiTheme="minorAscii"/>
          <w:b w:val="0"/>
          <w:bCs w:val="0"/>
          <w:sz w:val="32"/>
          <w:szCs w:val="32"/>
          <w:shd w:val="clear" w:color="auto" w:fill="FFFFFF"/>
        </w:rPr>
      </w:pPr>
      <w:r>
        <w:rPr>
          <w:rFonts w:hint="default" w:eastAsia="方正仿宋_GBK" w:cs="方正仿宋_GBK" w:asciiTheme="minorAscii" w:hAnsiTheme="minorAscii"/>
          <w:b w:val="0"/>
          <w:bCs w:val="0"/>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（六）国有资本经营预算财政拨款支出决算情况说明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eastAsia="方正仿宋_GBK" w:cs="方正仿宋_GBK" w:asciiTheme="minorAscii" w:hAnsiTheme="minorAscii"/>
          <w:b w:val="0"/>
          <w:bCs w:val="0"/>
          <w:sz w:val="32"/>
          <w:szCs w:val="32"/>
          <w:shd w:val="clear" w:color="auto" w:fill="FFFFFF"/>
        </w:rPr>
      </w:pPr>
      <w:r>
        <w:rPr>
          <w:rFonts w:hint="default" w:eastAsia="方正仿宋_GBK" w:cs="方正仿宋_GBK" w:asciiTheme="minorAscii" w:hAnsiTheme="minorAscii"/>
          <w:b w:val="0"/>
          <w:bCs w:val="0"/>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三、“三公”经费情况说明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本单位属于下属二级事业单位，与石柱土家族自治县洗新乡人民政府（本级）合署办公，三公经费与本级统筹使用，无单独“三公”经费支出。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rPr>
          <w:rStyle w:val="10"/>
          <w:rFonts w:hint="default" w:eastAsia="方正仿宋_GBK" w:cs="方正仿宋_GBK"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（一）财政拨款会议费和培训费情况说明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方正仿宋_GBK" w:cs="方正仿宋_GBK" w:asciiTheme="minorAscii" w:hAnsiTheme="minorAscii"/>
          <w:b w:val="0"/>
          <w:bCs w:val="0"/>
          <w:sz w:val="32"/>
          <w:szCs w:val="32"/>
        </w:rPr>
      </w:pP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本单位属于下属二级事业单位，与石柱土家族自治县洗新乡人民政府（本级）合署办公，会议费和培训费与本级统筹使用，无单独“会议费”和“培训费”经费支出。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（二）机关运行经费情况说明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按照部门决算列报口径，本单位不在机关运行经费统计范围之内。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（三）国有资产占用情况说明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方正仿宋_GBK" w:cs="方正仿宋_GBK" w:asciiTheme="minorAscii" w:hAnsiTheme="minorAscii"/>
          <w:b w:val="0"/>
          <w:bCs w:val="0"/>
          <w:sz w:val="32"/>
          <w:szCs w:val="32"/>
          <w:shd w:val="clear" w:color="auto" w:fill="FFFFFF"/>
        </w:rPr>
        <w:t> </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按照部门决算列报口径，我单位属于下属二级事业单位，与石柱土家族自治县洗新乡人民政府（本级）合署办公，我单位资产未纳入部门决算报表。</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left="0" w:leftChars="0" w:firstLine="640" w:firstLineChars="200"/>
        <w:jc w:val="both"/>
        <w:rPr>
          <w:rFonts w:hint="default" w:eastAsia="楷体" w:cs="楷体" w:asciiTheme="minorAscii" w:hAnsiTheme="minorAscii"/>
          <w:b w:val="0"/>
          <w:bCs w:val="0"/>
          <w:sz w:val="32"/>
          <w:szCs w:val="32"/>
          <w:shd w:val="clear" w:color="auto" w:fill="FFFFFF"/>
        </w:rPr>
      </w:pPr>
      <w:r>
        <w:rPr>
          <w:rFonts w:hint="default" w:eastAsia="楷体" w:cs="楷体" w:asciiTheme="minorAscii" w:hAnsiTheme="minorAscii"/>
          <w:b w:val="0"/>
          <w:bCs w:val="0"/>
          <w:sz w:val="32"/>
          <w:szCs w:val="32"/>
          <w:shd w:val="clear" w:color="auto" w:fill="FFFFFF"/>
        </w:rPr>
        <w:t>（四）政府采购支出情况说明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宋体" w:cs="Times New Roman" w:asciiTheme="minorAscii" w:hAnsiTheme="minorAscii"/>
          <w:b w:val="0"/>
          <w:bCs w:val="0"/>
          <w:i w:val="0"/>
          <w:iCs w:val="0"/>
          <w:caps w:val="0"/>
          <w:color w:val="000000"/>
          <w:spacing w:val="0"/>
          <w:kern w:val="0"/>
          <w:sz w:val="32"/>
          <w:szCs w:val="32"/>
          <w:lang w:val="en-US" w:eastAsia="zh-CN" w:bidi="ar"/>
        </w:rPr>
        <w:t>202</w:t>
      </w:r>
      <w:r>
        <w:rPr>
          <w:rFonts w:hint="default" w:cs="Times New Roman" w:asciiTheme="minorAscii" w:hAnsiTheme="minorAscii"/>
          <w:b w:val="0"/>
          <w:bCs w:val="0"/>
          <w:i w:val="0"/>
          <w:iCs w:val="0"/>
          <w:caps w:val="0"/>
          <w:color w:val="000000"/>
          <w:spacing w:val="0"/>
          <w:kern w:val="0"/>
          <w:sz w:val="32"/>
          <w:szCs w:val="32"/>
          <w:lang w:val="en-US" w:eastAsia="zh-CN" w:bidi="ar"/>
        </w:rPr>
        <w:t>3</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570" w:lineRule="exact"/>
        <w:ind w:firstLine="640" w:firstLineChars="200"/>
        <w:jc w:val="both"/>
        <w:rPr>
          <w:rStyle w:val="10"/>
          <w:rFonts w:hint="default" w:eastAsia="黑体" w:cs="黑体"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预算绩效管理情况说明</w:t>
      </w:r>
    </w:p>
    <w:p>
      <w:pPr>
        <w:keepNext w:val="0"/>
        <w:keepLines w:val="0"/>
        <w:pageBreakBefore w:val="0"/>
        <w:widowControl/>
        <w:suppressLineNumbers w:val="0"/>
        <w:kinsoku/>
        <w:wordWrap/>
        <w:overflowPunct/>
        <w:topLinePunct w:val="0"/>
        <w:autoSpaceDN/>
        <w:bidi w:val="0"/>
        <w:adjustRightInd/>
        <w:spacing w:beforeAutospacing="0" w:afterAutospacing="0" w:line="570" w:lineRule="exact"/>
        <w:ind w:firstLine="640" w:firstLineChars="200"/>
        <w:jc w:val="both"/>
        <w:rPr>
          <w:rFonts w:hint="default" w:asciiTheme="minorAscii" w:hAnsiTheme="minorAscii"/>
          <w:b w:val="0"/>
          <w:bCs w:val="0"/>
          <w:sz w:val="32"/>
          <w:szCs w:val="32"/>
        </w:rPr>
      </w:pP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本单位</w:t>
      </w:r>
      <w:r>
        <w:rPr>
          <w:rFonts w:hint="default" w:eastAsia="宋体" w:cs="Times New Roman" w:asciiTheme="minorAscii" w:hAnsiTheme="minorAscii"/>
          <w:b w:val="0"/>
          <w:bCs w:val="0"/>
          <w:i w:val="0"/>
          <w:iCs w:val="0"/>
          <w:caps w:val="0"/>
          <w:color w:val="000000"/>
          <w:spacing w:val="0"/>
          <w:kern w:val="0"/>
          <w:sz w:val="32"/>
          <w:szCs w:val="32"/>
          <w:lang w:val="en-US" w:eastAsia="zh-CN" w:bidi="ar"/>
        </w:rPr>
        <w:t>202</w:t>
      </w:r>
      <w:r>
        <w:rPr>
          <w:rFonts w:hint="default" w:cs="Times New Roman" w:asciiTheme="minorAscii" w:hAnsiTheme="minorAscii"/>
          <w:b w:val="0"/>
          <w:bCs w:val="0"/>
          <w:i w:val="0"/>
          <w:iCs w:val="0"/>
          <w:caps w:val="0"/>
          <w:color w:val="000000"/>
          <w:spacing w:val="0"/>
          <w:kern w:val="0"/>
          <w:sz w:val="32"/>
          <w:szCs w:val="32"/>
          <w:lang w:val="en-US" w:eastAsia="zh-CN" w:bidi="ar"/>
        </w:rPr>
        <w:t>3</w:t>
      </w:r>
      <w:r>
        <w:rPr>
          <w:rFonts w:hint="default" w:eastAsia="方正仿宋_GBK" w:cs="方正仿宋_GBK" w:asciiTheme="minorAscii" w:hAnsiTheme="minorAscii"/>
          <w:b w:val="0"/>
          <w:bCs w:val="0"/>
          <w:i w:val="0"/>
          <w:iCs w:val="0"/>
          <w:caps w:val="0"/>
          <w:color w:val="000000"/>
          <w:spacing w:val="0"/>
          <w:kern w:val="0"/>
          <w:sz w:val="32"/>
          <w:szCs w:val="32"/>
          <w:lang w:val="en-US" w:eastAsia="zh-CN" w:bidi="ar"/>
        </w:rPr>
        <w:t>年无项目收入和支出。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70" w:lineRule="exact"/>
        <w:ind w:firstLine="640" w:firstLineChars="200"/>
        <w:jc w:val="both"/>
        <w:rPr>
          <w:rStyle w:val="10"/>
          <w:rFonts w:hint="default" w:eastAsia="方正仿宋_GBK" w:cs="方正仿宋_GBK"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Fonts w:hint="default" w:eastAsia="楷体" w:cs="楷体" w:asciiTheme="minorAscii" w:hAnsiTheme="minorAscii"/>
          <w:b w:val="0"/>
          <w:bCs w:val="0"/>
          <w:sz w:val="32"/>
          <w:szCs w:val="32"/>
          <w:shd w:val="clear" w:color="auto" w:fill="FFFFFF"/>
        </w:rPr>
        <w:t>（一）财政拨款收入：</w:t>
      </w:r>
      <w:r>
        <w:rPr>
          <w:rFonts w:hint="default" w:eastAsia="方正仿宋_GBK" w:cs="方正仿宋_GBK" w:asciiTheme="minorAscii" w:hAnsiTheme="minorAscii"/>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（二）事业收入</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（三）经营收入</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（四）其他收入</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（五）使用非财政拨款结余</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（六）年初结转和结余</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（七）结余分配</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（八）年末结转和结余</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（九）基本支出</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（十）项目支出</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（十一）经营支出</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（十二）“三公”经费</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（十三）机关运行经费</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（十四）工资福利支出（支出经济分类科目类级）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（十五）商品和服务支出（支出经济分类科目类级）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（十六）对个人和家庭的补助（支出经济分类科目类级）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0" w:lineRule="exact"/>
        <w:ind w:firstLine="640" w:firstLineChars="200"/>
        <w:jc w:val="both"/>
        <w:rPr>
          <w:rFonts w:hint="default" w:eastAsia="方正仿宋_GBK" w:cs="方正仿宋_GBK" w:asciiTheme="minorAscii" w:hAnsiTheme="minorAscii"/>
          <w:b w:val="0"/>
          <w:bCs w:val="0"/>
          <w:sz w:val="32"/>
          <w:szCs w:val="32"/>
        </w:rPr>
      </w:pPr>
      <w:r>
        <w:rPr>
          <w:rStyle w:val="10"/>
          <w:rFonts w:hint="default" w:eastAsia="楷体" w:cs="楷体" w:asciiTheme="minorAscii" w:hAnsiTheme="minorAscii"/>
          <w:b w:val="0"/>
          <w:bCs w:val="0"/>
          <w:sz w:val="32"/>
          <w:szCs w:val="32"/>
          <w:shd w:val="clear" w:color="auto" w:fill="FFFFFF"/>
        </w:rPr>
        <w:t>（十七）其他资本性支出（支出经济分类科目类级）</w:t>
      </w:r>
      <w:r>
        <w:rPr>
          <w:rFonts w:hint="default" w:eastAsia="楷体" w:cs="楷体" w:asciiTheme="minorAscii" w:hAnsiTheme="minorAscii"/>
          <w:b w:val="0"/>
          <w:bCs w:val="0"/>
          <w:sz w:val="32"/>
          <w:szCs w:val="32"/>
          <w:shd w:val="clear" w:color="auto" w:fill="FFFFFF"/>
        </w:rPr>
        <w:t>：</w:t>
      </w:r>
      <w:r>
        <w:rPr>
          <w:rFonts w:hint="default" w:eastAsia="方正仿宋_GBK" w:cs="方正仿宋_GBK" w:asciiTheme="minorAscii" w:hAnsiTheme="minorAscii"/>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Style w:val="10"/>
          <w:rFonts w:hint="default" w:eastAsia="方正仿宋_GBK" w:cs="方正仿宋_GBK" w:asciiTheme="minorAscii" w:hAnsiTheme="minorAscii"/>
          <w:b w:val="0"/>
          <w:bCs w:val="0"/>
          <w:sz w:val="32"/>
          <w:szCs w:val="32"/>
          <w:shd w:val="clear" w:color="auto" w:fill="FFFFFF"/>
        </w:rPr>
      </w:pPr>
      <w:r>
        <w:rPr>
          <w:rStyle w:val="10"/>
          <w:rFonts w:hint="default" w:eastAsia="黑体" w:cs="黑体" w:asciiTheme="minorAscii" w:hAnsiTheme="minorAscii"/>
          <w:b w:val="0"/>
          <w:bCs w:val="0"/>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70" w:lineRule="exact"/>
        <w:ind w:firstLine="640" w:firstLineChars="200"/>
        <w:jc w:val="both"/>
        <w:rPr>
          <w:rStyle w:val="10"/>
          <w:rFonts w:hint="default" w:eastAsia="方正仿宋_GBK" w:cs="方正仿宋_GBK" w:asciiTheme="minorAscii" w:hAnsiTheme="minorAscii"/>
          <w:b w:val="0"/>
          <w:bCs w:val="0"/>
          <w:color w:val="auto"/>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eastAsia="方正仿宋_GBK" w:cs="方正仿宋_GBK" w:asciiTheme="minorAscii" w:hAnsiTheme="minorAscii"/>
          <w:b w:val="0"/>
          <w:bCs w:val="0"/>
          <w:sz w:val="32"/>
          <w:szCs w:val="32"/>
          <w:shd w:val="clear" w:color="auto" w:fill="FFFFFF"/>
        </w:rPr>
        <w:t>本单位决算公开信息反馈和联系方式：</w:t>
      </w:r>
      <w:r>
        <w:rPr>
          <w:rFonts w:hint="default" w:eastAsia="方正仿宋_GBK" w:cs="方正仿宋_GBK" w:asciiTheme="minorAscii" w:hAnsiTheme="minorAscii"/>
          <w:b w:val="0"/>
          <w:bCs w:val="0"/>
          <w:color w:val="auto"/>
          <w:sz w:val="32"/>
          <w:szCs w:val="32"/>
          <w:shd w:val="clear" w:color="auto" w:fill="FFFFFF"/>
          <w:lang w:val="en-US" w:eastAsia="zh-CN"/>
        </w:rPr>
        <w:t>023-73304777</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重庆市石柱土家族自治县洗新乡综合行政执法大队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38.40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重庆市石柱土家族自治县洗新乡综合行政执法大队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38.40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38.40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重庆市石柱土家族自治县洗新乡综合行政执法大队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38.40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38.40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重庆市石柱土家族自治县洗新乡综合行政执法大队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重庆市石柱土家族自治县洗新乡综合行政执法大队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重庆市石柱土家族自治县洗新乡综合行政执法大队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30.66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重庆市石柱土家族自治县洗新乡综合行政执法大队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重庆市石柱土家族自治县洗新乡综合行政执法大队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重庆市石柱土家族自治县洗新乡综合行政执法大队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F891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9DA7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lenovo</cp:lastModifiedBy>
  <dcterms:modified xsi:type="dcterms:W3CDTF">2024-10-10T15:58:00Z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BB46EABDBB2749749395447164B066B3_12</vt:lpwstr>
  </property>
</Properties>
</file>