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70" w:lineRule="exact"/>
        <w:ind w:firstLine="720" w:firstLineChars="200"/>
        <w:jc w:val="center"/>
        <w:textAlignment w:val="auto"/>
        <w:rPr>
          <w:rFonts w:hint="default" w:eastAsia="方正小标宋_GBK" w:cs="方正小标宋_GBK" w:asciiTheme="minorAscii" w:hAnsiTheme="minorAscii"/>
          <w:b w:val="0"/>
          <w:bCs w:val="0"/>
          <w:sz w:val="36"/>
          <w:szCs w:val="36"/>
        </w:rPr>
      </w:pPr>
      <w:r>
        <w:rPr>
          <w:rFonts w:hint="default" w:eastAsia="方正小标宋_GBK" w:cs="方正小标宋_GBK" w:asciiTheme="minorAscii" w:hAnsiTheme="minorAscii"/>
          <w:b w:val="0"/>
          <w:bCs w:val="0"/>
          <w:sz w:val="36"/>
          <w:szCs w:val="36"/>
        </w:rPr>
        <w:t>重庆市石柱土家族自治县洗新乡人民政府（本级）</w:t>
      </w:r>
    </w:p>
    <w:p>
      <w:pPr>
        <w:pStyle w:val="6"/>
        <w:keepNext w:val="0"/>
        <w:keepLines w:val="0"/>
        <w:pageBreakBefore w:val="0"/>
        <w:widowControl/>
        <w:kinsoku/>
        <w:wordWrap/>
        <w:overflowPunct/>
        <w:topLinePunct w:val="0"/>
        <w:autoSpaceDN/>
        <w:bidi w:val="0"/>
        <w:adjustRightInd/>
        <w:spacing w:before="0" w:beforeAutospacing="0" w:after="0" w:afterAutospacing="0" w:line="570" w:lineRule="exact"/>
        <w:ind w:firstLine="720" w:firstLineChars="200"/>
        <w:jc w:val="center"/>
        <w:textAlignment w:val="auto"/>
        <w:rPr>
          <w:rFonts w:hint="default" w:eastAsia="方正小标宋_GBK" w:cs="方正小标宋_GBK" w:asciiTheme="minorAscii" w:hAnsiTheme="minorAscii"/>
          <w:b w:val="0"/>
          <w:bCs w:val="0"/>
          <w:sz w:val="36"/>
          <w:szCs w:val="36"/>
          <w:shd w:val="clear" w:color="auto" w:fill="FFFFFF"/>
        </w:rPr>
      </w:pPr>
      <w:r>
        <w:rPr>
          <w:rFonts w:hint="default" w:eastAsia="FZFangSong-Z02" w:cs="Times New Roman" w:asciiTheme="minorAscii" w:hAnsiTheme="minorAscii"/>
          <w:b w:val="0"/>
          <w:bCs w:val="0"/>
          <w:kern w:val="0"/>
          <w:sz w:val="36"/>
          <w:szCs w:val="36"/>
        </w:rPr>
        <w:t>2</w:t>
      </w:r>
      <w:bookmarkStart w:id="0" w:name="_GoBack"/>
      <w:bookmarkEnd w:id="0"/>
      <w:r>
        <w:rPr>
          <w:rFonts w:hint="default" w:eastAsia="FZFangSong-Z02" w:cs="Times New Roman" w:asciiTheme="minorAscii" w:hAnsiTheme="minorAscii"/>
          <w:b w:val="0"/>
          <w:bCs w:val="0"/>
          <w:kern w:val="0"/>
          <w:sz w:val="36"/>
          <w:szCs w:val="36"/>
        </w:rPr>
        <w:t>023</w:t>
      </w:r>
      <w:r>
        <w:rPr>
          <w:rFonts w:hint="default" w:eastAsia="方正小标宋_GBK" w:cs="方正小标宋_GBK" w:asciiTheme="minorAscii" w:hAnsiTheme="minorAscii"/>
          <w:b w:val="0"/>
          <w:bCs w:val="0"/>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黑体" w:cs="黑体" w:asciiTheme="minorAscii" w:hAnsiTheme="minorAscii"/>
          <w:b w:val="0"/>
          <w:bCs w:val="0"/>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黑体" w:cs="黑体" w:asciiTheme="minorAscii" w:hAnsiTheme="minorAscii"/>
          <w:b w:val="0"/>
          <w:bCs w:val="0"/>
          <w:sz w:val="32"/>
          <w:szCs w:val="32"/>
        </w:rPr>
      </w:pPr>
      <w:r>
        <w:rPr>
          <w:rStyle w:val="10"/>
          <w:rFonts w:hint="default" w:eastAsia="黑体" w:cs="黑体" w:asciiTheme="minorAscii" w:hAnsiTheme="minorAscii"/>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1.执行国家行政机关的决定、命令和国家制定的法令、法规，执行本级人民代表大会的各项决议，并报告执行决议、决定和命令的情况。</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2.制定并落实本行政区域的经济计划和措施，全面提高人民群众的生活水平和生活质量。</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3.承担国有资产、集体资产管理、监督及增值保值责任。</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4.开展社会主义民主和法制的宣传教育，保障公民的权利，打击违法犯罪，维护社会稳定。</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5.制定社会各项事业发展计划，发展教育、卫生、科技、民政、广播电视、文化、体育事业；加强计划生育工作；推进社会保障、社会福利事业和养老保险等工作。</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6.制定和组织实施镇村建设规划，保护和改善生活环境和生态环境。</w:t>
      </w:r>
    </w:p>
    <w:p>
      <w:pPr>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lang w:val="en-US" w:eastAsia="zh-CN" w:bidi="ar-SA"/>
        </w:rPr>
      </w:pPr>
      <w:r>
        <w:rPr>
          <w:rFonts w:hint="default" w:eastAsia="FZFangSong-Z02" w:cs="Times New Roman" w:asciiTheme="minorAscii" w:hAnsiTheme="minorAscii"/>
          <w:b w:val="0"/>
          <w:bCs w:val="0"/>
          <w:kern w:val="0"/>
          <w:sz w:val="32"/>
          <w:szCs w:val="32"/>
          <w:lang w:val="en-US" w:eastAsia="zh-CN" w:bidi="ar-SA"/>
        </w:rPr>
        <w:t>7.承办本级党委、人民代表大会和上级交办的其它事项。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楷体" w:cs="楷体" w:asciiTheme="minorAscii" w:hAnsiTheme="minorAscii"/>
          <w:b w:val="0"/>
          <w:bCs w:val="0"/>
          <w:sz w:val="32"/>
          <w:szCs w:val="32"/>
          <w:shd w:val="clear" w:color="auto" w:fill="FFFFFF"/>
        </w:rPr>
      </w:pPr>
      <w:r>
        <w:rPr>
          <w:rStyle w:val="10"/>
          <w:rFonts w:hint="default" w:eastAsia="楷体" w:cs="楷体" w:asciiTheme="minorAscii" w:hAnsiTheme="minorAscii"/>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从决算单位构成看，洗新乡本级决算由1个机关组成。人员编制15人，实有15人。下设党政办公室（党群工作办公室、人民代表大会办公室）、经济发展办公室（规划建设管理环保办公室、统计办公室、农村经营管理办公室、乡村振兴办公室)、民政和社会事务办公室 （卫生健康办公室）、财政办公室、应急管理办公室（平安建设办公室）、综合行政执法办公室等6个综合办事机构。</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楷体" w:cs="楷体" w:asciiTheme="minorAscii" w:hAnsiTheme="minorAscii"/>
          <w:b w:val="0"/>
          <w:bCs w:val="0"/>
          <w:sz w:val="32"/>
          <w:szCs w:val="32"/>
          <w:shd w:val="clear" w:color="auto" w:fill="FFFFFF"/>
        </w:rPr>
      </w:pPr>
      <w:r>
        <w:rPr>
          <w:rStyle w:val="10"/>
          <w:rFonts w:hint="default" w:eastAsia="楷体" w:cs="楷体" w:asciiTheme="minorAscii" w:hAnsiTheme="minorAscii"/>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1.总体情况。2023年度收入总计957.56万元，支出总计957.56万元。收支较上年决算数减少702.94万元，下降42.33%，主要原因是本年度新建公路、饮水安全巩固提升等基础设施建设项目减少。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收入情况。2023年度收入合计957.56万元，较上年决算数减少702.94万元，下降42.33%，主要原因是本年度新建公路、饮水安全巩固提升等基础设施建设项目预算减少。其中：财政拨款收入957.56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3.支出情况。2023年度支出合计957.56万元，较上年决算数减少702.94万元，下降42.33%，主要原因是本年度新建公路、饮水安全巩固提升等基础设施建设项目支出减少。其中：基本支出419.15万元，占43.77%；项目支出538.41万元，占56.23%；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Style w:val="10"/>
          <w:rFonts w:hint="default" w:eastAsia="方正仿宋_GBK" w:cs="方正仿宋_GBK" w:asciiTheme="minorAscii" w:hAnsiTheme="minorAscii"/>
          <w:b w:val="0"/>
          <w:bCs w:val="0"/>
          <w:sz w:val="32"/>
          <w:szCs w:val="32"/>
          <w:shd w:val="clear" w:color="auto" w:fill="FFFFFF"/>
        </w:rPr>
        <w:t>4.结转结余情况。</w:t>
      </w:r>
      <w:r>
        <w:rPr>
          <w:rFonts w:hint="default" w:eastAsia="FZFangSong-Z02" w:cs="Times New Roman" w:asciiTheme="minorAscii" w:hAnsiTheme="minorAscii"/>
          <w:b w:val="0"/>
          <w:bCs w:val="0"/>
          <w:kern w:val="0"/>
          <w:sz w:val="32"/>
          <w:szCs w:val="32"/>
        </w:rPr>
        <w:t>2023年度年末结转和结余0.00万元，较上年决算数无增减，主要原因是2022年、2023年均无财政结转结余情况。</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2023年度财政拨款收、支总计957.56万元。与2022年相比，财政拨款收、支总计各减少702.94万元，下降42.33%。主要原因是本年度新建公路、饮水安全巩固提升等基础设施建设项目减少。</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Style w:val="10"/>
          <w:rFonts w:hint="default" w:eastAsia="方正仿宋_GBK" w:cs="方正仿宋_GBK" w:asciiTheme="minorAscii" w:hAnsiTheme="minorAscii"/>
          <w:b w:val="0"/>
          <w:bCs w:val="0"/>
          <w:sz w:val="32"/>
          <w:szCs w:val="32"/>
          <w:shd w:val="clear" w:color="auto" w:fill="FFFFFF"/>
        </w:rPr>
        <w:t>1.收入情况。</w:t>
      </w:r>
      <w:r>
        <w:rPr>
          <w:rFonts w:hint="default" w:eastAsia="FZFangSong-Z02" w:cs="Times New Roman" w:asciiTheme="minorAscii" w:hAnsiTheme="minorAscii"/>
          <w:b w:val="0"/>
          <w:bCs w:val="0"/>
          <w:kern w:val="0"/>
          <w:sz w:val="32"/>
          <w:szCs w:val="32"/>
        </w:rPr>
        <w:t>2023年度一般公共预算财政拨款收入906.24万元，较上年决算数减少728.46万元，下降44.56%。主要原因是本年度新建公路、饮水安全巩固提升等基础设施建设项目预算减少。较年初预算数增加394.47万元，增长77.08%。主要原因是年中追加安排灾害防治与应急管理、城乡社区建设、农林水等专项经费支出预算394.47万元。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Style w:val="10"/>
          <w:rFonts w:hint="default" w:eastAsia="方正仿宋_GBK" w:cs="方正仿宋_GBK" w:asciiTheme="minorAscii" w:hAnsiTheme="minorAscii"/>
          <w:b w:val="0"/>
          <w:bCs w:val="0"/>
          <w:sz w:val="32"/>
          <w:szCs w:val="32"/>
          <w:shd w:val="clear" w:color="auto" w:fill="FFFFFF"/>
        </w:rPr>
        <w:t>2.支出情况。</w:t>
      </w:r>
      <w:r>
        <w:rPr>
          <w:rFonts w:hint="default" w:eastAsia="FZFangSong-Z02" w:cs="Times New Roman" w:asciiTheme="minorAscii" w:hAnsiTheme="minorAscii"/>
          <w:b w:val="0"/>
          <w:bCs w:val="0"/>
          <w:kern w:val="0"/>
          <w:sz w:val="32"/>
          <w:szCs w:val="32"/>
        </w:rPr>
        <w:t>2023年度一般公共预算财政拨款支出906.24万元，较上年决算数减少728.46万元，下降44.56%。主要原因是本年度新建公路、饮水安全巩固提升等基础设施建设项目支出减少。较年初预算数增加394.47万元，增长77.08%。主要原因是年中追加安排灾害防治与应急管理、城乡社区建设、农林水等专项经费支出预算394.47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Style w:val="10"/>
          <w:rFonts w:hint="default" w:eastAsia="方正仿宋_GBK" w:cs="方正仿宋_GBK" w:asciiTheme="minorAscii" w:hAnsiTheme="minorAscii"/>
          <w:b w:val="0"/>
          <w:bCs w:val="0"/>
          <w:sz w:val="32"/>
          <w:szCs w:val="32"/>
          <w:shd w:val="clear" w:color="auto" w:fill="FFFFFF"/>
        </w:rPr>
        <w:t>3.结转结余情况。</w:t>
      </w:r>
      <w:r>
        <w:rPr>
          <w:rFonts w:hint="default" w:eastAsia="FZFangSong-Z02" w:cs="Times New Roman" w:asciiTheme="minorAscii" w:hAnsiTheme="minorAscii"/>
          <w:b w:val="0"/>
          <w:bCs w:val="0"/>
          <w:kern w:val="0"/>
          <w:sz w:val="32"/>
          <w:szCs w:val="32"/>
        </w:rPr>
        <w:t>2023年度年末一般公共预算财政拨款结转和结余0.00万元，较上年决算数无增减，主要原因是2022年、2023年一般公共预算财政拨款结转和结余均为0万元。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Style w:val="10"/>
          <w:rFonts w:hint="default" w:eastAsia="方正仿宋_GBK" w:cs="方正仿宋_GBK" w:asciiTheme="minorAscii" w:hAnsiTheme="minorAscii"/>
          <w:b w:val="0"/>
          <w:bCs w:val="0"/>
          <w:sz w:val="32"/>
          <w:szCs w:val="32"/>
          <w:shd w:val="clear" w:color="auto" w:fill="FFFFFF"/>
        </w:rPr>
        <w:t>4.比较情况。</w:t>
      </w:r>
      <w:r>
        <w:rPr>
          <w:rFonts w:hint="default" w:eastAsia="方正仿宋_GBK" w:cs="方正仿宋_GBK" w:asciiTheme="minorAscii" w:hAnsiTheme="minorAscii"/>
          <w:b w:val="0"/>
          <w:bCs w:val="0"/>
          <w:sz w:val="32"/>
          <w:szCs w:val="32"/>
          <w:shd w:val="clear" w:color="auto" w:fill="FFFFFF"/>
        </w:rPr>
        <w:t>本单位</w:t>
      </w:r>
      <w:r>
        <w:rPr>
          <w:rFonts w:hint="default" w:eastAsia="FZFangSong-Z02" w:cs="Times New Roman" w:asciiTheme="minorAscii" w:hAnsiTheme="minorAscii"/>
          <w:b w:val="0"/>
          <w:bCs w:val="0"/>
          <w:kern w:val="0"/>
          <w:sz w:val="32"/>
          <w:szCs w:val="32"/>
        </w:rPr>
        <w:t>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方正仿宋_GBK" w:cs="方正仿宋_GBK" w:asciiTheme="minorAscii" w:hAnsiTheme="minorAscii"/>
          <w:b w:val="0"/>
          <w:bCs w:val="0"/>
          <w:sz w:val="32"/>
          <w:szCs w:val="32"/>
          <w:shd w:val="clear" w:color="auto" w:fill="FFFFFF"/>
        </w:rPr>
        <w:t>（1）一般公共服务支</w:t>
      </w:r>
      <w:r>
        <w:rPr>
          <w:rFonts w:hint="default" w:eastAsia="FZFangSong-Z02" w:cs="Times New Roman" w:asciiTheme="minorAscii" w:hAnsiTheme="minorAscii"/>
          <w:b w:val="0"/>
          <w:bCs w:val="0"/>
          <w:kern w:val="0"/>
          <w:sz w:val="32"/>
          <w:szCs w:val="32"/>
        </w:rPr>
        <w:t>出364.37万元，占40.21%，较年初预算数增加94.92万元，增长35.23%，主要原因是年中追加安排行政管理项目支出预算。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（2）社会保障与就业支出86.36万元，占9.53%，较年初预算数增加27.17万元，增长45.90%，主要原因是年中</w:t>
      </w:r>
      <w:r>
        <w:rPr>
          <w:rFonts w:hint="eastAsia" w:eastAsia="FZFangSong-Z02" w:cs="Times New Roman" w:asciiTheme="minorAscii" w:hAnsiTheme="minorAscii"/>
          <w:b w:val="0"/>
          <w:bCs w:val="0"/>
          <w:kern w:val="0"/>
          <w:sz w:val="32"/>
          <w:szCs w:val="32"/>
          <w:lang w:eastAsia="zh-CN"/>
        </w:rPr>
        <w:t>追加</w:t>
      </w:r>
      <w:r>
        <w:rPr>
          <w:rFonts w:hint="default" w:eastAsia="FZFangSong-Z02" w:cs="Times New Roman" w:asciiTheme="minorAscii" w:hAnsiTheme="minorAscii"/>
          <w:b w:val="0"/>
          <w:bCs w:val="0"/>
          <w:kern w:val="0"/>
          <w:sz w:val="32"/>
          <w:szCs w:val="32"/>
        </w:rPr>
        <w:t>社会保障服务项目预算。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（3）卫生健康支出23.76万元，占2.62%，较年初预算数增加7.03万元，增长42.02%，主要原因是年中用于突发公共卫生事件应急处理项目预算增加。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（4）节能环保支出3.00万元，占0.33%，较年初预算数增加3.00万元，增长100.00%，主要原因是年中用于农村环境保护项目预算增加。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（5）城乡社区支出14.00万元，占1.54%，较年初预算数增加14.00万元，增长100.00%，主要原因是年中用于城乡社区环境建设项目预算增加。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asciiTheme="minorAscii" w:hAnsiTheme="minorAscii"/>
          <w:b w:val="0"/>
          <w:bCs w:val="0"/>
          <w:sz w:val="32"/>
          <w:szCs w:val="32"/>
        </w:rPr>
      </w:pPr>
      <w:r>
        <w:rPr>
          <w:rFonts w:hint="default" w:eastAsia="FZFangSong-Z02" w:cs="Times New Roman" w:asciiTheme="minorAscii" w:hAnsiTheme="minorAscii"/>
          <w:b w:val="0"/>
          <w:bCs w:val="0"/>
          <w:kern w:val="0"/>
          <w:sz w:val="32"/>
          <w:szCs w:val="32"/>
        </w:rPr>
        <w:t>（6）农林水支出341.77万元，占37.71%，较年初预算数增加201.15万元，增长143.05%，主要原因是年中用于农</w:t>
      </w:r>
      <w:r>
        <w:rPr>
          <w:rFonts w:hint="default" w:eastAsia="FZFangSong-Z02" w:cs="FZFangSong-Z02" w:asciiTheme="minorAscii" w:hAnsiTheme="minorAscii"/>
          <w:b w:val="0"/>
          <w:bCs w:val="0"/>
          <w:sz w:val="32"/>
          <w:szCs w:val="32"/>
        </w:rPr>
        <w:t>业生产发展、森林资源管护、巩固拓展脱贫攻坚成果同乡村振兴有效衔接等项目预算增加。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（7）交通运输支出7.96万元，占0.88%，较年初预算数增加7.96万元，增长100.00%，主要原因是年中用于公路建设项目预算增加。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（8）商业服务业等支出10.00万元，占1.10%，较年初预算数增加10.00万元，增长100.00%，主要原因是年中用于消费帮扶展销项目预算增加。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asciiTheme="minorAscii" w:hAnsiTheme="minorAscii"/>
          <w:b w:val="0"/>
          <w:bCs w:val="0"/>
          <w:sz w:val="32"/>
          <w:szCs w:val="32"/>
        </w:rPr>
      </w:pPr>
      <w:r>
        <w:rPr>
          <w:rFonts w:hint="default" w:eastAsia="FZFangSong-Z02" w:cs="Times New Roman" w:asciiTheme="minorAscii" w:hAnsiTheme="minorAscii"/>
          <w:b w:val="0"/>
          <w:bCs w:val="0"/>
          <w:kern w:val="0"/>
          <w:sz w:val="32"/>
          <w:szCs w:val="32"/>
        </w:rPr>
        <w:t>（9）住房保障支出25.79万元，占2.85%，较年初预算数无增减，主要原因是年中用于保障性安居工程支出预算增</w:t>
      </w:r>
      <w:r>
        <w:rPr>
          <w:rFonts w:hint="default" w:eastAsia="FZFangSong-Z02" w:cs="FZFangSong-Z02" w:asciiTheme="minorAscii" w:hAnsiTheme="minorAscii"/>
          <w:b w:val="0"/>
          <w:bCs w:val="0"/>
          <w:sz w:val="32"/>
          <w:szCs w:val="32"/>
        </w:rPr>
        <w:t>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 xml:space="preserve">（10）灾害防治及应急管理支出29.22万元，占3.22%，较年初预算数增加29.22万元，增长100.00%，主要原因是年中用于自然灾害防治项目预算增加。 </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 2023年度一般公共财政拨款基本支出419.15万元。其中：人员经费358.27万元，较上年决算数增加4.48万元，增长1.27%，主要原因是人员工资调标，人员经费增加。人员经费用途主要包括人员经费用途主要包括基本工资、绩效工资、津补贴、社会保障性缴费以及对个人和家庭的补助等方面。公用经费60.88万元，较上年决算数增加1.99万元，增长3.38%，主要原因是人员变动，单位运行管理经费增加。公用经费用途主要包括办公费、邮电费、交通费用等。</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政府性基金预算财政拨款年初结转结余0.00万元，年末结转结余0.00万元。本年收入51.32万元，较上年决算数增加25.52万元，增长98.91%，主要原因是年中用于实施社区居家养老服务全覆盖工程项目预算追加。本年支出51.32万元，较上年决算数增加25.52万元，增长98.91%，主要原因是年中用于实施社区居家养老服务全覆盖工程项目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三公”经费支出共计5.82万元，较年初预算数减少1.43万元，下降19.72%，主要原因是加强预算控制，严格落实“过紧日子”要求。较上年支出数减少0.27万元，下降4.43%，主要原因是严格落实“过紧日子”要求，减少不必要的各种支出。</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本单位因公出国（境）费用0.00万元，主要是本单位2023年未发生因公出国（境）费用。费用支出较年初预算数无增减，主要原因是本单位2023年未发生因公出国（境）费用。较上年支出数无增减，主要原因是本单位2022年、2023年均未发生因公出国（境）费用。</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公务车购置费0.00万元，本单位2023年未发生公务车购置费。费用支出较年初预算数无增减。较上年支出数无增减，主要原因是2022年、2023年均未发生公务车购置费。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公务车运行维护费4.78万元，主要用于机要文件交换、县内因公出行、相关业务检查等工作所需车辆的燃料费、维修费、保险费等)。费用支出较年初预算数减少1.22万元，下降20.33%，主要原因是严格落实“过紧日子”要求，减少不必要的各种支出。较上年支出数减少0.01万元，下降0.21%，主要原因是严格落实“过紧日子”要求，减少不必要的各种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公务接待费1.04万元，主要用于接待上级部门和招商引资接待支出。费用支出较年初预算数减少0.21万元，下降16.80%，主要原因是强化公务接待支出管理，严格遵守公务接待开支范围和开支标准，严格控制陪餐人数。较上年支出数减少0.26万元，下降20.00%，主要原因是强化公务接待支出管理，严格遵守公务接待开支范围和开支标准，严格控制陪餐人数。</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本单位因公出国（境）共计0个团组，0人；公务用车购置0辆，公务车保有量为2辆；国内公务接待125批次260人，其中：国内外事接待0批次，0人；国（境）外公务接待0批次，0人。2023年本单位人均接待费40.06元，车均购置费0万元，车均维护费2.39万元。</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其他需要说明的事项</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本年度会议费支出0.83万元，较上年决算数减少2.39万元，下降74.22%，主要原因是本单位2023年度牢固树立“过紧日子”思想，减少开会次数和人数，整合各项会议。本年度培训费支出1.37万元，较上年决算数增加0.38万元，增长38.38%，主要原因是本年度因组织村组干部开展“基层治理一体化”等工作培训次数增加。</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本单位机关运行经费支出60.88万元，机关运行经费主要用于开支办公费、会议费、差旅费、公务用车加油费用等。机关运行经费较上年支出数增加1.99万元，增长3.38%，主要原因是人员变动，单位运行管理经费增加。</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FZFangSong-Z02" w:cs="Times New Roman" w:asciiTheme="minorAscii" w:hAnsiTheme="minorAscii"/>
          <w:b w:val="0"/>
          <w:bCs w:val="0"/>
          <w:kern w:val="0"/>
          <w:sz w:val="32"/>
          <w:szCs w:val="32"/>
        </w:rPr>
        <w:t>2023年度我单位未发生政府采购事项，无相关经费支出。</w:t>
      </w:r>
    </w:p>
    <w:p>
      <w:pPr>
        <w:pStyle w:val="6"/>
        <w:keepNext w:val="0"/>
        <w:keepLines w:val="0"/>
        <w:pageBreakBefore w:val="0"/>
        <w:widowControl/>
        <w:numPr>
          <w:ilvl w:val="0"/>
          <w:numId w:val="2"/>
        </w:numPr>
        <w:shd w:val="clear" w:color="auto" w:fill="FFFFFF"/>
        <w:kinsoku/>
        <w:wordWrap/>
        <w:overflowPunct/>
        <w:topLinePunct w:val="0"/>
        <w:autoSpaceDN/>
        <w:bidi w:val="0"/>
        <w:adjustRightInd/>
        <w:spacing w:beforeAutospacing="0" w:after="0" w:afterAutospacing="0" w:line="570" w:lineRule="exact"/>
        <w:ind w:firstLine="640" w:firstLineChars="200"/>
        <w:jc w:val="both"/>
        <w:textAlignment w:val="auto"/>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highlight w:val="yellow"/>
          <w:shd w:val="clear" w:color="auto" w:fill="FFFFFF"/>
        </w:rPr>
      </w:pPr>
      <w:r>
        <w:rPr>
          <w:rFonts w:hint="default" w:eastAsia="方正仿宋_GBK" w:cs="方正仿宋_GBK" w:asciiTheme="minorAscii" w:hAnsiTheme="minorAscii"/>
          <w:b w:val="0"/>
          <w:bCs w:val="0"/>
          <w:sz w:val="32"/>
          <w:szCs w:val="32"/>
          <w:shd w:val="clear" w:color="auto" w:fill="FFFFFF"/>
        </w:rPr>
        <w:t>根据预算绩效管理要求，我单位对部门整体和50个二级项目开展了绩效自评，涉及财政拨款项目支出资金538.75万元。</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Style w:val="10"/>
          <w:rFonts w:hint="default" w:eastAsia="方正仿宋_GBK" w:cs="方正仿宋_GBK" w:asciiTheme="minorAscii" w:hAnsiTheme="minorAscii"/>
          <w:b w:val="0"/>
          <w:bCs w:val="0"/>
          <w:sz w:val="32"/>
          <w:szCs w:val="32"/>
          <w:shd w:val="clear" w:color="auto" w:fill="FFFFFF"/>
        </w:rPr>
      </w:pPr>
      <w:r>
        <w:rPr>
          <w:rStyle w:val="10"/>
          <w:rFonts w:hint="default" w:eastAsia="方正仿宋_GBK" w:cs="方正仿宋_GBK" w:asciiTheme="minorAscii" w:hAnsiTheme="minorAscii"/>
          <w:b w:val="0"/>
          <w:bCs w:val="0"/>
          <w:sz w:val="32"/>
          <w:szCs w:val="32"/>
          <w:shd w:val="clear" w:color="auto" w:fill="FFFFFF"/>
        </w:rPr>
        <w:t xml:space="preserve">  </w:t>
      </w:r>
      <w:r>
        <w:rPr>
          <w:rStyle w:val="10"/>
          <w:rFonts w:hint="default" w:eastAsia="黑体" w:cs="黑体" w:asciiTheme="minorAscii" w:hAnsiTheme="minorAscii"/>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 </w:t>
      </w:r>
      <w:r>
        <w:rPr>
          <w:rFonts w:hint="default" w:eastAsia="楷体" w:cs="楷体" w:asciiTheme="minorAscii" w:hAnsiTheme="minorAscii"/>
          <w:b w:val="0"/>
          <w:bCs w:val="0"/>
          <w:sz w:val="32"/>
          <w:szCs w:val="32"/>
          <w:shd w:val="clear" w:color="auto" w:fill="FFFFFF"/>
        </w:rPr>
        <w:t>（一）财政拨款收入：</w:t>
      </w:r>
      <w:r>
        <w:rPr>
          <w:rFonts w:hint="default" w:eastAsia="方正仿宋_GBK" w:cs="方正仿宋_GBK" w:asciiTheme="minorAscii" w:hAnsiTheme="minorAscii"/>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（二）事业收入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（三）经营收入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（四）其他收入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（五）使用非财政拨款结余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（六）年初结转和结余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（七）结余分配</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（八）年末结转和结余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（九）基本支出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（十）项目支出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（十一）经营支出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（十二）“三公”经费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（十三）机关运行经费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（十四）工资福利支出（支出经济分类科目类级）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（十五）商品和服务支出（支出经济分类科目类级）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 （十六）对个人和家庭的补助（支出经济分类科目类级）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方正仿宋_GBK" w:cs="方正仿宋_GBK" w:asciiTheme="minorAscii" w:hAnsiTheme="minorAscii"/>
          <w:b w:val="0"/>
          <w:bCs w:val="0"/>
          <w:i w:val="0"/>
          <w:iCs w:val="0"/>
          <w:sz w:val="32"/>
          <w:szCs w:val="32"/>
        </w:rPr>
      </w:pPr>
      <w:r>
        <w:rPr>
          <w:rStyle w:val="10"/>
          <w:rFonts w:hint="default" w:eastAsia="方正仿宋_GBK" w:cs="方正仿宋_GBK" w:asciiTheme="minorAscii" w:hAnsiTheme="minorAscii"/>
          <w:b w:val="0"/>
          <w:bCs w:val="0"/>
          <w:sz w:val="32"/>
          <w:szCs w:val="32"/>
          <w:shd w:val="clear" w:color="auto" w:fill="FFFFFF"/>
        </w:rPr>
        <w:t> </w:t>
      </w:r>
      <w:r>
        <w:rPr>
          <w:rStyle w:val="10"/>
          <w:rFonts w:hint="default" w:eastAsia="楷体" w:cs="楷体" w:asciiTheme="minorAscii" w:hAnsiTheme="minorAscii"/>
          <w:b w:val="0"/>
          <w:bCs w:val="0"/>
          <w:sz w:val="32"/>
          <w:szCs w:val="32"/>
          <w:shd w:val="clear" w:color="auto" w:fill="FFFFFF"/>
        </w:rPr>
        <w:t>（十七）其他资本性支出（支出经济分类科目类级）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反映非各级发展与改革部门集中安排的用于购置固定资产、战略性和应急性储备、土地和无形资产，以及构建基础设施、大</w:t>
      </w:r>
      <w:r>
        <w:rPr>
          <w:rFonts w:hint="default" w:eastAsia="方正仿宋_GBK" w:cs="方正仿宋_GBK" w:asciiTheme="minorAscii" w:hAnsiTheme="minorAscii"/>
          <w:b w:val="0"/>
          <w:bCs w:val="0"/>
          <w:i w:val="0"/>
          <w:iCs w:val="0"/>
          <w:sz w:val="32"/>
          <w:szCs w:val="32"/>
          <w:shd w:val="clear" w:color="auto" w:fill="FFFFFF"/>
        </w:rPr>
        <w:t>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0" w:lineRule="exact"/>
        <w:ind w:firstLine="640" w:firstLineChars="200"/>
        <w:jc w:val="both"/>
        <w:textAlignment w:val="auto"/>
        <w:rPr>
          <w:rStyle w:val="10"/>
          <w:rFonts w:hint="default" w:eastAsia="方正仿宋_GBK" w:cs="方正仿宋_GBK" w:asciiTheme="minorAscii" w:hAnsiTheme="minorAscii"/>
          <w:b w:val="0"/>
          <w:bCs w:val="0"/>
          <w:i w:val="0"/>
          <w:iCs w:val="0"/>
          <w:sz w:val="32"/>
          <w:szCs w:val="32"/>
          <w:shd w:val="clear" w:color="auto" w:fill="FFFFFF"/>
        </w:rPr>
      </w:pPr>
      <w:r>
        <w:rPr>
          <w:rStyle w:val="10"/>
          <w:rFonts w:hint="default" w:eastAsia="黑体" w:cs="黑体" w:asciiTheme="minorAscii" w:hAnsiTheme="minorAscii"/>
          <w:b w:val="0"/>
          <w:bCs w:val="0"/>
          <w:i w:val="0"/>
          <w:iCs w:val="0"/>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eastAsia="FZFangSong-Z02" w:cs="Times New Roman" w:asciiTheme="minorAscii" w:hAnsiTheme="minorAscii"/>
          <w:b w:val="0"/>
          <w:bCs w:val="0"/>
          <w:kern w:val="0"/>
          <w:sz w:val="32"/>
          <w:szCs w:val="32"/>
        </w:rPr>
      </w:pPr>
      <w:r>
        <w:rPr>
          <w:rFonts w:hint="default" w:eastAsia="方正仿宋_GBK" w:cs="方正仿宋_GBK" w:asciiTheme="minorAscii" w:hAnsiTheme="minorAscii"/>
          <w:b w:val="0"/>
          <w:bCs w:val="0"/>
          <w:i w:val="0"/>
          <w:iCs w:val="0"/>
          <w:sz w:val="32"/>
          <w:szCs w:val="32"/>
          <w:shd w:val="clear" w:color="auto" w:fill="FFFFFF"/>
        </w:rPr>
        <w:t>本单位决算公开信息反馈和联系方式：</w:t>
      </w:r>
      <w:r>
        <w:rPr>
          <w:rFonts w:hint="default" w:eastAsia="FZFangSong-Z02" w:cs="Times New Roman" w:asciiTheme="minorAscii" w:hAnsiTheme="minorAscii"/>
          <w:b w:val="0"/>
          <w:bCs w:val="0"/>
          <w:kern w:val="0"/>
          <w:sz w:val="32"/>
          <w:szCs w:val="32"/>
        </w:rPr>
        <w:t>023-73304777</w:t>
      </w:r>
    </w:p>
    <w:p>
      <w:pPr>
        <w:pStyle w:val="11"/>
        <w:keepNext w:val="0"/>
        <w:keepLines w:val="0"/>
        <w:pageBreakBefore w:val="0"/>
        <w:widowControl/>
        <w:kinsoku/>
        <w:wordWrap/>
        <w:overflowPunct/>
        <w:topLinePunct w:val="0"/>
        <w:autoSpaceDE w:val="0"/>
        <w:autoSpaceDN/>
        <w:bidi w:val="0"/>
        <w:adjustRightInd/>
        <w:spacing w:line="570" w:lineRule="exact"/>
        <w:ind w:firstLine="640" w:firstLineChars="200"/>
        <w:jc w:val="both"/>
        <w:textAlignment w:val="auto"/>
        <w:rPr>
          <w:rStyle w:val="10"/>
          <w:rFonts w:hint="default" w:eastAsia="方正仿宋_GBK" w:cs="方正仿宋_GBK" w:asciiTheme="minorAscii" w:hAnsiTheme="minorAscii"/>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r>
              <w:rPr>
                <w:rFonts w:cs="宋体"/>
                <w:b w:val="0"/>
                <w:bCs w:val="0"/>
                <w:sz w:val="20"/>
                <w:szCs w:val="20"/>
              </w:rPr>
              <w:t>公开单位：</w:t>
            </w:r>
            <w:r>
              <w:rPr>
                <w:b w:val="0"/>
                <w:bCs w:val="0"/>
                <w:sz w:val="20"/>
              </w:rPr>
              <w:t>重庆市石柱土家族自治县洗新乡人民政府（本级）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906.24</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364.37</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51.32</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86.36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23.76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15.32</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b w:val="0"/>
                <w:bCs w:val="0"/>
                <w:sz w:val="20"/>
              </w:rPr>
              <w:t>重庆市石柱土家族自治县洗新乡人民政府（本级）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364.37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364.37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357.06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357.06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86.36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86.36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23.76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23.76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 xml:space="preserve">重庆市石柱土家族自治县洗新乡人民政府（本级）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957.56</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419.15</w:t>
            </w:r>
            <w:r>
              <w:rPr>
                <w:b w:val="0"/>
                <w:bCs w:val="0"/>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538.41</w:t>
            </w: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364.37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72.54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357.06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86.36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1.65</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23.76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15.32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b w:val="0"/>
                <w:bCs w:val="0"/>
                <w:color w:val="000000"/>
                <w:sz w:val="20"/>
                <w:szCs w:val="20"/>
              </w:rPr>
            </w:pPr>
            <w:r>
              <w:rPr>
                <w:rFonts w:cs="宋体"/>
                <w:b w:val="0"/>
                <w:bCs w:val="0"/>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906.24</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364.37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364.37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51.32</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86.36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86.36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23.76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23.76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15.32</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14.00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1.32</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341.77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341.77</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7.96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7.96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25.79</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25.79</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29.22</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29.22</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50.00</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50.00</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957.56</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957.56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906.24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51.32</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957.56</w:t>
            </w:r>
            <w:r>
              <w:rPr>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957.56</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906.24</w:t>
            </w:r>
            <w:r>
              <w:rPr>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51.32</w:t>
            </w:r>
            <w:r>
              <w:rPr>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906.24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419.15</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487.09</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364.37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72.54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6.84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6.24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0.60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357.06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291.83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65.23</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0.47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86.36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1.65</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84.70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34.33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38.87</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0.57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23.76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16.83</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12.22</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4.61</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341.77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15.15</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2.16</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7.39</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28.36</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24.76</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3.60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151.70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8.27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134.37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0.20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8.86</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146.57</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7.96</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3.83</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4.14</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25.79</w:t>
            </w: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29.22</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12.72</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w:t>
            </w: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345.52</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60.88</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64.59</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12.35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68.55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2.23</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96.59</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0.21</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34.33</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38.87</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12.85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0.58</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6.81</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25.79</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3.36</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0.86</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12.75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0.83</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1.37</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1.04</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11.50</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8.99</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1.25</w:t>
            </w: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2.55</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4.78</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14.83</w:t>
            </w: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b w:val="0"/>
                <w:bCs w:val="0"/>
                <w:color w:val="000000"/>
                <w:sz w:val="18"/>
                <w:szCs w:val="18"/>
              </w:rPr>
            </w:pPr>
            <w:r>
              <w:rPr>
                <w:rFonts w:cs="宋体"/>
                <w:b w:val="0"/>
                <w:bCs w:val="0"/>
                <w:color w:val="000000"/>
                <w:sz w:val="18"/>
                <w:szCs w:val="18"/>
              </w:rPr>
              <w:t>358.27</w:t>
            </w:r>
            <w:r>
              <w:rPr>
                <w:b w:val="0"/>
                <w:bCs w:val="0"/>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60.88</w:t>
            </w:r>
            <w:r>
              <w:rPr>
                <w:b w:val="0"/>
                <w:bCs w:val="0"/>
                <w:color w:val="000000"/>
                <w:sz w:val="18"/>
              </w:rPr>
              <w:t xml:space="preserve"> </w:t>
            </w:r>
          </w:p>
        </w:tc>
      </w:tr>
    </w:tbl>
    <w:p>
      <w:pPr>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51.32</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1.32</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50.00</w:t>
            </w:r>
            <w:r>
              <w:rPr>
                <w:b w:val="0"/>
                <w:bCs w:val="0"/>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备注：1.本表反映单位本年度政府性基金预算财政拨款收入支出及结转和结余情况。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rPr>
              <w:t xml:space="preserve">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r>
        <w:rPr>
          <w:rFonts w:hint="default" w:cs="宋体"/>
          <w:b w:val="0"/>
          <w:bCs w:val="0"/>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rPr>
              <w:t>重庆市石柱土家族自治县洗新乡人民政府（本级）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60.88</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5.82</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5.82</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60.88</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4.78</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4.78</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4.78</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4.78</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1.04</w:t>
            </w:r>
            <w:r>
              <w:rPr>
                <w:b w:val="0"/>
                <w:bCs w:val="0"/>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1.04</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1.04</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2</w:t>
            </w: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2</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125</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260</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0.83</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1.37</w:t>
            </w:r>
            <w:r>
              <w:rPr>
                <w:b w:val="0"/>
                <w:bCs w:val="0"/>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bl>
    <w:p>
      <w:pPr>
        <w:rPr>
          <w:rFonts w:hint="default" w:cs="宋体"/>
          <w:b w:val="0"/>
          <w:bCs w:val="0"/>
          <w:sz w:val="21"/>
          <w:szCs w:val="21"/>
        </w:rPr>
      </w:pPr>
      <w:r>
        <w:rPr>
          <w:rFonts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FF6F04C"/>
    <w:multiLevelType w:val="singleLevel"/>
    <w:tmpl w:val="1FF6F04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71360"/>
    <w:rsid w:val="002B254B"/>
    <w:rsid w:val="00466C9B"/>
    <w:rsid w:val="00550ABE"/>
    <w:rsid w:val="00770383"/>
    <w:rsid w:val="007819D4"/>
    <w:rsid w:val="007B419D"/>
    <w:rsid w:val="007B7C4B"/>
    <w:rsid w:val="007D3D39"/>
    <w:rsid w:val="00873368"/>
    <w:rsid w:val="00994AF7"/>
    <w:rsid w:val="009B67B8"/>
    <w:rsid w:val="009D2B67"/>
    <w:rsid w:val="00A566F9"/>
    <w:rsid w:val="00AF2751"/>
    <w:rsid w:val="00B03CCD"/>
    <w:rsid w:val="00BE2B89"/>
    <w:rsid w:val="00C10E9E"/>
    <w:rsid w:val="00C20C3E"/>
    <w:rsid w:val="00E67E86"/>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5EAFC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B4053"/>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53165F"/>
    <w:rsid w:val="7F446A19"/>
    <w:rsid w:val="7F7452B9"/>
    <w:rsid w:val="7FBB3AD0"/>
    <w:rsid w:val="D5FF0316"/>
    <w:rsid w:val="F9FF6881"/>
    <w:rsid w:val="FDDFAF41"/>
    <w:rsid w:val="FEDC8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10995</Words>
  <Characters>9230</Characters>
  <Lines>76</Lines>
  <Paragraphs>40</Paragraphs>
  <TotalTime>13</TotalTime>
  <ScaleCrop>false</ScaleCrop>
  <LinksUpToDate>false</LinksUpToDate>
  <CharactersWithSpaces>20185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lenovo</cp:lastModifiedBy>
  <dcterms:modified xsi:type="dcterms:W3CDTF">2024-10-10T16:30:37Z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ies>
</file>