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trike w:val="0"/>
          <w:dstrike w:val="0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1708150</wp:posOffset>
                </wp:positionV>
                <wp:extent cx="5554345" cy="0"/>
                <wp:effectExtent l="0" t="13970" r="825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4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2pt;margin-top:134.5pt;height:0pt;width:437.35pt;z-index:251660288;mso-width-relative:page;mso-height-relative:page;" filled="f" stroked="t" coordsize="21600,21600" o:gfxdata="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c6FeK1gAAAAoBAAAPAAAAAAAAAAEAIAAAADgAAABkcnMvZG93bnJldi54bWxQ&#10;SwECFAAUAAAACACHTuJA3C8ag+MBAACoAwAADgAAAAAAAAABACAAAAA7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  <w:szCs w:val="32"/>
        </w:rPr>
        <w:pict>
          <v:shape id="艺术字 12" o:spid="_x0000_s1027" o:spt="136" type="#_x0000_t136" style="position:absolute;left:0pt;margin-left:0.55pt;margin-top:-74.7pt;height:63.4pt;width:444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石柱土家族自治县洗新乡人民政府电子公文" style="font-family:华文中宋;font-size:28pt;v-text-align:center;"/>
          </v:shape>
        </w:pic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</w:pPr>
    </w:p>
    <w:p>
      <w:pPr>
        <w:spacing w:line="540" w:lineRule="exact"/>
        <w:jc w:val="center"/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</w:pPr>
      <w:r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  <w:t>洗府发〔202</w:t>
      </w:r>
      <w:r>
        <w:rPr>
          <w:rFonts w:hint="eastAsia" w:ascii="Times New Roman" w:hAnsi="Times New Roman"/>
          <w:snapToGrid w:val="0"/>
          <w:color w:val="000000"/>
          <w:spacing w:val="2"/>
          <w:position w:val="2"/>
          <w:sz w:val="33"/>
          <w:szCs w:val="33"/>
          <w:lang w:val="en-US" w:eastAsia="zh-CN"/>
        </w:rPr>
        <w:t>5</w:t>
      </w:r>
      <w:r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  <w:t>〕</w:t>
      </w:r>
      <w:r>
        <w:rPr>
          <w:rFonts w:hint="eastAsia" w:ascii="Times New Roman" w:hAnsi="Times New Roman"/>
          <w:snapToGrid w:val="0"/>
          <w:color w:val="000000"/>
          <w:spacing w:val="2"/>
          <w:position w:val="2"/>
          <w:sz w:val="33"/>
          <w:szCs w:val="33"/>
          <w:lang w:val="en-US" w:eastAsia="zh-CN"/>
        </w:rPr>
        <w:t>6</w:t>
      </w:r>
      <w:r>
        <w:rPr>
          <w:rFonts w:ascii="Times New Roman" w:hAnsi="Times New Roman" w:eastAsia="方正仿宋_GBK"/>
          <w:snapToGrid w:val="0"/>
          <w:color w:val="000000"/>
          <w:spacing w:val="2"/>
          <w:position w:val="2"/>
          <w:sz w:val="33"/>
          <w:szCs w:val="33"/>
        </w:rPr>
        <w:t>号</w:t>
      </w:r>
    </w:p>
    <w:p>
      <w:pPr>
        <w:spacing w:line="560" w:lineRule="exact"/>
        <w:jc w:val="both"/>
        <w:rPr>
          <w:rFonts w:hint="eastAsia" w:hAnsi="Times New Roman" w:eastAsia="方正小标宋_GBK"/>
          <w:spacing w:val="-20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洗新乡人民政府</w:t>
      </w:r>
    </w:p>
    <w:p>
      <w:pPr>
        <w:spacing w:line="540" w:lineRule="exact"/>
        <w:jc w:val="center"/>
        <w:rPr>
          <w:rFonts w:hint="default" w:ascii="方正小标宋_GBK" w:hAnsi="宋体" w:eastAsia="方正小标宋_GBK" w:cs="Times New Roman"/>
          <w:sz w:val="44"/>
          <w:szCs w:val="44"/>
          <w:lang w:val="en-US" w:eastAsia="zh-CN"/>
        </w:rPr>
      </w:pPr>
      <w:r>
        <w:rPr>
          <w:rFonts w:hint="default" w:ascii="方正小标宋_GBK" w:hAnsi="宋体" w:eastAsia="方正小标宋_GBK" w:cs="Times New Roman"/>
          <w:sz w:val="44"/>
          <w:szCs w:val="44"/>
          <w:lang w:val="en-US" w:eastAsia="zh-CN"/>
        </w:rPr>
        <w:t>关于做好202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方正小标宋_GBK" w:hAnsi="宋体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夏季</w:t>
      </w:r>
      <w:r>
        <w:rPr>
          <w:rFonts w:hint="default" w:ascii="方正小标宋_GBK" w:hAnsi="宋体" w:eastAsia="方正小标宋_GBK" w:cs="Times New Roman"/>
          <w:sz w:val="44"/>
          <w:szCs w:val="44"/>
          <w:lang w:val="en-US" w:eastAsia="zh-CN"/>
        </w:rPr>
        <w:t>森林防火工作的通知</w:t>
      </w:r>
    </w:p>
    <w:p>
      <w:pPr>
        <w:spacing w:line="540" w:lineRule="exact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各村委、乡属各部门：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夏季是森林防灭火工作的紧要期，森林防火压力较大。为贯彻落实习近平总书记关于森林防灭火工作重要批示指示精神，结合我乡实际情况，现就做好夏季森林防火工作通知如下：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一、强化火灾预防，提高森林火灾综合防控能力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（一）加强火源管理，有效防范森林火灾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Style w:val="8"/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.</w:t>
      </w:r>
      <w:r>
        <w:rPr>
          <w:rStyle w:val="8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积极开展林下可燃物清理。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以林区边缘、林区道路两侧和墓地周边等区域为重点，采取人工割除、喷洒灭草剂等方法，及时清理枯枝落叶、杂草等可燃物，全面消除火灾隐患。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Style w:val="8"/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.</w:t>
      </w:r>
      <w:r>
        <w:rPr>
          <w:rStyle w:val="8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合理配置森林防火检查站，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加强工作人员管理，强化对进入山区、林区的车辆和人员的防火检查，严禁火种进山入林，严禁无关人员进入林区。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Style w:val="8"/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.</w:t>
      </w:r>
      <w:r>
        <w:rPr>
          <w:rStyle w:val="8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开展违规野外用火专项整治行动。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抽调精干人员，组成巡查队伍，深入林区检查督导，确保各项防范措施落到实处。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月份，重点整治祭祀用火，燃放烟花爆竹。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月份，重点整治烧地边地堰、烧秸秆等违规农事用火；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月份，重点整治祭祀用火、游人野外吸烟、野炊等违规用火；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月份，重点整治游人野外吸烟、野炊等违规野外用火。加强高危人群的看护和监管，对林区智障人员和儿童，落实监护责任，严防特殊人群引发森林火灾，筑牢野外火源管理防线。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（二）强化宣传教育，营造浓厚舆论氛围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Style w:val="8"/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.</w:t>
      </w:r>
      <w:r>
        <w:rPr>
          <w:rStyle w:val="8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充分利用好多种宣传媒介。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通过开设防火专栏、专题等，建立森林防火宣传长效机制。在重要时段发布防火提示，消除森林火灾隐患。在林区、重点防火区域，通过悬挂条幅、粉刷宣传标语、发放防火告知书、广播喇叭宣传等方式，增加宣传密度，做到家喻户晓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Style w:val="8"/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.</w:t>
      </w:r>
      <w:r>
        <w:rPr>
          <w:rStyle w:val="8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开展形式多样的宣传教育活动。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突出抓好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年“森林防火宣传周”活动，活动期间要出动宣传车，散发宣传资料，悬挂防火横幅，在森林防火责任村张贴森林防火告知书到户，形成宣传森林防火的高潮。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Style w:val="8"/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.</w:t>
      </w:r>
      <w:r>
        <w:rPr>
          <w:rStyle w:val="8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突出重点人群。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加强我乡小学生的森林防火宣传教育。开展森林防火进校园和“小手拉大手”等宣传教育活动，通过教育一个学生、起到宣传一个家庭、带动整个社会的作用。加强对林地承包经营户、林区周边居住、活动人群的宣传教育，规范用火安全行为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Style w:val="8"/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.</w:t>
      </w:r>
      <w:r>
        <w:rPr>
          <w:rStyle w:val="8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建立健全森林防火志愿者队伍。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加强与学校、卫生院合作，建立森林防火志愿者队伍，逐一进行登记造册，人数不少于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人，充分发挥其防火宣传、预防火灾等方面的作用。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二、加强应急处置，提高森林火灾扑救能力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（一）完善森林火灾应急预案。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进一步修订完善森林火灾应急预案，开展应急预案演练，提高应急处置能力，一旦发生森林火灾，能够按照分级处置的原则，做到启动应急预案及时、扑火组织指挥有力、技术指导科学、杜绝人员伤亡、尽量减少损失。各责任辖区要根据森林火灾应急预案制定森林火灾应急处置办法，并报乡农服中心备案。逐级抓好森林防火重点岗位人员的业务培训和扑火实战演练，培训不少于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（二）加强应急物资储备。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乡要建立与扑火任务相适应的物资储备，要对往年配备的扑火机具重新进行补充、检修，确保防火物资装备数量充足、运转良好、使用可靠。乡配防火巡逻车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辆，装备达到背负式风力灭火机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部、防火服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套、照明工具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套、三号工具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100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把。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三、加强队伍建设，不断提高森林火灾预防和扑救能力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（一）加强护林员队伍建设。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按照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年度护林员选聘工作的要求，选聘、管理、使用好护林员。充分发挥护林员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GPS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定位管理系统作用，加强对护林员的监督管理，调动护林员工作积极性，提高森林资源的管护水平和森林火灾预警能力。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（二）加强巡查队伍建设。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在防火期内，乡成立野外火源巡查队伍，加强巡查力度，及时发现并严肃查处违法用火行为，特别在防火重点区域和关键时段要保持高度戒备，严查护林员责任落实情况、了望人员值班情况、防火检查站人员查处火种进山情况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（三）加强扑火队伍建设。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乡党委政府建立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人以上的森林火险应急救援队伍。要加强以理论知识、体能训练、扑火机具操作维修、扑火实战演练为内容的业务培训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,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特别要注重强化新设备、新装备的配备使用。防火期内，森林火险应急救援队伍要坚持实战训练、集中食宿，紧要时期要靠前驻防，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小时严阵以待，确保“打早、打小、打了”。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（四）加强森林防火督查队伍建设。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以乡农服中心成员为主的督查队伍，要在春节、清明节、“五一”等关键时期及高火险时段，对重点林区、景区等的防火措施进行明察暗访，及时提出整改意见，责令限期整改。对督查中发现的问题，及时下达整改通知书，要求限期整改，并跟踪督促整改措施的落实，确保不留隐患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四、加强能力建设，建立森林防火长效机制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（一）加强防火能力建设，夯实防火基础。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防火加强以森林防火宣传教育、领导责任制落实、森林火灾预警监测、林区墓地规范建设和管理、森林消防队伍建设、防火机具装备、森林防火阻隔网络为主要建设内容的防火能力建设，提高森林防火水平。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（二）严格值班值守，做好应急处置。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要严格执行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小时值班和领导带班制度，要严格执行森林防火值班、火灾报告、扑救、调度等相关制度，强化森林防火值班调度和日常管理。一旦发生火灾，要第一时间上报县林业局防火办或乡人民政府，森林防火值班领导和主要领导要立即赶赴火场一线组织开展扑救，森林防火应急队伍要快速出动，小火当成大火打，集中优势兵力，确保打早、打小、打了。严禁瞒报、乱报、漏报和违规多头报送等情况发生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445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洗新乡人民政府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                             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  <w:t>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snapToGrid w:val="0"/>
          <w:w w:val="100"/>
          <w:kern w:val="21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洗新乡人民政府党政办公室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snapToGrid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snapToGrid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55115"/>
    <w:rsid w:val="7E5D7DF0"/>
    <w:rsid w:val="7EA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  <w:bCs/>
    </w:rPr>
  </w:style>
  <w:style w:type="paragraph" w:customStyle="1" w:styleId="9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2302</Words>
  <Characters>2334</Characters>
  <Lines>0</Lines>
  <Paragraphs>0</Paragraphs>
  <TotalTime>11</TotalTime>
  <ScaleCrop>false</ScaleCrop>
  <LinksUpToDate>false</LinksUpToDate>
  <CharactersWithSpaces>2366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2025-01-22T10:51:00Z</dcterms:created>
  <dc:creator>AAA</dc:creator>
  <cp:lastModifiedBy>user</cp:lastModifiedBy>
  <cp:lastPrinted>2025-01-22T10:52:00Z</cp:lastPrinted>
  <dcterms:modified xsi:type="dcterms:W3CDTF">2025-05-28T15:52:54Z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eyJoZGlkIjoiZTdkMjJiNzEzYmJiNGUyNjM0ZGU2ODFiMDA1N2FiNGEiLCJ1c2VySWQiOiIxMTQzODQ0MTExIn0=</vt:lpwstr>
  </property>
  <property fmtid="{D5CDD505-2E9C-101B-9397-08002B2CF9AE}" pid="4" name="ICV">
    <vt:lpwstr>E9D828F8840749E486557528751FD9AE_13</vt:lpwstr>
  </property>
</Properties>
</file>