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rPr>
        <w:t>石柱土家族自治县新乐乡便民服务中心</w:t>
      </w:r>
      <w:r>
        <w:rPr>
          <w:rFonts w:hint="default" w:ascii="Times New Roman" w:hAnsi="Times New Roman" w:eastAsia="方正小标宋_GBK" w:cs="Times New Roman"/>
          <w:sz w:val="36"/>
          <w:szCs w:val="36"/>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textAlignment w:val="baseline"/>
        <w:rPr>
          <w:rFonts w:hint="default" w:ascii="Times New Roman" w:hAnsi="Times New Roman" w:eastAsia="微软雅黑" w:cs="Times New Roman"/>
          <w:i w:val="0"/>
          <w:iCs w:val="0"/>
          <w:caps w:val="0"/>
          <w:color w:val="000000"/>
          <w:spacing w:val="0"/>
          <w:sz w:val="32"/>
          <w:szCs w:val="32"/>
        </w:rPr>
      </w:pPr>
      <w:r>
        <w:rPr>
          <w:rStyle w:val="8"/>
          <w:rFonts w:hint="default" w:ascii="Times New Roman" w:hAnsi="Times New Roman" w:eastAsia="楷体" w:cs="Times New Roman"/>
          <w:i w:val="0"/>
          <w:iCs w:val="0"/>
          <w:caps w:val="0"/>
          <w:color w:val="000000"/>
          <w:spacing w:val="0"/>
          <w:sz w:val="32"/>
          <w:szCs w:val="32"/>
          <w:shd w:val="clear" w:fill="FFFFFF"/>
          <w:vertAlign w:val="baseline"/>
        </w:rPr>
        <w:t>（一）职能职责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0"/>
        <w:textAlignment w:val="baseline"/>
        <w:rPr>
          <w:rFonts w:hint="default" w:ascii="Times New Roman" w:hAnsi="Times New Roman" w:eastAsia="宋体"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vertAlign w:val="baseline"/>
        </w:rPr>
        <w:t>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镇党委、人民政府交办的其他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0"/>
        <w:textAlignment w:val="baseline"/>
        <w:rPr>
          <w:rFonts w:hint="default" w:ascii="Times New Roman" w:hAnsi="Times New Roman" w:eastAsia="微软雅黑" w:cs="Times New Roman"/>
          <w:i w:val="0"/>
          <w:iCs w:val="0"/>
          <w:caps w:val="0"/>
          <w:color w:val="000000"/>
          <w:spacing w:val="0"/>
          <w:sz w:val="32"/>
          <w:szCs w:val="32"/>
        </w:rPr>
      </w:pPr>
      <w:r>
        <w:rPr>
          <w:rStyle w:val="8"/>
          <w:rFonts w:hint="default" w:ascii="Times New Roman" w:hAnsi="Times New Roman" w:eastAsia="楷体" w:cs="Times New Roman"/>
          <w:i w:val="0"/>
          <w:iCs w:val="0"/>
          <w:caps w:val="0"/>
          <w:color w:val="000000"/>
          <w:spacing w:val="0"/>
          <w:sz w:val="32"/>
          <w:szCs w:val="32"/>
          <w:shd w:val="clear" w:fill="FFFFFF"/>
          <w:vertAlign w:val="baseline"/>
        </w:rPr>
        <w:t>（二）机构设置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0"/>
        <w:jc w:val="both"/>
        <w:textAlignment w:val="baseline"/>
        <w:rPr>
          <w:rFonts w:hint="default" w:ascii="Times New Roman" w:hAnsi="Times New Roman" w:eastAsia="宋体"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vertAlign w:val="baseline"/>
        </w:rPr>
        <w:t>设置便民服务中心1个财政全额拨款公益一类副科级事业单位。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keepLines w:val="0"/>
        <w:pageBreakBefore w:val="0"/>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年度收入总计75.89万元，支出总计</w:t>
      </w:r>
      <w:r>
        <w:rPr>
          <w:rFonts w:hint="default" w:ascii="Times New Roman" w:hAnsi="Times New Roman" w:eastAsia="方正仿宋_GBK" w:cs="Times New Roman"/>
          <w:sz w:val="32"/>
          <w:szCs w:val="32"/>
          <w:lang w:val="en-US" w:eastAsia="zh-CN"/>
        </w:rPr>
        <w:t>75.89</w:t>
      </w:r>
      <w:r>
        <w:rPr>
          <w:rFonts w:hint="default" w:ascii="Times New Roman" w:hAnsi="Times New Roman" w:eastAsia="方正仿宋_GBK" w:cs="Times New Roman"/>
          <w:sz w:val="32"/>
          <w:szCs w:val="32"/>
          <w:shd w:val="clear" w:color="auto" w:fill="FFFFFF"/>
        </w:rPr>
        <w:t>万元。收支较上年决算数</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lang w:val="en-US" w:eastAsia="zh-CN"/>
        </w:rPr>
        <w:t>40.92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vertAlign w:val="baseline"/>
          <w:lang w:val="en-US" w:eastAsia="zh-CN"/>
        </w:rPr>
        <w:t>增长</w:t>
      </w:r>
      <w:r>
        <w:rPr>
          <w:rFonts w:hint="default" w:ascii="Times New Roman" w:hAnsi="Times New Roman" w:eastAsia="方正仿宋_GBK" w:cs="Times New Roman"/>
          <w:sz w:val="32"/>
          <w:szCs w:val="32"/>
          <w:lang w:val="en-US" w:eastAsia="zh-CN"/>
        </w:rPr>
        <w:t>116.99%，主要原因是机构改革，退役军人服务站撤并整合到便民服务中心，同时账务合并到便民服务中心核算，2024年整体收入支出较上年度增加40.92万元。</w:t>
      </w:r>
    </w:p>
    <w:p>
      <w:pPr>
        <w:pStyle w:val="5"/>
        <w:keepLines w:val="0"/>
        <w:pageBreakBefore w:val="0"/>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年度收入合计75.89万元，较上年决算数</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lang w:val="en-US" w:eastAsia="zh-CN"/>
        </w:rPr>
        <w:t>40.92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vertAlign w:val="baseline"/>
          <w:lang w:val="en-US" w:eastAsia="zh-CN"/>
        </w:rPr>
        <w:t>增长</w:t>
      </w:r>
      <w:r>
        <w:rPr>
          <w:rFonts w:hint="default" w:ascii="Times New Roman" w:hAnsi="Times New Roman" w:eastAsia="方正仿宋_GBK" w:cs="Times New Roman"/>
          <w:sz w:val="32"/>
          <w:szCs w:val="32"/>
          <w:lang w:val="en-US" w:eastAsia="zh-CN"/>
        </w:rPr>
        <w:t>116.99%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机构改革，退役军人服务站撤并整合到便民服务中心，同时账务合并到便民服务中心核算，2024年整体收入较上年度增加40.92万元。</w:t>
      </w:r>
      <w:r>
        <w:rPr>
          <w:rFonts w:hint="default" w:ascii="Times New Roman" w:hAnsi="Times New Roman" w:eastAsia="方正仿宋_GBK" w:cs="Times New Roman"/>
          <w:sz w:val="32"/>
          <w:szCs w:val="32"/>
          <w:shd w:val="clear" w:color="auto" w:fill="FFFFFF"/>
        </w:rPr>
        <w:t>其中：财政拨款收入75.89万元，占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Lines w:val="0"/>
        <w:pageBreakBefore w:val="0"/>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年度支出合计75.89万元，较上年决算数</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lang w:val="en-US" w:eastAsia="zh-CN"/>
        </w:rPr>
        <w:t>40.92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vertAlign w:val="baseline"/>
          <w:lang w:val="en-US" w:eastAsia="zh-CN"/>
        </w:rPr>
        <w:t>增长</w:t>
      </w:r>
      <w:r>
        <w:rPr>
          <w:rFonts w:hint="default" w:ascii="Times New Roman" w:hAnsi="Times New Roman" w:eastAsia="方正仿宋_GBK" w:cs="Times New Roman"/>
          <w:sz w:val="32"/>
          <w:szCs w:val="32"/>
          <w:lang w:val="en-US" w:eastAsia="zh-CN"/>
        </w:rPr>
        <w:t>116.99%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机构改革，退役军人服务站撤并整合到便民服务中心，同时账务合并到便民服务中心核算，2024年整体支出较上年度增加40.92万元。</w:t>
      </w:r>
      <w:r>
        <w:rPr>
          <w:rFonts w:hint="default" w:ascii="Times New Roman" w:hAnsi="Times New Roman" w:eastAsia="方正仿宋_GBK" w:cs="Times New Roman"/>
          <w:sz w:val="32"/>
          <w:szCs w:val="32"/>
          <w:shd w:val="clear" w:color="auto" w:fill="FFFFFF"/>
        </w:rPr>
        <w:t>其中：基本支出75.89万元，占100.00%；项目支出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2024年度年末结转和结余0.00万元，与2023年度相比，无增减，主要原因是年度收入和支出数一致，因此年末结转结余情况为0万元。</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keepLines w:val="0"/>
        <w:pageBreakBefore w:val="0"/>
        <w:shd w:val="clear" w:color="auto" w:fill="FFFFFF"/>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年度财政拨款收、支总计75.89万元。与202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lang w:val="en-US" w:eastAsia="zh-CN"/>
        </w:rPr>
        <w:t>40.92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vertAlign w:val="baseline"/>
          <w:lang w:val="en-US" w:eastAsia="zh-CN"/>
        </w:rPr>
        <w:t>增长</w:t>
      </w:r>
      <w:r>
        <w:rPr>
          <w:rFonts w:hint="default" w:ascii="Times New Roman" w:hAnsi="Times New Roman" w:eastAsia="方正仿宋_GBK" w:cs="Times New Roman"/>
          <w:sz w:val="32"/>
          <w:szCs w:val="32"/>
          <w:lang w:val="en-US" w:eastAsia="zh-CN"/>
        </w:rPr>
        <w:t>116.99%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机构改革，退役军人服务站撤并整合到便民服务中心，同时账务合并到便民服务中心核算，2024年整体收入支出较上年度增加40.92万元。</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Lines w:val="0"/>
        <w:pageBreakBefore w:val="0"/>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年度一般公共预算财政拨款收入75.89万元，较上年决算数</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lang w:val="en-US" w:eastAsia="zh-CN"/>
        </w:rPr>
        <w:t>40.92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vertAlign w:val="baseline"/>
          <w:lang w:val="en-US" w:eastAsia="zh-CN"/>
        </w:rPr>
        <w:t>增长</w:t>
      </w:r>
      <w:r>
        <w:rPr>
          <w:rFonts w:hint="default" w:ascii="Times New Roman" w:hAnsi="Times New Roman" w:eastAsia="方正仿宋_GBK" w:cs="Times New Roman"/>
          <w:sz w:val="32"/>
          <w:szCs w:val="32"/>
          <w:lang w:val="en-US" w:eastAsia="zh-CN"/>
        </w:rPr>
        <w:t>116.99%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机构改革，退役军人服务站撤并整合到便民服务中心，同时账务合并到便民服务中心核算，2024年整体收入较上年度增加40.92万元。</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41.5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120.67</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机构改革，退役军人服务站撤并整合到便民服务中心，同时账务合并到便民服务中心核算，2024年整体收入支出较上年度增加40.92万元，二是</w:t>
      </w:r>
      <w:r>
        <w:rPr>
          <w:rFonts w:hint="default" w:ascii="Times New Roman" w:hAnsi="Times New Roman" w:eastAsia="方正仿宋_GBK" w:cs="Times New Roman"/>
          <w:sz w:val="32"/>
          <w:szCs w:val="32"/>
          <w:shd w:val="clear" w:color="auto" w:fill="FFFFFF"/>
        </w:rPr>
        <w:t>人员职务职级晋升工资调标，年初预算数收入增加</w:t>
      </w:r>
      <w:r>
        <w:rPr>
          <w:rFonts w:hint="default" w:ascii="Times New Roman" w:hAnsi="Times New Roman" w:eastAsia="方正仿宋_GBK" w:cs="Times New Roman"/>
          <w:sz w:val="32"/>
          <w:szCs w:val="32"/>
          <w:shd w:val="clear" w:color="auto" w:fill="FFFFFF"/>
          <w:lang w:val="en-US" w:eastAsia="zh-CN"/>
        </w:rPr>
        <w:t>0.58万元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Lines w:val="0"/>
        <w:pageBreakBefore w:val="0"/>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年度一般公共预算财政拨款支出75.89万元，较上年决算数</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lang w:val="en-US" w:eastAsia="zh-CN"/>
        </w:rPr>
        <w:t>40.92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vertAlign w:val="baseline"/>
          <w:lang w:val="en-US" w:eastAsia="zh-CN"/>
        </w:rPr>
        <w:t>增长</w:t>
      </w:r>
      <w:r>
        <w:rPr>
          <w:rFonts w:hint="default" w:ascii="Times New Roman" w:hAnsi="Times New Roman" w:eastAsia="方正仿宋_GBK" w:cs="Times New Roman"/>
          <w:sz w:val="32"/>
          <w:szCs w:val="32"/>
          <w:lang w:val="en-US" w:eastAsia="zh-CN"/>
        </w:rPr>
        <w:t>116.99%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机构改革，退役军人服务站撤并整合到便民服务中心，同时账务合并到便民服务中心核算，2024年整体支出较上年度增加40.92万元</w:t>
      </w:r>
      <w:r>
        <w:rPr>
          <w:rFonts w:hint="default" w:ascii="Times New Roman" w:hAnsi="Times New Roman" w:eastAsia="方正仿宋_GBK" w:cs="Times New Roman"/>
          <w:sz w:val="32"/>
          <w:szCs w:val="32"/>
          <w:shd w:val="clear" w:color="auto" w:fill="FFFFFF"/>
        </w:rPr>
        <w:t>。较年初预算数增加0.44万元，增长1.27%。主要原因是人员职务职级晋升工资调标，年初预算数收入增加。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70.74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39.76</w:t>
      </w:r>
      <w:r>
        <w:rPr>
          <w:rFonts w:hint="default" w:ascii="Times New Roman" w:hAnsi="Times New Roman" w:eastAsia="方正仿宋_GBK" w:cs="Times New Roman"/>
          <w:sz w:val="32"/>
          <w:szCs w:val="32"/>
          <w:shd w:val="clear" w:color="auto" w:fill="FFFFFF"/>
        </w:rPr>
        <w:t>元，增长</w:t>
      </w:r>
      <w:r>
        <w:rPr>
          <w:rFonts w:hint="default" w:ascii="Times New Roman" w:hAnsi="Times New Roman" w:eastAsia="方正仿宋_GBK" w:cs="Times New Roman"/>
          <w:sz w:val="32"/>
          <w:szCs w:val="32"/>
          <w:shd w:val="clear" w:color="auto" w:fill="FFFFFF"/>
          <w:lang w:val="en-US" w:eastAsia="zh-CN"/>
        </w:rPr>
        <w:t>128.34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机构改革，退役军人服务站撤并整合到便民服务中心，同时账务合并到便民服务中心核算，2024年人员经费增加。</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）卫生健康支出3.48万元，占</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1.74</w:t>
      </w:r>
      <w:r>
        <w:rPr>
          <w:rFonts w:hint="default" w:ascii="Times New Roman" w:hAnsi="Times New Roman" w:eastAsia="方正仿宋_GBK" w:cs="Times New Roman"/>
          <w:sz w:val="32"/>
          <w:szCs w:val="32"/>
          <w:shd w:val="clear" w:color="auto" w:fill="FFFFFF"/>
        </w:rPr>
        <w:t>元，增长</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机构改革，退役军人服务站撤并整合到便民服务中心，同时账务合并到便民服务中心核算，2024年人员经费增加。</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）住房保障支出1.67万元，占</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主要原因是严格按照年初预算执行，做到</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无预算不支出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，保证预算决算一致。</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2024年度年末结转和结余0.00万元，与2023年度相比，无增减，主要原因是年度收入和支出数一致，因此年末结转结余情况为0万元。</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基本支出75.89万元。其中：人员经费</w:t>
      </w:r>
      <w:r>
        <w:rPr>
          <w:rFonts w:hint="default" w:ascii="Times New Roman" w:hAnsi="Times New Roman" w:eastAsia="方正仿宋_GBK" w:cs="Times New Roman"/>
          <w:sz w:val="32"/>
          <w:szCs w:val="32"/>
        </w:rPr>
        <w:t>65.34</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增加35.64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lang w:val="en-US" w:eastAsia="zh-CN"/>
        </w:rPr>
        <w:t>0.02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机构改革，退役军人服务站撤并整合到便民服务中心，同时账务合并到便民服务中心核算，2024年人员经费增加。</w:t>
      </w:r>
      <w:r>
        <w:rPr>
          <w:rFonts w:hint="default" w:ascii="Times New Roman" w:hAnsi="Times New Roman" w:eastAsia="方正仿宋_GBK" w:cs="Times New Roman"/>
          <w:sz w:val="32"/>
          <w:szCs w:val="32"/>
          <w:shd w:val="clear" w:color="auto" w:fill="FFFFFF"/>
        </w:rPr>
        <w:t>人员经费用途主要包括基本工资、津贴补贴、超额绩效工资、社会保障缴费、住房公积金等。</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lang w:val="en-US" w:eastAsia="zh-CN"/>
        </w:rPr>
        <w:t>10.56</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增加5.28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增加99.95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机构改革，退役军人服务站撤并整合到便民服务中心，同时账务合并到便民服务中心核算，2024年公用经费增加。</w:t>
      </w:r>
      <w:r>
        <w:rPr>
          <w:rFonts w:hint="default" w:ascii="Times New Roman" w:hAnsi="Times New Roman" w:eastAsia="方正仿宋_GBK" w:cs="Times New Roman"/>
          <w:sz w:val="32"/>
          <w:szCs w:val="32"/>
          <w:shd w:val="clear" w:color="auto" w:fill="FFFFFF"/>
        </w:rPr>
        <w:t>公用经费用途包括办公费、印刷费、水电费、邮电费、差旅费、公务接待费、劳务费、会议费、培训费、工会经费、其他交通费用、其他商品和服务支出等。</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5"/>
        <w:keepLines w:val="0"/>
        <w:pageBreakBefore w:val="0"/>
        <w:shd w:val="clear" w:color="auto" w:fill="FFFFFF"/>
        <w:kinsoku/>
        <w:wordWrap/>
        <w:overflowPunct/>
        <w:topLinePunct w:val="0"/>
        <w:autoSpaceDN/>
        <w:bidi w:val="0"/>
        <w:adjustRightInd/>
        <w:spacing w:beforeAutospacing="0" w:line="594" w:lineRule="exact"/>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w:t>
      </w:r>
      <w:r>
        <w:rPr>
          <w:rStyle w:val="8"/>
          <w:rFonts w:hint="default" w:ascii="Times New Roman" w:hAnsi="Times New Roman" w:eastAsia="黑体" w:cs="Times New Roman"/>
          <w:sz w:val="32"/>
          <w:szCs w:val="32"/>
          <w:shd w:val="clear" w:color="auto" w:fill="FFFFFF"/>
        </w:rPr>
        <w:t>三公</w:t>
      </w:r>
      <w:r>
        <w:rPr>
          <w:rStyle w:val="8"/>
          <w:rFonts w:hint="default" w:ascii="Times New Roman" w:hAnsi="Times New Roman" w:eastAsia="黑体" w:cs="Times New Roman"/>
          <w:sz w:val="32"/>
          <w:szCs w:val="32"/>
          <w:shd w:val="clear" w:color="auto" w:fill="FFFFFF"/>
          <w:lang w:eastAsia="zh-CN"/>
        </w:rPr>
        <w:t>”</w:t>
      </w:r>
      <w:r>
        <w:rPr>
          <w:rStyle w:val="8"/>
          <w:rFonts w:hint="default" w:ascii="Times New Roman" w:hAnsi="Times New Roman" w:eastAsia="黑体" w:cs="Times New Roman"/>
          <w:sz w:val="32"/>
          <w:szCs w:val="32"/>
          <w:shd w:val="clear" w:color="auto" w:fill="FFFFFF"/>
        </w:rPr>
        <w:t>经费情况说明</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经费支出共计0.00万元，较年初预算数无增减，较上年支出数无增减，主要原因是本单位2023年度未发生</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w:t>
      </w:r>
      <w:r>
        <w:rPr>
          <w:rFonts w:hint="default" w:ascii="Times New Roman" w:hAnsi="Times New Roman" w:eastAsia="方正仿宋_GBK" w:cs="Times New Roman"/>
          <w:sz w:val="32"/>
          <w:szCs w:val="32"/>
          <w:shd w:val="clear" w:color="auto" w:fill="FFFFFF"/>
          <w:lang w:eastAsia="zh-CN"/>
        </w:rPr>
        <w:t>。</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hint="default" w:ascii="Times New Roman" w:hAnsi="Times New Roman" w:eastAsia="黑体" w:cs="Times New Roman"/>
          <w:sz w:val="32"/>
          <w:szCs w:val="32"/>
          <w:shd w:val="clear" w:color="auto" w:fill="FFFFFF"/>
        </w:rPr>
      </w:pPr>
      <w:bookmarkStart w:id="2" w:name="_GoBack"/>
      <w:bookmarkEnd w:id="2"/>
      <w:r>
        <w:rPr>
          <w:rStyle w:val="8"/>
          <w:rFonts w:hint="default" w:ascii="Times New Roman" w:hAnsi="Times New Roman" w:eastAsia="黑体" w:cs="Times New Roman"/>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我单位属于公益一类副科级事业单位，</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财政拨款会议费、培训费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已在政府本级决算，故本级事业单位决算中无该经费数据。本年度差旅费支出1.51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与2023年度相比，增加0.51万元，增长51.0%，主要原因是</w:t>
      </w:r>
      <w:r>
        <w:rPr>
          <w:rFonts w:hint="default" w:ascii="Times New Roman" w:hAnsi="Times New Roman" w:eastAsia="方正仿宋_GBK" w:cs="Times New Roman"/>
          <w:sz w:val="32"/>
          <w:szCs w:val="32"/>
        </w:rPr>
        <w:t>年初预算差旅费时比2023年多，故支出增多。</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bookmarkStart w:id="0" w:name="OLE_LINK7"/>
      <w:r>
        <w:rPr>
          <w:rStyle w:val="8"/>
          <w:rFonts w:hint="default" w:ascii="Times New Roman" w:hAnsi="Times New Roman" w:eastAsia="方正仿宋_GBK" w:cs="Times New Roman"/>
          <w:sz w:val="32"/>
          <w:szCs w:val="32"/>
          <w:shd w:val="clear" w:color="auto" w:fill="FFFFFF"/>
        </w:rPr>
        <w:t xml:space="preserve">  </w:t>
      </w:r>
      <w:bookmarkStart w:id="1" w:name="OLE_LINK6"/>
      <w:r>
        <w:rPr>
          <w:rStyle w:val="8"/>
          <w:rFonts w:hint="default" w:ascii="Times New Roman" w:hAnsi="Times New Roman" w:eastAsia="黑体" w:cs="Times New Roman"/>
          <w:sz w:val="32"/>
          <w:szCs w:val="32"/>
          <w:shd w:val="clear" w:color="auto" w:fill="FFFFFF"/>
          <w:lang w:val="en-US" w:eastAsia="zh-CN"/>
        </w:rPr>
        <w:t>五</w:t>
      </w:r>
      <w:r>
        <w:rPr>
          <w:rStyle w:val="8"/>
          <w:rFonts w:hint="default" w:ascii="Times New Roman" w:hAnsi="Times New Roman" w:eastAsia="黑体" w:cs="Times New Roman"/>
          <w:sz w:val="32"/>
          <w:szCs w:val="32"/>
          <w:shd w:val="clear" w:color="auto" w:fill="FFFFFF"/>
        </w:rPr>
        <w:t>、专业名词解释</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lang w:val="en-US" w:eastAsia="zh-CN"/>
        </w:rPr>
        <w:t>六</w:t>
      </w:r>
      <w:r>
        <w:rPr>
          <w:rStyle w:val="8"/>
          <w:rFonts w:hint="default" w:ascii="Times New Roman" w:hAnsi="Times New Roman" w:eastAsia="黑体" w:cs="Times New Roman"/>
          <w:sz w:val="32"/>
          <w:szCs w:val="32"/>
          <w:shd w:val="clear" w:color="auto" w:fill="FFFFFF"/>
        </w:rPr>
        <w:t>、决算公开联系方式及信息反馈渠道</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Style w:val="8"/>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2211" w:right="1446" w:bottom="1531" w:left="1446"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田清</w:t>
      </w:r>
      <w:r>
        <w:rPr>
          <w:rFonts w:hint="default" w:ascii="Times New Roman" w:hAnsi="Times New Roman" w:eastAsia="方正仿宋_GBK" w:cs="Times New Roman"/>
          <w:sz w:val="32"/>
          <w:szCs w:val="32"/>
          <w:shd w:val="clear" w:color="auto" w:fill="FFFFFF"/>
          <w:lang w:val="en-US" w:eastAsia="zh-CN"/>
        </w:rPr>
        <w:t xml:space="preserve"> 023-73304001</w:t>
      </w:r>
    </w:p>
    <w:bookmarkEnd w:id="0"/>
    <w:bookmarkEnd w:id="1"/>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石柱土家族自治县新乐乡便民服务中心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707,437.15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34,788.72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16,685.28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758,911.15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758,911.15</w:t>
            </w:r>
          </w:p>
        </w:tc>
      </w:tr>
    </w:tbl>
    <w:p>
      <w:pPr>
        <w:pStyle w:val="9"/>
        <w:numPr>
          <w:ilvl w:val="0"/>
          <w:numId w:val="0"/>
        </w:numPr>
        <w:autoSpaceDE w:val="0"/>
        <w:rPr>
          <w:rFonts w:hint="default" w:ascii="Times New Roman" w:hAnsi="Times New Roman" w:eastAsia="宋体" w:cs="Times New Roman"/>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758,911.15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758,911.15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707,437.15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707,437.15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116,071.20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116,071.20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77,380.80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77,380.80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260,720.50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260,720.50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26,388.72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26,388.72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石柱土家族自治县新乐乡便民服务中心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758,911.15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758,911.15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707,437.15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707,437.15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116,071.20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116,071.20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77,380.80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77,380.80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38,690.40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38,690.40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260,720.50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260,720.50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34,788.72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26,388.72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26,388.72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707,437.15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707,437.15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34,788.72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34,788.72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16,685.28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16,685.28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758,911.15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758,911.15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758,911.15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758,911.15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758,911.15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707,437.15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707,437.15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707,437.15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707,437.15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116,071.20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116,071.20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116,071.20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116,071.20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77,380.80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77,380.80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77,380.80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77,380.80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38,690.40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38,690.40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38,690.40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38,690.40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260,720.50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260,720.50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260,720.50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260,720.50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34,788.72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26,388.72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26,388.72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26,388.72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26,388.72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653,355.63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105,555.52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136,791.00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54,938.73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46,377.00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299,725.00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77,380.80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38,690.40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27,777.60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1,528.55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15,061.27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16,685.28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5,555.52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653,355.63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105,555.52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石柱土家族自治县新乐乡便民服务中心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15,061.27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TQ2ZGI1NGQ3ZGYzMmVmZDZhYzZiYTc1ODExOTY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23213E"/>
    <w:rsid w:val="37841E99"/>
    <w:rsid w:val="37BF1123"/>
    <w:rsid w:val="37F26E25"/>
    <w:rsid w:val="38BE4696"/>
    <w:rsid w:val="39166507"/>
    <w:rsid w:val="39B82A39"/>
    <w:rsid w:val="39F33306"/>
    <w:rsid w:val="3B1705E5"/>
    <w:rsid w:val="3B18334B"/>
    <w:rsid w:val="3B36794F"/>
    <w:rsid w:val="3B544954"/>
    <w:rsid w:val="3BF014AD"/>
    <w:rsid w:val="3C6A5B02"/>
    <w:rsid w:val="3CE81915"/>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903F6B"/>
    <w:rsid w:val="60A958A9"/>
    <w:rsid w:val="60D22ADB"/>
    <w:rsid w:val="61025A59"/>
    <w:rsid w:val="613D5BBC"/>
    <w:rsid w:val="61536C39"/>
    <w:rsid w:val="61DE7501"/>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8199</Words>
  <Characters>11732</Characters>
  <Lines>161</Lines>
  <Paragraphs>45</Paragraphs>
  <TotalTime>3</TotalTime>
  <ScaleCrop>false</ScaleCrop>
  <LinksUpToDate>false</LinksUpToDate>
  <CharactersWithSpaces>12887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随心</cp:lastModifiedBy>
  <dcterms:modified xsi:type="dcterms:W3CDTF">2025-10-14T08:02:05Z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BB46EABDBB2749749395447164B066B3_12</vt:lpwstr>
  </property>
</Properties>
</file>