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石柱土家族自治县新乐乡综合行政执法大队</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bookmarkStart w:id="4" w:name="_GoBack"/>
      <w:bookmarkEnd w:id="4"/>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i w:val="0"/>
          <w:iCs w:val="0"/>
          <w:caps w:val="0"/>
          <w:color w:val="000000"/>
          <w:spacing w:val="0"/>
          <w:sz w:val="32"/>
          <w:szCs w:val="32"/>
        </w:rPr>
      </w:pPr>
      <w:r>
        <w:rPr>
          <w:rFonts w:hint="default" w:ascii="Times New Roman" w:hAnsi="Times New Roman" w:eastAsia="楷体" w:cs="Times New Roman"/>
          <w:b/>
          <w:bCs/>
          <w:i w:val="0"/>
          <w:iCs w:val="0"/>
          <w:caps w:val="0"/>
          <w:color w:val="000000"/>
          <w:spacing w:val="0"/>
          <w:sz w:val="32"/>
          <w:szCs w:val="32"/>
        </w:rPr>
        <w:t xml:space="preserve">（一）职能职责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 xml:space="preserve">贯彻落实综合行政执法相关法律法规及政策。根据法律法规规定、市政府赋权，以镇人民政府名义统一行使权以及与其行政处罚权有关的行政检查、行政强制措施。根据县级相关部门委托，以委托行政机关名义实施委托范围内的行政处罚权。负责联合县级有关行政主管部门开展行政执法工作。负责依据有关法律、法规和规章，参与起草本辖区实行综合行政执法领域相关方面的工作计划，并具体实施。负责镇党委、人民政府交办的其他工作任务。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b/>
          <w:bCs/>
          <w:i w:val="0"/>
          <w:iCs w:val="0"/>
          <w:caps w:val="0"/>
          <w:color w:val="000000"/>
          <w:spacing w:val="0"/>
          <w:sz w:val="32"/>
          <w:szCs w:val="32"/>
        </w:rPr>
      </w:pPr>
      <w:r>
        <w:rPr>
          <w:rFonts w:hint="default" w:ascii="Times New Roman" w:hAnsi="Times New Roman" w:eastAsia="楷体" w:cs="Times New Roman"/>
          <w:b/>
          <w:bCs/>
          <w:i w:val="0"/>
          <w:iCs w:val="0"/>
          <w:caps w:val="0"/>
          <w:color w:val="000000"/>
          <w:spacing w:val="0"/>
          <w:sz w:val="32"/>
          <w:szCs w:val="32"/>
          <w:lang w:eastAsia="zh-CN"/>
        </w:rPr>
        <w:t>（</w:t>
      </w:r>
      <w:r>
        <w:rPr>
          <w:rFonts w:hint="default" w:ascii="Times New Roman" w:hAnsi="Times New Roman" w:eastAsia="楷体" w:cs="Times New Roman"/>
          <w:b/>
          <w:bCs/>
          <w:i w:val="0"/>
          <w:iCs w:val="0"/>
          <w:caps w:val="0"/>
          <w:color w:val="000000"/>
          <w:spacing w:val="0"/>
          <w:sz w:val="32"/>
          <w:szCs w:val="32"/>
          <w:lang w:val="en-US" w:eastAsia="zh-CN"/>
        </w:rPr>
        <w:t>二</w:t>
      </w:r>
      <w:r>
        <w:rPr>
          <w:rFonts w:hint="default" w:ascii="Times New Roman" w:hAnsi="Times New Roman" w:eastAsia="楷体" w:cs="Times New Roman"/>
          <w:b/>
          <w:bCs/>
          <w:i w:val="0"/>
          <w:iCs w:val="0"/>
          <w:caps w:val="0"/>
          <w:color w:val="000000"/>
          <w:spacing w:val="0"/>
          <w:sz w:val="32"/>
          <w:szCs w:val="32"/>
          <w:lang w:eastAsia="zh-CN"/>
        </w:rPr>
        <w:t>）</w:t>
      </w:r>
      <w:r>
        <w:rPr>
          <w:rFonts w:hint="default" w:ascii="Times New Roman" w:hAnsi="Times New Roman" w:eastAsia="楷体" w:cs="Times New Roman"/>
          <w:b/>
          <w:bCs/>
          <w:i w:val="0"/>
          <w:iCs w:val="0"/>
          <w:caps w:val="0"/>
          <w:color w:val="000000"/>
          <w:spacing w:val="0"/>
          <w:sz w:val="32"/>
          <w:szCs w:val="32"/>
        </w:rPr>
        <w:t xml:space="preserve">机构设置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设置综合行政执法大队1个财政全额拨款公益一类副科级事业单位。</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65.12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收、支与2023年度相比，增加40.62万元，增长165.8%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w:t>
      </w:r>
      <w:r>
        <w:rPr>
          <w:rFonts w:hint="default" w:ascii="Times New Roman" w:hAnsi="Times New Roman" w:eastAsia="方正仿宋_GBK" w:cs="Times New Roman"/>
          <w:sz w:val="32"/>
          <w:szCs w:val="32"/>
          <w:shd w:val="clear" w:color="auto" w:fill="FFFFFF"/>
          <w:lang w:val="en-US" w:eastAsia="zh-CN"/>
        </w:rPr>
        <w:t>业人员，二是机构改革文化服务中心转入1名事业人员，2024年整体收入支出增加40.62万元。</w:t>
      </w:r>
    </w:p>
    <w:p>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.收入情况。2024年度收入合计65.12万元，与2023年度相比，增加40.62万元，增长165.8%</w:t>
      </w:r>
      <w:r>
        <w:rPr>
          <w:rFonts w:hint="default" w:ascii="Times New Roman" w:hAnsi="Times New Roman" w:eastAsia="方正仿宋_GBK" w:cs="Times New Roman"/>
          <w:sz w:val="32"/>
          <w:szCs w:val="32"/>
          <w:shd w:val="clear" w:color="auto" w:fill="FFFFFF"/>
        </w:rPr>
        <w:t>，主要原</w:t>
      </w:r>
      <w:r>
        <w:rPr>
          <w:rFonts w:hint="default" w:ascii="Times New Roman" w:hAnsi="Times New Roman" w:eastAsia="方正仿宋_GBK" w:cs="Times New Roman"/>
          <w:sz w:val="32"/>
          <w:szCs w:val="32"/>
          <w:shd w:val="clear" w:color="auto" w:fill="FFFFFF"/>
        </w:rPr>
        <w:t>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一是2024年新招录2名事业人员，二是机构改革文化服务中心转入1名事业人员，2024年整体收入增加40.62万元。</w:t>
      </w:r>
      <w:r>
        <w:rPr>
          <w:rFonts w:hint="default" w:ascii="Times New Roman" w:hAnsi="Times New Roman" w:eastAsia="方正仿宋_GBK" w:cs="Times New Roman"/>
          <w:sz w:val="32"/>
          <w:szCs w:val="32"/>
          <w:shd w:val="clear" w:color="auto" w:fill="FFFFFF"/>
        </w:rPr>
        <w:t>其中：财政拨款收入65.12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；其他收入</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w:t>
      </w:r>
      <w:r>
        <w:rPr>
          <w:rFonts w:hint="default" w:ascii="Times New Roman" w:hAnsi="Times New Roman" w:eastAsia="方正仿宋_GBK" w:cs="Times New Roman"/>
          <w:sz w:val="32"/>
          <w:szCs w:val="32"/>
          <w:shd w:val="clear" w:color="auto" w:fill="FFFFFF"/>
        </w:rPr>
        <w:t>使用非财政拨款结余（含专用结余）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年度支出合计</w:t>
      </w:r>
      <w:r>
        <w:rPr>
          <w:rFonts w:hint="default" w:ascii="Times New Roman" w:hAnsi="Times New Roman" w:eastAsia="方正仿宋_GBK" w:cs="Times New Roman"/>
          <w:sz w:val="32"/>
          <w:szCs w:val="32"/>
          <w:shd w:val="clear" w:color="auto" w:fill="FFFFFF"/>
        </w:rPr>
        <w:t>65.12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与2023年度相比，增加40.62万元，增长165.8%</w:t>
      </w:r>
      <w:r>
        <w:rPr>
          <w:rFonts w:hint="default" w:ascii="Times New Roman" w:hAnsi="Times New Roman" w:eastAsia="方正仿宋_GBK" w:cs="Times New Roman"/>
          <w:sz w:val="32"/>
          <w:szCs w:val="32"/>
          <w:shd w:val="clear" w:color="auto" w:fill="FFFFFF"/>
        </w:rPr>
        <w:t>，主要原</w:t>
      </w:r>
      <w:r>
        <w:rPr>
          <w:rFonts w:hint="default" w:ascii="Times New Roman" w:hAnsi="Times New Roman" w:eastAsia="方正仿宋_GBK" w:cs="Times New Roman"/>
          <w:sz w:val="32"/>
          <w:szCs w:val="32"/>
          <w:shd w:val="clear" w:color="auto" w:fill="FFFFFF"/>
        </w:rPr>
        <w:t>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一是2024年新招录2名事业人员，二是机构改革文化服务中心转入1名事业人员，2024年整体支出增加40.62万元。</w:t>
      </w:r>
      <w:r>
        <w:rPr>
          <w:rFonts w:hint="default" w:ascii="Times New Roman" w:hAnsi="Times New Roman" w:eastAsia="方正仿宋_GBK" w:cs="Times New Roman"/>
          <w:sz w:val="32"/>
          <w:szCs w:val="32"/>
          <w:shd w:val="clear" w:color="auto" w:fill="FFFFFF"/>
        </w:rPr>
        <w:t>其中：基本支出65.12万元</w:t>
      </w:r>
      <w:r>
        <w:rPr>
          <w:rFonts w:hint="default" w:ascii="Times New Roman" w:hAnsi="Times New Roman" w:eastAsia="方正仿宋_GBK" w:cs="Times New Roman"/>
          <w:sz w:val="32"/>
          <w:szCs w:val="32"/>
          <w:shd w:val="clear" w:color="auto" w:fill="FFFFFF"/>
        </w:rPr>
        <w:t>，占</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；项目支出</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0.0%</w:t>
      </w:r>
      <w:r>
        <w:rPr>
          <w:rFonts w:hint="default" w:ascii="Times New Roman" w:hAnsi="Times New Roman" w:eastAsia="方正仿宋_GBK" w:cs="Times New Roman"/>
          <w:sz w:val="32"/>
          <w:szCs w:val="32"/>
          <w:shd w:val="clear" w:color="auto" w:fill="FFFFFF"/>
        </w:rPr>
        <w:t>。此外，结余分配</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，主要原因是年度收入和支出数一致，因此年末结转结余情况</w:t>
      </w:r>
      <w:r>
        <w:rPr>
          <w:rFonts w:hint="default" w:ascii="Times New Roman" w:hAnsi="Times New Roman" w:eastAsia="方正仿宋_GBK" w:cs="Times New Roman"/>
          <w:sz w:val="32"/>
          <w:szCs w:val="32"/>
          <w:shd w:val="clear" w:color="auto" w:fill="FFFFFF"/>
        </w:rPr>
        <w:t>为0万元。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年度财政拨款收、支总计均为</w:t>
      </w:r>
      <w:r>
        <w:rPr>
          <w:rFonts w:hint="default" w:ascii="Times New Roman" w:hAnsi="Times New Roman" w:eastAsia="方正仿宋_GBK" w:cs="Times New Roman"/>
          <w:sz w:val="32"/>
          <w:szCs w:val="32"/>
          <w:shd w:val="clear" w:color="auto" w:fill="FFFFFF"/>
        </w:rPr>
        <w:t>65.12</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rPr>
        <w:t>2023</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w:t>
      </w:r>
      <w:r>
        <w:rPr>
          <w:rFonts w:hint="default" w:ascii="Times New Roman" w:hAnsi="Times New Roman" w:eastAsia="方正仿宋_GBK" w:cs="Times New Roman"/>
          <w:sz w:val="32"/>
          <w:szCs w:val="32"/>
          <w:shd w:val="clear" w:color="auto" w:fill="FFFFFF"/>
        </w:rPr>
        <w:t>财政拨款收、支总计各增加40.62万元，增长165.8%</w:t>
      </w:r>
      <w:r>
        <w:rPr>
          <w:rFonts w:hint="default" w:ascii="Times New Roman" w:hAnsi="Times New Roman" w:eastAsia="方正仿宋_GBK" w:cs="Times New Roman"/>
          <w:sz w:val="32"/>
          <w:szCs w:val="32"/>
          <w:shd w:val="clear" w:color="auto" w:fill="FFFFFF"/>
        </w:rPr>
        <w:t>。主要原因是</w:t>
      </w:r>
      <w:bookmarkStart w:id="0" w:name="OLE_LINK1"/>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一是2024年新招录2名事业人员，二是机构改革文化服务中心转入1名事业人员，2024年整体支出增加40.62万元。</w:t>
      </w:r>
    </w:p>
    <w:bookmarkEnd w:id="0"/>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年度一般公共预算财政拨款收入</w:t>
      </w:r>
      <w:r>
        <w:rPr>
          <w:rFonts w:hint="default" w:ascii="Times New Roman" w:hAnsi="Times New Roman" w:eastAsia="方正仿宋_GBK" w:cs="Times New Roman"/>
          <w:sz w:val="32"/>
          <w:szCs w:val="32"/>
          <w:shd w:val="clear" w:color="auto" w:fill="FFFFFF"/>
        </w:rPr>
        <w:t>65.12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与2023年度相比，增加40.62万元，增长165.8%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本年度工资调标，工资福利、社会保险等增加。较年初预算数增加57.62万元，增长768.3%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一是2024年新招录2名事业人员，二是机构改革文化服务中心转入1名事业人员，2024年整体支出增加40.62万元。</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年度一般公共预算财政拨款支出</w:t>
      </w:r>
      <w:r>
        <w:rPr>
          <w:rFonts w:hint="default" w:ascii="Times New Roman" w:hAnsi="Times New Roman" w:eastAsia="方正仿宋_GBK" w:cs="Times New Roman"/>
          <w:sz w:val="32"/>
          <w:szCs w:val="32"/>
          <w:shd w:val="clear" w:color="auto" w:fill="FFFFFF"/>
        </w:rPr>
        <w:t>65.12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与2023年度相比，增加40.62万元，增长165.8%</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一是2024年新招录2名事业人员，二是机构改革文化服务中心转入1名事业人员，2024年整体支出增加40.62万元。</w:t>
      </w:r>
      <w:r>
        <w:rPr>
          <w:rFonts w:hint="default" w:ascii="Times New Roman" w:hAnsi="Times New Roman" w:eastAsia="方正仿宋_GBK" w:cs="Times New Roman"/>
          <w:sz w:val="32"/>
          <w:szCs w:val="32"/>
          <w:shd w:val="clear" w:color="auto" w:fill="FFFFFF"/>
        </w:rPr>
        <w:t>较年初预算数增加57.62万元，增长768.3%</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一是2024年新招录2名事业人员，二是机构改革文化服务中心转入1名事业人员，2024年整体支出增加40.62万元。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5"/>
        <w:numPr>
          <w:ilvl w:val="0"/>
          <w:numId w:val="1"/>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39.33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60.4%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较年初预算数增加31.83万元，增长424.4%</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一是2024年新招录2名事业人员，二是机构改革文化服务中心转入1名事业人员，人员经费增加。</w:t>
      </w:r>
    </w:p>
    <w:p>
      <w:pPr>
        <w:pStyle w:val="5"/>
        <w:keepNext/>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shd w:val="clear" w:color="auto" w:fill="FFFFFF"/>
        </w:rPr>
        <w:t>12.15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18.7%</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较年初预算数增加12.15万元，增长100.0%</w:t>
      </w:r>
      <w:r>
        <w:rPr>
          <w:rFonts w:hint="default" w:ascii="Times New Roman" w:hAnsi="Times New Roman" w:eastAsia="方正仿宋_GBK" w:cs="Times New Roman"/>
          <w:sz w:val="32"/>
          <w:szCs w:val="32"/>
          <w:shd w:val="clear" w:color="auto" w:fill="FFFFFF"/>
        </w:rPr>
        <w:t>，主要原因是</w:t>
      </w:r>
      <w:bookmarkStart w:id="1" w:name="OLE_LINK2"/>
      <w:r>
        <w:rPr>
          <w:rFonts w:hint="default" w:ascii="Times New Roman" w:hAnsi="Times New Roman" w:eastAsia="方正仿宋_GBK" w:cs="Times New Roman"/>
          <w:color w:val="auto"/>
          <w:sz w:val="32"/>
          <w:szCs w:val="32"/>
          <w:shd w:val="clear" w:color="auto" w:fill="FFFFFF"/>
          <w:lang w:val="en-US" w:eastAsia="zh-CN"/>
        </w:rPr>
        <w:t>2023年机构改革，取消下属二级事业单位文化服务中心，未预算文化旅游体育与传媒支出。</w:t>
      </w:r>
    </w:p>
    <w:bookmarkEnd w:id="1"/>
    <w:p>
      <w:pPr>
        <w:pStyle w:val="5"/>
        <w:numPr>
          <w:ilvl w:val="0"/>
          <w:numId w:val="0"/>
        </w:numPr>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8.43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13.0%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较年初预算数增加8.43万元，增长100.0%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一是2024年新招录2名事业人员，二是机构改革文化服务中心转入1名事业人员，导致社五险一金等经费增加。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2.44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3.8%</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较年初预算数增加2.44万元，增长100.0%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w:t>
      </w:r>
      <w:r>
        <w:rPr>
          <w:rFonts w:hint="default" w:ascii="Times New Roman" w:hAnsi="Times New Roman" w:eastAsia="方正仿宋_GBK" w:cs="Times New Roman"/>
          <w:sz w:val="32"/>
          <w:szCs w:val="32"/>
          <w:shd w:val="clear" w:color="auto" w:fill="FFFFFF"/>
          <w:lang w:val="en-US" w:eastAsia="zh-CN"/>
        </w:rPr>
        <w:t>导致</w:t>
      </w:r>
      <w:r>
        <w:rPr>
          <w:rFonts w:hint="default" w:ascii="Times New Roman" w:hAnsi="Times New Roman" w:eastAsia="方正仿宋_GBK" w:cs="Times New Roman"/>
          <w:color w:val="auto"/>
          <w:sz w:val="32"/>
          <w:szCs w:val="32"/>
          <w:shd w:val="clear" w:color="auto" w:fill="FFFFFF"/>
        </w:rPr>
        <w:t>职工基本医疗保险</w:t>
      </w:r>
      <w:r>
        <w:rPr>
          <w:rFonts w:hint="default" w:ascii="Times New Roman" w:hAnsi="Times New Roman" w:eastAsia="方正仿宋_GBK" w:cs="Times New Roman"/>
          <w:color w:val="auto"/>
          <w:sz w:val="32"/>
          <w:szCs w:val="32"/>
          <w:shd w:val="clear" w:color="auto" w:fill="FFFFFF"/>
          <w:lang w:eastAsia="zh-CN"/>
        </w:rPr>
        <w:t>、大额医疗互助金等支出增加。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2.77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较年初预算数增加2.77万元，增长100.0%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w:t>
      </w:r>
      <w:r>
        <w:rPr>
          <w:rFonts w:hint="default" w:ascii="Times New Roman" w:hAnsi="Times New Roman" w:eastAsia="方正仿宋_GBK" w:cs="Times New Roman"/>
          <w:sz w:val="32"/>
          <w:szCs w:val="32"/>
          <w:shd w:val="clear" w:color="auto" w:fill="FFFFFF"/>
          <w:lang w:val="en-US" w:eastAsia="zh-CN"/>
        </w:rPr>
        <w:t>导致</w:t>
      </w:r>
      <w:r>
        <w:rPr>
          <w:rFonts w:hint="default" w:ascii="Times New Roman" w:hAnsi="Times New Roman" w:eastAsia="方正仿宋_GBK" w:cs="Times New Roman"/>
          <w:sz w:val="32"/>
          <w:szCs w:val="32"/>
          <w:shd w:val="clear" w:color="auto" w:fill="FFFFFF"/>
          <w:lang w:val="en-US" w:eastAsia="zh-CN" w:bidi="ar-SA"/>
        </w:rPr>
        <w:t>住房公积金</w:t>
      </w:r>
      <w:r>
        <w:rPr>
          <w:rFonts w:hint="default" w:ascii="Times New Roman" w:hAnsi="Times New Roman" w:eastAsia="方正仿宋_GBK" w:cs="Times New Roman"/>
          <w:color w:val="auto"/>
          <w:sz w:val="32"/>
          <w:szCs w:val="32"/>
          <w:shd w:val="clear" w:color="auto" w:fill="FFFFFF"/>
          <w:lang w:eastAsia="zh-CN"/>
        </w:rPr>
        <w:t>支出增加。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rPr>
        <w:t>年度收入和支出数一致，因此年末结转结余情况为0万元。</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cs="Times New Roman"/>
          <w:sz w:val="32"/>
          <w:szCs w:val="32"/>
          <w:shd w:val="clear" w:color="auto" w:fill="FFFFFF"/>
        </w:rPr>
        <w:t>65.12</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人员经费</w:t>
      </w:r>
      <w:r>
        <w:rPr>
          <w:rFonts w:hint="default" w:ascii="Times New Roman" w:hAnsi="Times New Roman" w:eastAsia="方正仿宋_GBK" w:cs="Times New Roman"/>
          <w:sz w:val="32"/>
          <w:szCs w:val="32"/>
          <w:shd w:val="clear" w:color="auto" w:fill="FFFFFF"/>
        </w:rPr>
        <w:t>55.12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与2023年度相比，增加38.27万元，增长227.1%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一是2024年新招录2名事业人员，二是机构改革文化服务中心转入1名事业人员，2024年人员经费增加38.27万元。</w:t>
      </w:r>
      <w:r>
        <w:rPr>
          <w:rFonts w:hint="default" w:ascii="Times New Roman" w:hAnsi="Times New Roman" w:eastAsia="方正仿宋_GBK" w:cs="Times New Roman"/>
          <w:sz w:val="32"/>
          <w:szCs w:val="32"/>
          <w:shd w:val="clear" w:color="auto" w:fill="FFFFFF"/>
        </w:rPr>
        <w:t>人员经费用途主要包括基本工资、津贴补贴、超额绩效工资、社会保障缴费、住房公积金等。</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shd w:val="clear" w:color="auto" w:fill="FFFFFF"/>
        </w:rPr>
        <w:t>10.00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与2023年度相比，增加2.35万元，增长30.7%</w:t>
      </w:r>
      <w:r>
        <w:rPr>
          <w:rFonts w:hint="default" w:ascii="Times New Roman" w:hAnsi="Times New Roman" w:eastAsia="方正仿宋_GBK" w:cs="Times New Roman"/>
          <w:sz w:val="32"/>
          <w:szCs w:val="32"/>
          <w:shd w:val="clear" w:color="auto" w:fill="FFFFFF"/>
        </w:rPr>
        <w:t>，主要原</w:t>
      </w:r>
      <w:r>
        <w:rPr>
          <w:rFonts w:hint="default" w:ascii="Times New Roman" w:hAnsi="Times New Roman" w:eastAsia="方正仿宋_GBK" w:cs="Times New Roman"/>
          <w:sz w:val="32"/>
          <w:szCs w:val="32"/>
          <w:shd w:val="clear" w:color="auto" w:fill="FFFFFF"/>
        </w:rPr>
        <w:t>因是</w:t>
      </w:r>
      <w:r>
        <w:rPr>
          <w:rFonts w:hint="default" w:ascii="Times New Roman" w:hAnsi="Times New Roman" w:eastAsia="方正仿宋_GBK" w:cs="Times New Roman"/>
          <w:sz w:val="32"/>
          <w:szCs w:val="32"/>
          <w:shd w:val="clear" w:color="auto" w:fill="FFFFFF"/>
          <w:lang w:val="en-US" w:eastAsia="zh-CN"/>
        </w:rPr>
        <w:t>一是2024年新招录2名事业人员，二是机构改革文化服务中心转入1名事业人员，2024年公用经费增加2.35万元。</w:t>
      </w:r>
      <w:r>
        <w:rPr>
          <w:rFonts w:hint="default" w:ascii="Times New Roman" w:hAnsi="Times New Roman" w:eastAsia="方正仿宋_GBK" w:cs="Times New Roman"/>
          <w:sz w:val="32"/>
          <w:szCs w:val="32"/>
          <w:shd w:val="clear" w:color="auto" w:fill="FFFFFF"/>
        </w:rPr>
        <w:t>公用经费用途</w:t>
      </w:r>
      <w:r>
        <w:rPr>
          <w:rFonts w:hint="default" w:ascii="Times New Roman" w:hAnsi="Times New Roman" w:eastAsia="方正仿宋_GBK" w:cs="Times New Roman"/>
          <w:sz w:val="32"/>
          <w:szCs w:val="32"/>
          <w:shd w:val="clear" w:color="auto" w:fill="FFFFFF"/>
        </w:rPr>
        <w:t>包括办公费、印刷费、水电费、邮电费、差旅费</w:t>
      </w:r>
      <w:r>
        <w:rPr>
          <w:rFonts w:hint="default" w:ascii="Times New Roman" w:hAnsi="Times New Roman" w:eastAsia="方正仿宋_GBK" w:cs="Times New Roman"/>
          <w:sz w:val="32"/>
          <w:szCs w:val="32"/>
          <w:shd w:val="clear" w:color="auto" w:fill="FFFFFF"/>
        </w:rPr>
        <w:t>、公务接待费、劳务费、会议费、培训费、工会经费、其他交通费用、其他商品和服务支出等。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年度无国有资本经营预算财政拨款支出。</w:t>
      </w:r>
    </w:p>
    <w:p>
      <w:pPr>
        <w:pStyle w:val="5"/>
        <w:keepLines w:val="0"/>
        <w:pageBreakBefore w:val="0"/>
        <w:shd w:val="clear" w:color="auto" w:fill="FFFFFF"/>
        <w:kinsoku/>
        <w:wordWrap/>
        <w:overflowPunct/>
        <w:topLinePunct w:val="0"/>
        <w:autoSpaceDN/>
        <w:bidi w:val="0"/>
        <w:adjustRightInd/>
        <w:spacing w:beforeAutospacing="0" w:line="594" w:lineRule="exact"/>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w:t>
      </w:r>
      <w:r>
        <w:rPr>
          <w:rStyle w:val="8"/>
          <w:rFonts w:hint="default" w:ascii="Times New Roman" w:hAnsi="Times New Roman" w:eastAsia="黑体" w:cs="Times New Roman"/>
          <w:sz w:val="32"/>
          <w:szCs w:val="32"/>
          <w:shd w:val="clear" w:color="auto" w:fill="FFFFFF"/>
        </w:rPr>
        <w:t>三公</w:t>
      </w:r>
      <w:r>
        <w:rPr>
          <w:rStyle w:val="8"/>
          <w:rFonts w:hint="default" w:ascii="Times New Roman" w:hAnsi="Times New Roman" w:eastAsia="黑体" w:cs="Times New Roman"/>
          <w:sz w:val="32"/>
          <w:szCs w:val="32"/>
          <w:shd w:val="clear" w:color="auto" w:fill="FFFFFF"/>
          <w:lang w:eastAsia="zh-CN"/>
        </w:rPr>
        <w:t>”</w:t>
      </w:r>
      <w:r>
        <w:rPr>
          <w:rStyle w:val="8"/>
          <w:rFonts w:hint="default" w:ascii="Times New Roman" w:hAnsi="Times New Roman" w:eastAsia="黑体" w:cs="Times New Roman"/>
          <w:sz w:val="32"/>
          <w:szCs w:val="32"/>
          <w:shd w:val="clear" w:color="auto" w:fill="FFFFFF"/>
        </w:rPr>
        <w:t>经费情况说明</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经费支出总体情况说明</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经费支出共计0.00万元，较年初预算数无增减，较上年支出数无增减，主要原因是本单位2023年度未发生</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w:t>
      </w:r>
      <w:r>
        <w:rPr>
          <w:rFonts w:hint="default" w:ascii="Times New Roman" w:hAnsi="Times New Roman" w:eastAsia="方正仿宋_GBK" w:cs="Times New Roman"/>
          <w:sz w:val="32"/>
          <w:szCs w:val="32"/>
          <w:shd w:val="clear" w:color="auto" w:fill="FFFFFF"/>
          <w:lang w:eastAsia="zh-CN"/>
        </w:rPr>
        <w:t>。</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经费分项支出情况</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w:t>
      </w:r>
    </w:p>
    <w:p>
      <w:pPr>
        <w:pStyle w:val="9"/>
        <w:keepNext/>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w:t>
      </w:r>
    </w:p>
    <w:p>
      <w:pPr>
        <w:pStyle w:val="9"/>
        <w:keepLines w:val="0"/>
        <w:pageBreakBefore w:val="0"/>
        <w:kinsoku/>
        <w:wordWrap/>
        <w:overflowPunct/>
        <w:topLinePunct w:val="0"/>
        <w:autoSpaceDE w:val="0"/>
        <w:autoSpaceDN/>
        <w:bidi w:val="0"/>
        <w:adjustRightInd/>
        <w:spacing w:before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三公</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经费实物量情况</w:t>
      </w:r>
    </w:p>
    <w:p>
      <w:pPr>
        <w:pStyle w:val="5"/>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我单位属于公益一类副科级事业单位，</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财政拨款会议费、培训费</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已在政府本级决算，故本级事业单位决算中无该经费数据。</w:t>
      </w:r>
      <w:r>
        <w:rPr>
          <w:rFonts w:hint="default" w:ascii="Times New Roman" w:hAnsi="Times New Roman" w:eastAsia="方正仿宋_GBK" w:cs="Times New Roman"/>
          <w:sz w:val="32"/>
          <w:szCs w:val="32"/>
          <w:shd w:val="clear" w:color="auto" w:fill="FFFFFF"/>
        </w:rPr>
        <w:t>本年度差旅费支出</w:t>
      </w:r>
      <w:r>
        <w:rPr>
          <w:rFonts w:hint="default" w:ascii="Times New Roman" w:hAnsi="Times New Roman" w:eastAsia="方正仿宋_GBK" w:cs="Times New Roman"/>
          <w:sz w:val="32"/>
          <w:szCs w:val="32"/>
          <w:shd w:val="clear" w:color="auto" w:fill="FFFFFF"/>
        </w:rPr>
        <w:t>1.23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与2023年度相比，增加0.23万元，增长23.0%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年初预算差旅费时比2023年多，故支出增多。</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keepNext/>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rPr>
        <w:t>2024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shd w:val="clear" w:color="auto" w:fill="FFFFFF"/>
        </w:rPr>
        <w:t>月</w:t>
      </w:r>
      <w:r>
        <w:rPr>
          <w:rFonts w:hint="default" w:ascii="Times New Roman" w:hAnsi="Times New Roman" w:eastAsia="方正仿宋_GBK" w:cs="Times New Roman"/>
          <w:sz w:val="32"/>
          <w:szCs w:val="32"/>
          <w:shd w:val="clear" w:color="auto" w:fill="FFFFFF"/>
        </w:rPr>
        <w:t>31</w:t>
      </w:r>
      <w:r>
        <w:rPr>
          <w:rFonts w:hint="default" w:ascii="Times New Roman" w:hAnsi="Times New Roman" w:eastAsia="方正仿宋_GBK" w:cs="Times New Roman"/>
          <w:sz w:val="32"/>
          <w:szCs w:val="32"/>
          <w:shd w:val="clear" w:color="auto" w:fill="FFFFFF"/>
        </w:rPr>
        <w:t>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辆。单价</w:t>
      </w:r>
      <w:r>
        <w:rPr>
          <w:rFonts w:hint="default" w:ascii="Times New Roman" w:hAnsi="Times New Roman" w:eastAsia="方正仿宋_GBK" w:cs="Times New Roman"/>
          <w:sz w:val="32"/>
          <w:szCs w:val="32"/>
          <w:shd w:val="clear" w:color="auto" w:fill="FFFFFF"/>
        </w:rPr>
        <w:t>100</w:t>
      </w:r>
      <w:r>
        <w:rPr>
          <w:rFonts w:hint="default" w:ascii="Times New Roman" w:hAnsi="Times New Roman" w:eastAsia="方正仿宋_GBK" w:cs="Times New Roman"/>
          <w:sz w:val="32"/>
          <w:szCs w:val="32"/>
          <w:shd w:val="clear" w:color="auto" w:fill="FFFFFF"/>
        </w:rPr>
        <w:t>万元（含）以上专用设备</w:t>
      </w:r>
      <w:r>
        <w:rPr>
          <w:rFonts w:hint="default" w:ascii="Times New Roman" w:hAnsi="Times New Roman" w:eastAsia="方正仿宋_GBK" w:cs="Times New Roman"/>
          <w:sz w:val="32"/>
          <w:szCs w:val="32"/>
          <w:shd w:val="clear" w:color="auto" w:fill="FFFFFF"/>
        </w:rPr>
        <w:t>0</w:t>
      </w:r>
      <w:r>
        <w:rPr>
          <w:rFonts w:hint="default" w:ascii="Times New Roman" w:hAnsi="Times New Roman" w:eastAsia="方正仿宋_GBK" w:cs="Times New Roman"/>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bookmarkStart w:id="2" w:name="OLE_LINK7"/>
      <w:r>
        <w:rPr>
          <w:rStyle w:val="8"/>
          <w:rFonts w:hint="default" w:ascii="Times New Roman" w:hAnsi="Times New Roman" w:eastAsia="方正仿宋_GBK" w:cs="Times New Roman"/>
          <w:sz w:val="32"/>
          <w:szCs w:val="32"/>
          <w:shd w:val="clear" w:color="auto" w:fill="FFFFFF"/>
        </w:rPr>
        <w:t xml:space="preserve">  </w:t>
      </w:r>
      <w:bookmarkStart w:id="3" w:name="OLE_LINK6"/>
      <w:r>
        <w:rPr>
          <w:rStyle w:val="8"/>
          <w:rFonts w:hint="default" w:ascii="Times New Roman" w:hAnsi="Times New Roman" w:eastAsia="黑体" w:cs="Times New Roman"/>
          <w:sz w:val="32"/>
          <w:szCs w:val="32"/>
          <w:shd w:val="clear" w:color="auto" w:fill="FFFFFF"/>
          <w:lang w:val="en-US" w:eastAsia="zh-CN"/>
        </w:rPr>
        <w:t>五</w:t>
      </w:r>
      <w:r>
        <w:rPr>
          <w:rStyle w:val="8"/>
          <w:rFonts w:hint="default" w:ascii="Times New Roman" w:hAnsi="Times New Roman" w:eastAsia="黑体" w:cs="Times New Roman"/>
          <w:sz w:val="32"/>
          <w:szCs w:val="32"/>
          <w:shd w:val="clear" w:color="auto" w:fill="FFFFFF"/>
        </w:rPr>
        <w:t>、专业名词解释</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 </w:t>
      </w: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5"/>
        <w:keepLines w:val="0"/>
        <w:pageBreakBefore w:val="0"/>
        <w:shd w:val="clear" w:color="auto" w:fill="FFFFFF"/>
        <w:kinsoku/>
        <w:wordWrap/>
        <w:overflowPunct/>
        <w:topLinePunct w:val="0"/>
        <w:autoSpaceDN/>
        <w:bidi w:val="0"/>
        <w:adjustRightInd/>
        <w:spacing w:line="640" w:lineRule="exact"/>
        <w:rPr>
          <w:rStyle w:val="8"/>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lang w:val="en-US" w:eastAsia="zh-CN"/>
        </w:rPr>
        <w:t>六</w:t>
      </w:r>
      <w:r>
        <w:rPr>
          <w:rStyle w:val="8"/>
          <w:rFonts w:hint="default" w:ascii="Times New Roman" w:hAnsi="Times New Roman" w:eastAsia="黑体" w:cs="Times New Roman"/>
          <w:sz w:val="32"/>
          <w:szCs w:val="32"/>
          <w:shd w:val="clear" w:color="auto" w:fill="FFFFFF"/>
        </w:rPr>
        <w:t>、决算公开联系方式及信息反馈渠道</w:t>
      </w:r>
    </w:p>
    <w:p>
      <w:pPr>
        <w:pStyle w:val="5"/>
        <w:keepLines w:val="0"/>
        <w:pageBreakBefore w:val="0"/>
        <w:kinsoku/>
        <w:wordWrap/>
        <w:overflowPunct/>
        <w:topLinePunct w:val="0"/>
        <w:autoSpaceDN/>
        <w:bidi w:val="0"/>
        <w:adjustRightInd/>
        <w:snapToGrid w:val="0"/>
        <w:spacing w:before="0" w:beforeAutospacing="0" w:after="0" w:afterAutospacing="0" w:line="640" w:lineRule="exact"/>
        <w:ind w:firstLine="640" w:firstLineChars="200"/>
        <w:jc w:val="both"/>
        <w:rPr>
          <w:rStyle w:val="8"/>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2211" w:right="1446" w:bottom="1531" w:left="1446"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田清</w:t>
      </w:r>
      <w:r>
        <w:rPr>
          <w:rFonts w:hint="default" w:ascii="Times New Roman" w:hAnsi="Times New Roman" w:eastAsia="方正仿宋_GBK" w:cs="Times New Roman"/>
          <w:sz w:val="32"/>
          <w:szCs w:val="32"/>
          <w:shd w:val="clear" w:color="auto" w:fill="FFFFFF"/>
          <w:lang w:val="en-US" w:eastAsia="zh-CN"/>
        </w:rPr>
        <w:t xml:space="preserve"> 023-7330</w:t>
      </w:r>
      <w:r>
        <w:rPr>
          <w:rFonts w:hint="default" w:ascii="Times New Roman" w:hAnsi="Times New Roman" w:eastAsia="方正仿宋_GBK" w:cs="Times New Roman"/>
          <w:sz w:val="32"/>
          <w:szCs w:val="32"/>
          <w:shd w:val="clear" w:color="auto" w:fill="FFFFFF"/>
          <w:lang w:val="en-US" w:eastAsia="zh-CN"/>
        </w:rPr>
        <w:t>4001</w:t>
      </w:r>
    </w:p>
    <w:bookmarkEnd w:id="2"/>
    <w:bookmarkEnd w:id="3"/>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default" w:ascii="Times New Roman" w:hAnsi="Times New Roman" w:eastAsia="方正仿宋_GBK" w:cs="Times New Roman"/>
          <w:b/>
          <w:bCs/>
          <w:color w:val="auto"/>
          <w:sz w:val="32"/>
          <w:szCs w:val="32"/>
          <w:highlight w:val="yellow"/>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石柱土家族自治县新乐乡综合行政执法大队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393,301.40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121,511.37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84,301.44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24,418.21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27,686.16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651,218.58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651,218.58</w:t>
            </w:r>
          </w:p>
        </w:tc>
      </w:tr>
    </w:tbl>
    <w:p>
      <w:pPr>
        <w:pStyle w:val="9"/>
        <w:numPr>
          <w:ilvl w:val="0"/>
          <w:numId w:val="0"/>
        </w:numPr>
        <w:autoSpaceDE w:val="0"/>
        <w:rPr>
          <w:rFonts w:hint="default" w:ascii="Times New Roman" w:hAnsi="Times New Roman" w:eastAsia="宋体" w:cs="Times New Roman"/>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石柱土家族自治县新乐乡综合行政执法大队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651,218.58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651,218.58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393,301.40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393,301.40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393,301.40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393,301.40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393,301.40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393,301.40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121,511.37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42,400.96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42,400.96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21,200.48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24,418.21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24,418.21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24,418.21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24,418.21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21,918.21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21,918.21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石柱土家族自治县新乐乡综合行政执法大队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651,218.58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651,218.58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393,301.40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393,301.40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393,301.40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393,301.40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393,301.40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393,301.40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121,511.37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42,400.96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42,400.96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21,200.48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24,418.21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24,418.21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24,418.21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24,418.21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21,918.21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21,918.21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27,686.16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27,686.16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石柱土家族自治县新乐乡综合行政执法大队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393,301.40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393,301.40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121,511.37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121,511.37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84,301.44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84,301.44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24,418.21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24,418.21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27,686.16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27,686.16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651,218.58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651,218.58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651,218.58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651,218.58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651,218.58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393,301.40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393,301.40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393,301.40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393,301.40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393,301.40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393,301.40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393,301.40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393,301.40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393,301.40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393,301.40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393,301.40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393,301.40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121,511.37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121,511.37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121,511.37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121,511.37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121,511.37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84,301.44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84,301.44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84,301.44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84,301.44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84,301.44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84,301.44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84,301.44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84,301.44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42,400.96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42,400.96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42,400.96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42,400.96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21,200.48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21,200.48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21,200.48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21,200.48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24,418.21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24,418.21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24,418.21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24,418.21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24,418.21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24,418.21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24,418.21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24,418.21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21,918.21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21,918.21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21,918.21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21,918.21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27,686.16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27,686.16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27,686.16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27,686.16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27,686.16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27,686.16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27,686.16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27,686.16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27,686.16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27,686.16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27,686.16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27,686.16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石柱土家族自治县新乐乡综合行政执法大队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528,018.58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108,819.00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62,700.00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40,263.00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262,223.00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42,400.96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21,200.48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23,071.80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2,354.18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27,686.16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551,218.58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石柱土家族自治县新乐乡综合行政执法大队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石柱土家族自治县新乐乡综合行政执法大队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石柱土家族自治县新乐乡综合行政执法大队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12,300.00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9"/>
        <w:autoSpaceDE w:val="0"/>
        <w:ind w:firstLine="0" w:firstLineChars="0"/>
        <w:rPr>
          <w:rFonts w:hint="default" w:ascii="Times New Roman" w:hAnsi="Times New Roman" w:eastAsia="宋体" w:cs="Times New Roman"/>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47CE8"/>
    <w:multiLevelType w:val="singleLevel"/>
    <w:tmpl w:val="D3847C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TQ2ZGI1NGQ3ZGYzMmVmZDZhYzZiYTc1ODExOTY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6C7E16"/>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B274A1"/>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963417"/>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8268</Words>
  <Characters>12330</Characters>
  <Lines>161</Lines>
  <Paragraphs>45</Paragraphs>
  <TotalTime>1</TotalTime>
  <ScaleCrop>false</ScaleCrop>
  <LinksUpToDate>false</LinksUpToDate>
  <CharactersWithSpaces>13562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随心</cp:lastModifiedBy>
  <dcterms:modified xsi:type="dcterms:W3CDTF">2025-10-14T08:02:33Z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BB46EABDBB2749749395447164B066B3_12</vt:lpwstr>
  </property>
</Properties>
</file>