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重庆市石柱土家族自治县新乐乡人民政府（本级）</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shd w:val="clear" w:color="auto" w:fill="FFFFFF"/>
        <w:kinsoku/>
        <w:wordWrap/>
        <w:overflowPunct/>
        <w:topLinePunct w:val="0"/>
        <w:autoSpaceDN/>
        <w:bidi w:val="0"/>
        <w:adjustRightInd/>
        <w:spacing w:line="560" w:lineRule="exact"/>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shd w:val="clear" w:color="auto" w:fill="FFFFFF"/>
        <w:kinsoku/>
        <w:wordWrap/>
        <w:overflowPunct/>
        <w:topLinePunct w:val="0"/>
        <w:autoSpaceDN/>
        <w:bidi w:val="0"/>
        <w:adjustRightInd/>
        <w:spacing w:line="560" w:lineRule="exact"/>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乡党政机构具有党委和政府两种职责，党委领导政府工作，主要是政治思想和方针政策的领导，干部的选拔，考核和监督，经济和行政工作中重大问题的决策。乡政府是基层国家行政机关，行使本行政区的行政职能。</w:t>
      </w:r>
    </w:p>
    <w:p>
      <w:pPr>
        <w:keepNext w:val="0"/>
        <w:keepLines w:val="0"/>
        <w:pageBreakBefore w:val="0"/>
        <w:widowControl w:val="0"/>
        <w:kinsoku/>
        <w:wordWrap/>
        <w:overflowPunct/>
        <w:topLinePunct w:val="0"/>
        <w:autoSpaceDE w:val="0"/>
        <w:autoSpaceDN/>
        <w:bidi w:val="0"/>
        <w:adjustRightInd/>
        <w:spacing w:line="560" w:lineRule="exact"/>
        <w:ind w:firstLine="643"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b/>
          <w:kern w:val="0"/>
          <w:sz w:val="32"/>
        </w:rPr>
        <w:t>1、党委工作职责：</w:t>
      </w:r>
      <w:r>
        <w:rPr>
          <w:rFonts w:hint="default" w:ascii="Times New Roman" w:hAnsi="Times New Roman" w:eastAsia="方正仿宋_GBK" w:cs="Times New Roman"/>
          <w:kern w:val="0"/>
          <w:sz w:val="32"/>
        </w:rPr>
        <w:t xml:space="preserve">（1）保证党的路线、方针、政策的坚决贯彻执行。（2）保证监督职能。（3）教育和管理职能。（4）服从和服务于经济建设的职能。（5）负责抓好本乡党建工作、群团工作、精神文明建设工作、新闻宣传工作。（6）完成县委、县政府交给的其他工作任务。   </w:t>
      </w:r>
    </w:p>
    <w:p>
      <w:pPr>
        <w:keepNext w:val="0"/>
        <w:keepLines w:val="0"/>
        <w:pageBreakBefore w:val="0"/>
        <w:widowControl w:val="0"/>
        <w:kinsoku/>
        <w:wordWrap/>
        <w:overflowPunct/>
        <w:topLinePunct w:val="0"/>
        <w:autoSpaceDE w:val="0"/>
        <w:autoSpaceDN/>
        <w:bidi w:val="0"/>
        <w:adjustRightInd/>
        <w:spacing w:line="560" w:lineRule="exact"/>
        <w:ind w:firstLine="643"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b/>
          <w:kern w:val="0"/>
          <w:sz w:val="32"/>
        </w:rPr>
        <w:t>2、政府职责：</w:t>
      </w:r>
      <w:r>
        <w:rPr>
          <w:rFonts w:hint="default" w:ascii="Times New Roman" w:hAnsi="Times New Roman" w:eastAsia="方正仿宋_GBK" w:cs="Times New Roman"/>
          <w:kern w:val="0"/>
          <w:sz w:val="32"/>
        </w:rPr>
        <w:t>（1）制定并组织实施村级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它事项。</w:t>
      </w:r>
    </w:p>
    <w:p>
      <w:pPr>
        <w:pStyle w:val="6"/>
        <w:keepNext w:val="0"/>
        <w:keepLines w:val="0"/>
        <w:pageBreakBefore w:val="0"/>
        <w:shd w:val="clear" w:color="auto" w:fill="FFFFFF"/>
        <w:kinsoku/>
        <w:wordWrap/>
        <w:overflowPunct/>
        <w:topLinePunct w:val="0"/>
        <w:autoSpaceDN/>
        <w:bidi w:val="0"/>
        <w:adjustRightInd/>
        <w:spacing w:line="560" w:lineRule="exact"/>
        <w:ind w:firstLine="420"/>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pPr>
        <w:keepNext w:val="0"/>
        <w:keepLines w:val="0"/>
        <w:pageBreakBefore w:val="0"/>
        <w:widowControl w:val="0"/>
        <w:kinsoku/>
        <w:wordWrap/>
        <w:overflowPunct/>
        <w:topLinePunct w:val="0"/>
        <w:autoSpaceDE w:val="0"/>
        <w:autoSpaceDN/>
        <w:bidi w:val="0"/>
        <w:adjustRightInd/>
        <w:spacing w:line="560" w:lineRule="exact"/>
        <w:ind w:firstLine="640" w:firstLineChars="200"/>
        <w:textAlignment w:val="auto"/>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根据上述职责，石柱县新乐乡人民政府设置党政办公室、党群工作办公室、经济发展办公室、民政和社会事务办公室 、规划建设管理环保办公室、财政办公室、应急管理办公室、综合行政执法办公室等8个综合办事机构。</w:t>
      </w:r>
    </w:p>
    <w:p>
      <w:pPr>
        <w:pStyle w:val="6"/>
        <w:keepNext w:val="0"/>
        <w:keepLines w:val="0"/>
        <w:pageBreakBefore w:val="0"/>
        <w:shd w:val="clear" w:color="auto" w:fill="FFFFFF"/>
        <w:kinsoku/>
        <w:wordWrap/>
        <w:overflowPunct/>
        <w:topLinePunct w:val="0"/>
        <w:autoSpaceDN/>
        <w:bidi w:val="0"/>
        <w:adjustRightInd/>
        <w:spacing w:line="560" w:lineRule="exact"/>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line="560" w:lineRule="exact"/>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keepNext w:val="0"/>
        <w:keepLines w:val="0"/>
        <w:pageBreakBefore w:val="0"/>
        <w:widowControl w:val="0"/>
        <w:kinsoku/>
        <w:wordWrap/>
        <w:overflowPunct/>
        <w:topLinePunct w:val="0"/>
        <w:autoSpaceDE w:val="0"/>
        <w:autoSpaceDN/>
        <w:bidi w:val="0"/>
        <w:adjustRightInd/>
        <w:spacing w:line="560" w:lineRule="exact"/>
        <w:ind w:firstLine="643" w:firstLineChars="200"/>
        <w:textAlignment w:val="auto"/>
        <w:rPr>
          <w:rFonts w:hint="default" w:ascii="Times New Roman" w:hAnsi="Times New Roman" w:eastAsia="Calibri" w:cs="Times New Roman"/>
          <w:sz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2023年度收入总计966.05万元，支出总计</w:t>
      </w:r>
      <w:r>
        <w:rPr>
          <w:rFonts w:hint="default" w:ascii="Times New Roman" w:hAnsi="Times New Roman" w:eastAsia="方正仿宋_GBK" w:cs="Times New Roman"/>
          <w:sz w:val="32"/>
          <w:szCs w:val="32"/>
        </w:rPr>
        <w:t>966.05</w:t>
      </w:r>
      <w:r>
        <w:rPr>
          <w:rFonts w:hint="default" w:ascii="Times New Roman" w:hAnsi="Times New Roman" w:eastAsia="方正仿宋_GBK" w:cs="Times New Roman"/>
          <w:sz w:val="32"/>
          <w:szCs w:val="32"/>
          <w:shd w:val="clear" w:color="auto" w:fill="FFFFFF"/>
        </w:rPr>
        <w:t>万元。收支较上年决算数增加28.44万元，增长3.03%，主要原因是本年度新建公路、便民服务中心等基础设施建设增加，本年收入增加28.44万元。</w:t>
      </w:r>
      <w:r>
        <w:rPr>
          <w:rFonts w:hint="default" w:ascii="Times New Roman" w:hAnsi="Times New Roman" w:eastAsia="方正仿宋_GBK" w:cs="Times New Roman"/>
          <w:color w:val="FF0000"/>
          <w:sz w:val="32"/>
          <w:szCs w:val="32"/>
          <w:shd w:val="clear" w:color="auto" w:fill="FFFFFF"/>
        </w:rPr>
        <w:t xml:space="preserve"> </w:t>
      </w:r>
      <w:r>
        <w:rPr>
          <w:rFonts w:hint="default" w:ascii="Times New Roman" w:hAnsi="Times New Roman" w:eastAsia="方正仿宋_GBK" w:cs="Times New Roman"/>
          <w:kern w:val="0"/>
          <w:sz w:val="32"/>
        </w:rPr>
        <w:t>本部分的收入总计包括收入合计、用事业基金弥补收支差额、年初结转和结余，支出总计包括本年支出合计、结余分配、年末结转和结余。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2023年度收入合计966.05万元，较上年决算数增加28.44万元，增长3.03%，主要原因是本年度新建公路、便民服务中心等基础设施建设增加，本年收入增加28.44万元。其中：财政拨款收入</w:t>
      </w:r>
      <w:r>
        <w:rPr>
          <w:rFonts w:hint="default" w:ascii="Times New Roman" w:hAnsi="Times New Roman" w:eastAsia="方正仿宋_GBK" w:cs="Times New Roman"/>
          <w:sz w:val="32"/>
          <w:szCs w:val="32"/>
        </w:rPr>
        <w:t>966.05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966.05</w:t>
      </w:r>
      <w:r>
        <w:rPr>
          <w:rFonts w:hint="default" w:ascii="Times New Roman" w:hAnsi="Times New Roman" w:eastAsia="方正仿宋_GBK" w:cs="Times New Roman"/>
          <w:sz w:val="32"/>
          <w:szCs w:val="32"/>
          <w:shd w:val="clear" w:color="auto" w:fill="FFFFFF"/>
        </w:rPr>
        <w:t>万元，较上年决算数增加28.44万元，增长3.03%，本年度新建公路、便民服务中心等基础设施建设增加，本年</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增加28.44万元。其中：基本支出</w:t>
      </w:r>
      <w:r>
        <w:rPr>
          <w:rFonts w:hint="default" w:ascii="Times New Roman" w:hAnsi="Times New Roman" w:eastAsia="方正仿宋_GBK" w:cs="Times New Roman"/>
          <w:sz w:val="32"/>
          <w:szCs w:val="32"/>
        </w:rPr>
        <w:t>356.97</w:t>
      </w:r>
      <w:r>
        <w:rPr>
          <w:rFonts w:hint="default" w:ascii="Times New Roman" w:hAnsi="Times New Roman" w:eastAsia="方正仿宋_GBK" w:cs="Times New Roman"/>
          <w:sz w:val="32"/>
          <w:szCs w:val="32"/>
          <w:shd w:val="clear" w:color="auto" w:fill="FFFFFF"/>
        </w:rPr>
        <w:t>万元，占36.95%；项目支出</w:t>
      </w:r>
      <w:r>
        <w:rPr>
          <w:rFonts w:hint="default" w:ascii="Times New Roman" w:hAnsi="Times New Roman" w:eastAsia="方正仿宋_GBK" w:cs="Times New Roman"/>
          <w:sz w:val="32"/>
          <w:szCs w:val="32"/>
        </w:rPr>
        <w:t>609.08</w:t>
      </w:r>
      <w:r>
        <w:rPr>
          <w:rFonts w:hint="default" w:ascii="Times New Roman" w:hAnsi="Times New Roman" w:eastAsia="方正仿宋_GBK" w:cs="Times New Roman"/>
          <w:sz w:val="32"/>
          <w:szCs w:val="32"/>
          <w:shd w:val="clear" w:color="auto" w:fill="FFFFFF"/>
        </w:rPr>
        <w:t>万元，占63.05%；经营支出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2023年度财政拨款收、支总计966.05万元。与2022年相比，财政拨款收、支总计各增加28.44万元，增长3.03%。主要原因是本年度新建公路、便民服务中心等基础设施建设增加，本年收入增加28.44万元。</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945.57</w:t>
      </w:r>
      <w:r>
        <w:rPr>
          <w:rFonts w:hint="default" w:ascii="Times New Roman" w:hAnsi="Times New Roman" w:eastAsia="方正仿宋_GBK" w:cs="Times New Roman"/>
          <w:sz w:val="32"/>
          <w:szCs w:val="32"/>
          <w:shd w:val="clear" w:color="auto" w:fill="FFFFFF"/>
        </w:rPr>
        <w:t>万元，较上年决算数增加38.03万元，增长4.19%。主要原因是本年度新建公路、便民服务中心等基础设施建设增加，一般公共预算财政拨款增加38.03万元。较年初预算数增加479.09万元，增长102.70%。主要原因是年初预算数只包括基本支出与小部分项目支出，年中追加项目预算支出</w:t>
      </w:r>
      <w:r>
        <w:rPr>
          <w:rFonts w:hint="default" w:ascii="Times New Roman" w:hAnsi="Times New Roman" w:eastAsia="方正仿宋_GBK" w:cs="Times New Roman"/>
          <w:sz w:val="32"/>
          <w:szCs w:val="32"/>
          <w:shd w:val="clear" w:color="auto" w:fill="FFFFFF"/>
          <w:lang w:val="en-US" w:eastAsia="zh-CN"/>
        </w:rPr>
        <w:t>479.</w:t>
      </w:r>
      <w:r>
        <w:rPr>
          <w:rFonts w:hint="default" w:ascii="Times New Roman" w:hAnsi="Times New Roman" w:eastAsia="方正仿宋_GBK" w:cs="Times New Roman"/>
          <w:sz w:val="32"/>
          <w:szCs w:val="32"/>
          <w:shd w:val="clear" w:color="auto" w:fill="FFFFFF"/>
        </w:rPr>
        <w:t>00万元，主要用于基础设施建设、深度产业结构调整、自然灾害防治与救灾、农村人居环境改善、巩固脱贫衔接乡村振兴等</w:t>
      </w:r>
      <w:r>
        <w:rPr>
          <w:rFonts w:hint="default" w:ascii="Times New Roman" w:hAnsi="Times New Roman" w:eastAsia="方正仿宋_GBK" w:cs="Times New Roman"/>
          <w:sz w:val="32"/>
          <w:szCs w:val="32"/>
          <w:shd w:val="clear" w:color="auto" w:fill="FFFFFF"/>
          <w:lang w:eastAsia="zh-CN"/>
        </w:rPr>
        <w:t>方面</w:t>
      </w:r>
      <w:r>
        <w:rPr>
          <w:rFonts w:hint="default" w:ascii="Times New Roman" w:hAnsi="Times New Roman" w:eastAsia="方正仿宋_GBK" w:cs="Times New Roman"/>
          <w:sz w:val="32"/>
          <w:szCs w:val="32"/>
          <w:shd w:val="clear" w:color="auto" w:fill="FFFFFF"/>
        </w:rPr>
        <w:t>。其中预算追加指标文号</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rPr>
        <w:t>石人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27号、石财</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20号、石财</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48号、石财</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22号、石财</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23号、石乡振发</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265号、渝财环</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26号、渝财环</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82号、渝财建</w:t>
      </w:r>
      <w:bookmarkStart w:id="0" w:name="_GoBack"/>
      <w:bookmarkEnd w:id="0"/>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267号、渝财建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98号、渝财建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2021</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356、渝财农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83号、渝财农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131号、渝财农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131号、渝财农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142号、渝财农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70号、渝财行政</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104号、渝财农〔2023〕88号、渝财预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16号、渝财债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70号、渝财债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43号</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945.57</w:t>
      </w:r>
      <w:r>
        <w:rPr>
          <w:rFonts w:hint="default" w:ascii="Times New Roman" w:hAnsi="Times New Roman" w:eastAsia="方正仿宋_GBK" w:cs="Times New Roman"/>
          <w:sz w:val="32"/>
          <w:szCs w:val="32"/>
          <w:shd w:val="clear" w:color="auto" w:fill="FFFFFF"/>
        </w:rPr>
        <w:t>万元，较上年决算数增加38.03万元，增长4.19%。主要原因是本年度新建公路、便民服务中心等基础设施建设增加，一般公共预算财政拨款</w:t>
      </w:r>
      <w:r>
        <w:rPr>
          <w:rFonts w:hint="default"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增加38.03万元。较年初预算数增加479.09万元，增长102.70%。主要原因是年初预算数只包括基本支出与小部分项目支出，年中追加项目预算支出</w:t>
      </w:r>
      <w:r>
        <w:rPr>
          <w:rFonts w:hint="default" w:ascii="Times New Roman" w:hAnsi="Times New Roman" w:eastAsia="方正仿宋_GBK" w:cs="Times New Roman"/>
          <w:sz w:val="32"/>
          <w:szCs w:val="32"/>
          <w:shd w:val="clear" w:color="auto" w:fill="FFFFFF"/>
          <w:lang w:val="en-US" w:eastAsia="zh-CN"/>
        </w:rPr>
        <w:t>479.</w:t>
      </w:r>
      <w:r>
        <w:rPr>
          <w:rFonts w:hint="default" w:ascii="Times New Roman" w:hAnsi="Times New Roman" w:eastAsia="方正仿宋_GBK" w:cs="Times New Roman"/>
          <w:sz w:val="32"/>
          <w:szCs w:val="32"/>
          <w:shd w:val="clear" w:color="auto" w:fill="FFFFFF"/>
        </w:rPr>
        <w:t>00万元，主要用于基础设施建设、深度产业结构调整、自然灾害防治与救灾、农村人居环境改善、巩固脱贫衔接乡村振兴等</w:t>
      </w:r>
      <w:r>
        <w:rPr>
          <w:rFonts w:hint="default" w:ascii="Times New Roman" w:hAnsi="Times New Roman" w:eastAsia="方正仿宋_GBK" w:cs="Times New Roman"/>
          <w:sz w:val="32"/>
          <w:szCs w:val="32"/>
          <w:shd w:val="clear" w:color="auto" w:fill="FFFFFF"/>
          <w:lang w:eastAsia="zh-CN"/>
        </w:rPr>
        <w:t>方面</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298.17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31.53</w:t>
      </w:r>
      <w:r>
        <w:rPr>
          <w:rFonts w:hint="default" w:ascii="Times New Roman" w:hAnsi="Times New Roman" w:eastAsia="方正仿宋_GBK" w:cs="Times New Roman"/>
          <w:sz w:val="32"/>
          <w:szCs w:val="32"/>
          <w:shd w:val="clear" w:color="auto" w:fill="FFFFFF"/>
        </w:rPr>
        <w:t>%，较年初预算数增加45.31万元，增长17.92%，主要原因是人员待遇调整以及基层应急维稳宣传等开支增加。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）社会保障与就业支出83.68万元，占8.85%，较年初预算数增加26.64万元，增长46.70%，主要原因是人员工资调整后补缴社保费以及整修政务大厅支出</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）卫生健康支出19.17万元，占2.03%，较年初预算数增加5.00万元，增长35.29%，主要</w:t>
      </w:r>
      <w:r>
        <w:rPr>
          <w:rFonts w:hint="eastAsia" w:ascii="Times New Roman" w:hAnsi="Times New Roman" w:eastAsia="方正仿宋_GBK" w:cs="Times New Roman"/>
          <w:sz w:val="32"/>
          <w:szCs w:val="32"/>
          <w:shd w:val="clear" w:color="auto" w:fill="FFFFFF"/>
          <w:lang w:eastAsia="zh-CN"/>
        </w:rPr>
        <w:t>原因是疫情防控期间购买物资、接送人员等费用支出增加，及因</w:t>
      </w:r>
      <w:r>
        <w:rPr>
          <w:rFonts w:hint="eastAsia" w:ascii="Times New Roman" w:hAnsi="Times New Roman" w:eastAsia="方正仿宋_GBK" w:cs="Times New Roman"/>
          <w:sz w:val="32"/>
          <w:szCs w:val="32"/>
          <w:shd w:val="clear" w:color="auto" w:fill="FFFFFF"/>
        </w:rPr>
        <w:t>在职人员待遇调整，职工基本医疗保险</w:t>
      </w:r>
      <w:r>
        <w:rPr>
          <w:rFonts w:hint="eastAsia" w:ascii="Times New Roman" w:hAnsi="Times New Roman" w:eastAsia="方正仿宋_GBK" w:cs="Times New Roman"/>
          <w:sz w:val="32"/>
          <w:szCs w:val="32"/>
          <w:shd w:val="clear" w:color="auto" w:fill="FFFFFF"/>
          <w:lang w:eastAsia="zh-CN"/>
        </w:rPr>
        <w:t>、大额医疗互助金等支出增加。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）节能环保支出4.38万元，占0.46%，较年初预算数增加4.38万元，增长100.00%，</w:t>
      </w:r>
      <w:r>
        <w:rPr>
          <w:rStyle w:val="13"/>
          <w:rFonts w:hint="default" w:ascii="Times New Roman" w:hAnsi="Times New Roman" w:eastAsia="方正仿宋_GBK" w:cs="Times New Roman"/>
          <w:b w:val="0"/>
          <w:sz w:val="32"/>
          <w:shd w:val="clear" w:color="auto" w:fill="FFFFFF"/>
        </w:rPr>
        <w:t>主</w:t>
      </w:r>
      <w:r>
        <w:rPr>
          <w:rFonts w:hint="default" w:ascii="Times New Roman" w:hAnsi="Times New Roman" w:eastAsia="方正仿宋_GBK" w:cs="Times New Roman"/>
          <w:sz w:val="32"/>
          <w:szCs w:val="32"/>
          <w:shd w:val="clear" w:color="auto" w:fill="FFFFFF"/>
        </w:rPr>
        <w:t>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rPr>
        <w:t>农村厕所革命奖补</w:t>
      </w:r>
      <w:r>
        <w:rPr>
          <w:rFonts w:hint="eastAsia" w:ascii="方正仿宋_GBK" w:hAnsi="方正仿宋_GBK" w:eastAsia="方正仿宋_GBK" w:cs="方正仿宋_GBK"/>
          <w:color w:val="auto"/>
          <w:sz w:val="32"/>
          <w:szCs w:val="32"/>
          <w:shd w:val="clear" w:color="auto" w:fill="FFFFFF"/>
          <w:lang w:eastAsia="zh-CN"/>
        </w:rPr>
        <w:t>、农村生活垃圾分类示范建设项目等支出增加</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）城乡社区支出16.00万元，占1.69%，较年初预算数增加16.00万元，增长100.00%，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rPr>
        <w:t>农村生活垃圾</w:t>
      </w:r>
      <w:r>
        <w:rPr>
          <w:rFonts w:hint="eastAsia" w:ascii="方正仿宋_GBK" w:hAnsi="方正仿宋_GBK" w:eastAsia="方正仿宋_GBK" w:cs="方正仿宋_GBK"/>
          <w:color w:val="auto"/>
          <w:sz w:val="32"/>
          <w:szCs w:val="32"/>
          <w:shd w:val="clear" w:color="auto" w:fill="FFFFFF"/>
          <w:lang w:eastAsia="zh-CN"/>
        </w:rPr>
        <w:t>收运、场镇市政管理、自然灾害救灾等支出增加。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spacing w:val="0"/>
          <w:sz w:val="25"/>
          <w:szCs w:val="25"/>
          <w:shd w:val="clear" w:fill="FFFFFF"/>
        </w:rPr>
      </w:pPr>
      <w:r>
        <w:rPr>
          <w:rFonts w:hint="default" w:ascii="方正仿宋_GBK" w:hAnsi="方正仿宋_GBK" w:eastAsia="方正仿宋_GBK" w:cs="方正仿宋_GBK"/>
          <w:color w:val="auto"/>
          <w:sz w:val="32"/>
          <w:szCs w:val="32"/>
          <w:shd w:val="clear" w:color="auto" w:fill="FFFFFF"/>
          <w:lang w:eastAsia="zh-CN"/>
        </w:rPr>
        <w:t>（</w:t>
      </w:r>
      <w:r>
        <w:rPr>
          <w:rFonts w:hint="default" w:ascii="方正仿宋_GBK" w:hAnsi="方正仿宋_GBK" w:eastAsia="方正仿宋_GBK" w:cs="方正仿宋_GBK"/>
          <w:color w:val="auto"/>
          <w:sz w:val="32"/>
          <w:szCs w:val="32"/>
          <w:shd w:val="clear" w:color="auto" w:fill="FFFFFF"/>
          <w:lang w:val="en-US" w:eastAsia="zh-CN"/>
        </w:rPr>
        <w:t>6</w:t>
      </w:r>
      <w:r>
        <w:rPr>
          <w:rFonts w:hint="default" w:ascii="方正仿宋_GBK" w:hAnsi="方正仿宋_GBK" w:eastAsia="方正仿宋_GBK" w:cs="方正仿宋_GBK"/>
          <w:color w:val="auto"/>
          <w:sz w:val="32"/>
          <w:szCs w:val="32"/>
          <w:shd w:val="clear" w:color="auto" w:fill="FFFFFF"/>
          <w:lang w:eastAsia="zh-CN"/>
        </w:rPr>
        <w:t>）农林水支出428.30万元，占45.30%，较年初预算数增加307.29万元，增</w:t>
      </w:r>
      <w:r>
        <w:rPr>
          <w:rFonts w:hint="default" w:ascii="Times New Roman" w:hAnsi="Times New Roman" w:eastAsia="方正仿宋_GBK" w:cs="Times New Roman"/>
          <w:sz w:val="32"/>
          <w:szCs w:val="32"/>
          <w:shd w:val="clear" w:color="auto" w:fill="FFFFFF"/>
        </w:rPr>
        <w:t>长253.94%</w:t>
      </w:r>
      <w:r>
        <w:rPr>
          <w:rFonts w:hint="default" w:ascii="Times New Roman" w:hAnsi="Times New Roman" w:eastAsia="方正仿宋_GBK" w:cs="Times New Roman"/>
          <w:sz w:val="32"/>
          <w:szCs w:val="32"/>
          <w:shd w:val="clear" w:color="auto" w:fill="FFFFFF"/>
          <w:lang w:val="en-US" w:eastAsia="zh-CN" w:bidi="ar-SA"/>
        </w:rPr>
        <w:t>，主要原因是用于深度产业结构调整、退耕还林整改提升、抗旱救灾、河库保洁、农村基础设施建设等支出</w:t>
      </w:r>
      <w:r>
        <w:rPr>
          <w:rFonts w:hint="eastAsia" w:ascii="Times New Roman" w:hAnsi="Times New Roman" w:eastAsia="方正仿宋_GBK" w:cs="Times New Roman"/>
          <w:sz w:val="32"/>
          <w:szCs w:val="32"/>
          <w:shd w:val="clear" w:color="auto" w:fill="FFFFFF"/>
          <w:lang w:val="en-US" w:eastAsia="zh-CN" w:bidi="ar-SA"/>
        </w:rPr>
        <w:t>增加</w:t>
      </w:r>
      <w:r>
        <w:rPr>
          <w:rFonts w:hint="default" w:ascii="Times New Roman" w:hAnsi="Times New Roman" w:eastAsia="方正仿宋_GBK" w:cs="Times New Roman"/>
          <w:i w:val="0"/>
          <w:iCs w:val="0"/>
          <w:caps w:val="0"/>
          <w:color w:val="000000"/>
          <w:spacing w:val="0"/>
          <w:sz w:val="25"/>
          <w:szCs w:val="25"/>
          <w:shd w:val="clear"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rPr>
        <w:t>60.70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6.42</w:t>
      </w:r>
      <w:r>
        <w:rPr>
          <w:rFonts w:hint="default" w:ascii="Times New Roman" w:hAnsi="Times New Roman" w:eastAsia="方正仿宋_GBK" w:cs="Times New Roman"/>
          <w:sz w:val="32"/>
          <w:szCs w:val="32"/>
          <w:shd w:val="clear" w:color="auto" w:fill="FFFFFF"/>
        </w:rPr>
        <w:t>%，较年初预算数增加60.70万元，增长100.00%，主要原因是用于农村通畅工程、农村公路水毁恢复等支出</w:t>
      </w:r>
      <w:r>
        <w:rPr>
          <w:rFonts w:hint="eastAsia"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w:t>
      </w:r>
    </w:p>
    <w:p>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住房保障支出20.35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2.15</w:t>
      </w:r>
      <w:r>
        <w:rPr>
          <w:rFonts w:hint="default" w:ascii="Times New Roman" w:hAnsi="Times New Roman" w:eastAsia="方正仿宋_GBK" w:cs="Times New Roman"/>
          <w:sz w:val="32"/>
          <w:szCs w:val="32"/>
          <w:shd w:val="clear" w:color="auto" w:fill="FFFFFF"/>
        </w:rPr>
        <w:t>%，较年初预算数减少1.04万元，下降4</w:t>
      </w:r>
      <w:r>
        <w:rPr>
          <w:rFonts w:hint="default" w:ascii="Times New Roman" w:hAnsi="Times New Roman" w:eastAsia="方正仿宋_GBK" w:cs="Times New Roman"/>
          <w:sz w:val="32"/>
          <w:szCs w:val="32"/>
          <w:shd w:val="clear" w:color="auto" w:fill="FFFFFF"/>
          <w:lang w:val="en-US" w:eastAsia="zh-CN" w:bidi="ar-SA"/>
        </w:rPr>
        <w:t>.86%，主要原因是住房公积金调标，住房公积金清算补差。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灾害防治及应急管理支出14.80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1.57</w:t>
      </w:r>
      <w:r>
        <w:rPr>
          <w:rFonts w:hint="default" w:ascii="Times New Roman" w:hAnsi="Times New Roman" w:eastAsia="方正仿宋_GBK" w:cs="Times New Roman"/>
          <w:sz w:val="32"/>
          <w:szCs w:val="32"/>
          <w:shd w:val="clear" w:color="auto" w:fill="FFFFFF"/>
        </w:rPr>
        <w:t>%，较年初预算数增加14.80万元，增长100.0</w:t>
      </w:r>
      <w:r>
        <w:rPr>
          <w:rFonts w:hint="default" w:ascii="Times New Roman" w:hAnsi="Times New Roman" w:eastAsia="方正仿宋_GBK" w:cs="Times New Roman"/>
          <w:sz w:val="32"/>
          <w:szCs w:val="32"/>
        </w:rPr>
        <w:t>0%，主要原因是应急抢险排危建设、抗旱救灾、冬春生活救助等支出</w:t>
      </w:r>
      <w:r>
        <w:rPr>
          <w:rFonts w:hint="eastAsia"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2"/>
        <w:widowControl w:val="0"/>
        <w:autoSpaceDE w:val="0"/>
        <w:spacing w:before="0" w:before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356.97</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303.89</w:t>
      </w:r>
      <w:r>
        <w:rPr>
          <w:rFonts w:hint="default" w:ascii="Times New Roman" w:hAnsi="Times New Roman" w:eastAsia="方正仿宋_GBK" w:cs="Times New Roman"/>
          <w:sz w:val="32"/>
          <w:szCs w:val="32"/>
          <w:shd w:val="clear" w:color="auto" w:fill="FFFFFF"/>
        </w:rPr>
        <w:t>万元，较上年决算数减少23.10万元，下降7.06%，主要原因是</w:t>
      </w:r>
      <w:r>
        <w:rPr>
          <w:rFonts w:hint="default" w:ascii="Times New Roman" w:hAnsi="Times New Roman" w:eastAsia="方正仿宋_GBK" w:cs="Times New Roman"/>
          <w:sz w:val="32"/>
          <w:szCs w:val="32"/>
          <w:shd w:val="clear" w:color="auto" w:fill="FFFFFF"/>
          <w:lang w:val="en-US" w:eastAsia="zh-CN"/>
        </w:rPr>
        <w:t>人员变动（</w:t>
      </w:r>
      <w:r>
        <w:rPr>
          <w:rFonts w:hint="default" w:ascii="Times New Roman" w:hAnsi="Times New Roman" w:eastAsia="方正仿宋_GBK" w:cs="Times New Roman"/>
          <w:sz w:val="32"/>
          <w:szCs w:val="32"/>
          <w:shd w:val="clear" w:color="auto" w:fill="FFFFFF"/>
        </w:rPr>
        <w:t>2023年2月商调一名四级主任科员，5月退休一名一级主任科员，9月退休一名四级调研员</w:t>
      </w:r>
      <w:r>
        <w:rPr>
          <w:rFonts w:hint="default" w:ascii="Times New Roman" w:hAnsi="Times New Roman" w:eastAsia="方正仿宋_GBK" w:cs="Times New Roman"/>
          <w:sz w:val="32"/>
          <w:szCs w:val="32"/>
          <w:shd w:val="clear" w:color="auto" w:fill="FFFFFF"/>
          <w:lang w:val="en-US" w:eastAsia="zh-CN"/>
        </w:rPr>
        <w:t>），人员经费减少</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rPr>
        <w:t>人员经费用途主要包括基本工资、津贴补贴、奖金、绩效工资、社会保障缴费、住房公积金等。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53.08</w:t>
      </w:r>
      <w:r>
        <w:rPr>
          <w:rFonts w:hint="default" w:ascii="Times New Roman" w:hAnsi="Times New Roman" w:eastAsia="方正仿宋_GBK" w:cs="Times New Roman"/>
          <w:sz w:val="32"/>
          <w:szCs w:val="32"/>
          <w:shd w:val="clear" w:color="auto" w:fill="FFFFFF"/>
        </w:rPr>
        <w:t>万元，较上年决算数减少1.08万元，下降1.99%，主要原因是政府落实“过紧日子”政策后，严格控制公用经费。</w:t>
      </w:r>
      <w:r>
        <w:rPr>
          <w:rFonts w:hint="default" w:ascii="Times New Roman" w:hAnsi="Times New Roman" w:eastAsia="方正仿宋_GBK" w:cs="Times New Roman"/>
          <w:sz w:val="32"/>
          <w:shd w:val="clear" w:color="auto" w:fill="FFFFFF"/>
        </w:rPr>
        <w:t>公用经费用途主要包括办公费、印刷费、水电费、邮电费、差旅费、公务接待费、劳务费、会议费、培训费、工会经费、公务用车运行维护费、其他交通费用、其他商品和服务支出等。</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20.48</w:t>
      </w:r>
      <w:r>
        <w:rPr>
          <w:rFonts w:hint="default" w:ascii="Times New Roman" w:hAnsi="Times New Roman" w:eastAsia="方正仿宋_GBK" w:cs="Times New Roman"/>
          <w:sz w:val="32"/>
          <w:szCs w:val="32"/>
          <w:shd w:val="clear" w:color="auto" w:fill="FFFFFF"/>
        </w:rPr>
        <w:t>万元，较上年决算数减少9.59万元，下降31.89%，主要原因是贯彻落实政府过紧日子要求，非刚性、非重点项目支出减少。本年支出</w:t>
      </w:r>
      <w:r>
        <w:rPr>
          <w:rFonts w:hint="default" w:ascii="Times New Roman" w:hAnsi="Times New Roman" w:eastAsia="方正仿宋_GBK" w:cs="Times New Roman"/>
          <w:sz w:val="32"/>
          <w:szCs w:val="32"/>
        </w:rPr>
        <w:t>20.48</w:t>
      </w:r>
      <w:r>
        <w:rPr>
          <w:rFonts w:hint="default" w:ascii="Times New Roman" w:hAnsi="Times New Roman" w:eastAsia="方正仿宋_GBK" w:cs="Times New Roman"/>
          <w:sz w:val="32"/>
          <w:szCs w:val="32"/>
          <w:shd w:val="clear" w:color="auto" w:fill="FFFFFF"/>
        </w:rPr>
        <w:t>万元，较上年决算数减少9.59万元，下降31.89%，主要原因是贯彻落实政府过紧日子要求，非刚性、非重点项目支出减少。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11.15</w:t>
      </w:r>
      <w:r>
        <w:rPr>
          <w:rFonts w:hint="default" w:ascii="Times New Roman" w:hAnsi="Times New Roman" w:eastAsia="方正仿宋_GBK" w:cs="Times New Roman"/>
          <w:sz w:val="32"/>
          <w:szCs w:val="32"/>
          <w:shd w:val="clear" w:color="auto" w:fill="FFFFFF"/>
        </w:rPr>
        <w:t>万元，较年初预算数减少1.83万元，下降14.10%，主要原因是严格落实过苦日子要求，厉行节约，加强机关管理，严管公务车使用，减少不必要的接待。较上年支出数减少1.03万元，下降8.46%，主要原因是严格落实过苦日子要求，厉行节约，加强机关管理，严管公务车使用，减少不必要的接待，</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widowControl w:val="0"/>
        <w:autoSpaceDE w:val="0"/>
        <w:spacing w:line="594" w:lineRule="exact"/>
        <w:ind w:firstLine="640" w:firstLineChars="200"/>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本单位202</w:t>
      </w:r>
      <w:r>
        <w:rPr>
          <w:rFonts w:hint="default"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rPr>
        <w:t>年度未发生因公出国（境）费用支出。</w:t>
      </w:r>
    </w:p>
    <w:p>
      <w:pPr>
        <w:widowControl w:val="0"/>
        <w:autoSpaceDE w:val="0"/>
        <w:spacing w:line="594" w:lineRule="exact"/>
        <w:ind w:firstLine="640" w:firstLineChars="200"/>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本单位202</w:t>
      </w:r>
      <w:r>
        <w:rPr>
          <w:rFonts w:hint="default"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rPr>
        <w:t>年度未发生公务车购置费支出。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8.20</w:t>
      </w:r>
      <w:r>
        <w:rPr>
          <w:rFonts w:hint="default" w:ascii="Times New Roman" w:hAnsi="Times New Roman" w:eastAsia="方正仿宋_GBK" w:cs="Times New Roman"/>
          <w:sz w:val="32"/>
          <w:szCs w:val="32"/>
          <w:shd w:val="clear" w:color="auto" w:fill="FFFFFF"/>
        </w:rPr>
        <w:t>万元，主</w:t>
      </w:r>
      <w:r>
        <w:rPr>
          <w:rFonts w:hint="default" w:ascii="Times New Roman" w:hAnsi="Times New Roman" w:eastAsia="方正仿宋_GBK" w:cs="Times New Roman"/>
          <w:kern w:val="0"/>
          <w:sz w:val="32"/>
          <w:shd w:val="clear" w:color="auto" w:fill="FFFFFF"/>
        </w:rPr>
        <w:t>主要用于机要文件交换、县内因公出行、业务检查等工作所需车辆的燃料费、维修费、过桥过路费、保险费等。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费用支出较年初预算数减少1.78万元，下降17.84%，</w:t>
      </w:r>
      <w:r>
        <w:rPr>
          <w:rFonts w:hint="default" w:ascii="Times New Roman" w:hAnsi="Times New Roman" w:eastAsia="方正仿宋_GBK" w:cs="Times New Roman"/>
          <w:kern w:val="0"/>
          <w:sz w:val="32"/>
          <w:shd w:val="clear" w:color="auto" w:fill="FFFFFF"/>
        </w:rPr>
        <w:t>主要原因是严格落实公车使用规定，严禁公车私用，公车运行维护成本下降。</w:t>
      </w:r>
      <w:r>
        <w:rPr>
          <w:rFonts w:hint="default" w:ascii="Times New Roman" w:hAnsi="Times New Roman" w:eastAsia="方正仿宋_GBK" w:cs="Times New Roman"/>
          <w:sz w:val="32"/>
          <w:szCs w:val="32"/>
          <w:shd w:val="clear" w:color="auto" w:fill="FFFFFF"/>
        </w:rPr>
        <w:t>较上年支出数减少0.57万元，下降6.50%，</w:t>
      </w:r>
      <w:r>
        <w:rPr>
          <w:rFonts w:hint="default" w:ascii="Times New Roman" w:hAnsi="Times New Roman" w:eastAsia="方正仿宋_GBK" w:cs="Times New Roman"/>
          <w:kern w:val="0"/>
          <w:sz w:val="32"/>
          <w:shd w:val="clear" w:color="auto" w:fill="FFFFFF"/>
        </w:rPr>
        <w:t>主要原因是严格落实公车使用规定，严禁公车私用，公车运行维护成本下降。</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2.95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hd w:val="clear" w:color="auto" w:fill="FFFFFF"/>
        </w:rPr>
        <w:t>主要用于接待相关部门检查指导工作发生的接待支出。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费用支出较年初预算数减少0.05万元，下降1.67%，</w:t>
      </w:r>
      <w:r>
        <w:rPr>
          <w:rFonts w:hint="default" w:ascii="Times New Roman" w:hAnsi="Times New Roman" w:eastAsia="方正仿宋_GBK" w:cs="Times New Roman"/>
          <w:sz w:val="32"/>
          <w:shd w:val="clear" w:color="auto" w:fill="FFFFFF"/>
        </w:rPr>
        <w:t>主要原因是强化公务接待支出管理，严格遵守公务接待开支范围和开支标准，严格控制陪餐人数，公务接待费下降。</w:t>
      </w:r>
      <w:r>
        <w:rPr>
          <w:rFonts w:hint="default" w:ascii="Times New Roman" w:hAnsi="Times New Roman" w:eastAsia="方正仿宋_GBK" w:cs="Times New Roman"/>
          <w:sz w:val="32"/>
          <w:szCs w:val="32"/>
          <w:shd w:val="clear" w:color="auto" w:fill="FFFFFF"/>
        </w:rPr>
        <w:t>较上年支出数减少0.46万元，下降13.49%，</w:t>
      </w:r>
      <w:r>
        <w:rPr>
          <w:rFonts w:hint="default" w:ascii="Times New Roman" w:hAnsi="Times New Roman" w:eastAsia="方正仿宋_GBK" w:cs="Times New Roman"/>
          <w:sz w:val="32"/>
          <w:shd w:val="clear" w:color="auto" w:fill="FFFFFF"/>
        </w:rPr>
        <w:t>主要原因是强化公务接待支出管理，严格遵守公务接待开支范围和开支标准，严格控制陪餐人数，公务接待费下降。</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145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800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36.82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4.10</w:t>
      </w:r>
      <w:r>
        <w:rPr>
          <w:rFonts w:hint="default" w:ascii="Times New Roman" w:hAnsi="Times New Roman" w:eastAsia="方正仿宋_GBK" w:cs="Times New Roman"/>
          <w:sz w:val="32"/>
          <w:szCs w:val="32"/>
          <w:shd w:val="clear" w:color="auto" w:fill="FFFFFF"/>
        </w:rPr>
        <w:t>万元。</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0.83</w:t>
      </w:r>
      <w:r>
        <w:rPr>
          <w:rFonts w:hint="default" w:ascii="Times New Roman" w:hAnsi="Times New Roman" w:eastAsia="方正仿宋_GBK" w:cs="Times New Roman"/>
          <w:sz w:val="32"/>
          <w:szCs w:val="32"/>
          <w:shd w:val="clear" w:color="auto" w:fill="FFFFFF"/>
        </w:rPr>
        <w:t>万元，较上年决算数减少1.67万元，下降66.80%</w:t>
      </w:r>
      <w:r>
        <w:rPr>
          <w:rFonts w:hint="default" w:ascii="Times New Roman" w:hAnsi="Times New Roman" w:eastAsia="方正仿宋_GBK" w:cs="Times New Roman"/>
          <w:sz w:val="32"/>
          <w:szCs w:val="32"/>
        </w:rPr>
        <w:t>，主要原因是贯彻落实政府过紧日子要求，整合会议，精简参会人员，减少会议开支。</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0.70</w:t>
      </w:r>
      <w:r>
        <w:rPr>
          <w:rFonts w:hint="default" w:ascii="Times New Roman" w:hAnsi="Times New Roman" w:eastAsia="方正仿宋_GBK" w:cs="Times New Roman"/>
          <w:sz w:val="32"/>
          <w:szCs w:val="32"/>
          <w:shd w:val="clear" w:color="auto" w:fill="FFFFFF"/>
        </w:rPr>
        <w:t>万元，较上年决算数减少0.30万元，下降30.00%，</w:t>
      </w:r>
      <w:r>
        <w:rPr>
          <w:rFonts w:hint="default" w:ascii="Times New Roman" w:hAnsi="Times New Roman" w:eastAsia="方正仿宋_GBK" w:cs="Times New Roman"/>
          <w:i w:val="0"/>
          <w:iCs w:val="0"/>
          <w:caps w:val="0"/>
          <w:color w:val="000000"/>
          <w:spacing w:val="0"/>
          <w:sz w:val="25"/>
          <w:szCs w:val="25"/>
          <w:shd w:val="clear" w:fill="FFFFFF"/>
        </w:rPr>
        <w:t>主</w:t>
      </w:r>
      <w:r>
        <w:rPr>
          <w:rFonts w:hint="default" w:ascii="Times New Roman" w:hAnsi="Times New Roman" w:eastAsia="方正仿宋_GBK" w:cs="Times New Roman"/>
          <w:sz w:val="32"/>
          <w:szCs w:val="32"/>
        </w:rPr>
        <w:t>要原因是贯彻落实政府过紧日子要求，压缩培训天数和会期，减少培训开支。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53.08</w:t>
      </w:r>
      <w:r>
        <w:rPr>
          <w:rFonts w:hint="default" w:ascii="Times New Roman" w:hAnsi="Times New Roman" w:eastAsia="方正仿宋_GBK" w:cs="Times New Roman"/>
          <w:sz w:val="32"/>
          <w:szCs w:val="32"/>
          <w:shd w:val="clear" w:color="auto" w:fill="FFFFFF"/>
        </w:rPr>
        <w:t>万元，机关运行经费主要用于开支办公费、电费、邮电费、差旅费、公务接待费、公务用车运行维护费、广告费、工会经费等。机关运行经费较上年支出数减少1.08万元，下降1.99%，主要原因是贯彻落实政府过紧日子要求，减少一般性支出。</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2.39</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2.39</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 xml:space="preserve"> %。主要用于采购办公电脑支出。</w:t>
      </w:r>
    </w:p>
    <w:p>
      <w:pPr>
        <w:pStyle w:val="6"/>
        <w:numPr>
          <w:ilvl w:val="0"/>
          <w:numId w:val="1"/>
        </w:numPr>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keepNext/>
        <w:keepLines w:val="0"/>
        <w:pageBreakBefore w:val="0"/>
        <w:widowControl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2"/>
        <w:keepNext/>
        <w:keepLines w:val="0"/>
        <w:pageBreakBefore w:val="0"/>
        <w:widowControl w:val="0"/>
        <w:kinsoku/>
        <w:wordWrap/>
        <w:overflowPunct/>
        <w:topLinePunct w:val="0"/>
        <w:autoSpaceDE w:val="0"/>
        <w:autoSpaceDN/>
        <w:bidi w:val="0"/>
        <w:adjustRightIn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w:t>
      </w:r>
      <w:r>
        <w:rPr>
          <w:rFonts w:hint="eastAsia" w:ascii="Times New Roman" w:hAnsi="Times New Roman" w:eastAsia="方正仿宋_GBK" w:cs="Times New Roman"/>
          <w:sz w:val="32"/>
          <w:szCs w:val="32"/>
          <w:shd w:val="clear" w:color="auto" w:fill="FFFFFF"/>
          <w:lang w:eastAsia="zh-CN"/>
        </w:rPr>
        <w:t>乡</w:t>
      </w:r>
      <w:r>
        <w:rPr>
          <w:rFonts w:hint="default" w:ascii="Times New Roman" w:hAnsi="Times New Roman" w:eastAsia="方正仿宋_GBK" w:cs="Times New Roman"/>
          <w:sz w:val="32"/>
          <w:szCs w:val="32"/>
          <w:shd w:val="clear" w:color="auto" w:fill="FFFFFF"/>
        </w:rPr>
        <w:t>对6</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588.60</w:t>
      </w:r>
      <w:r>
        <w:rPr>
          <w:rFonts w:hint="default" w:ascii="Times New Roman" w:hAnsi="Times New Roman" w:eastAsia="方正仿宋_GBK" w:cs="Times New Roman"/>
          <w:sz w:val="32"/>
          <w:szCs w:val="32"/>
          <w:shd w:val="clear" w:color="auto" w:fill="FFFFFF"/>
        </w:rPr>
        <w:t>万元。</w:t>
      </w:r>
    </w:p>
    <w:p>
      <w:pPr>
        <w:pStyle w:val="11"/>
        <w:keepNext/>
        <w:keepLines w:val="0"/>
        <w:pageBreakBefore w:val="0"/>
        <w:widowControl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keepNext/>
        <w:keepLines w:val="0"/>
        <w:pageBreakBefore w:val="0"/>
        <w:widowControl w:val="0"/>
        <w:kinsoku/>
        <w:wordWrap/>
        <w:overflowPunct/>
        <w:topLinePunct w:val="0"/>
        <w:autoSpaceDE w:val="0"/>
        <w:autoSpaceDN/>
        <w:bidi w:val="0"/>
        <w:adjustRightInd/>
        <w:spacing w:beforeAutospacing="0" w:afterAutospacing="0" w:line="596" w:lineRule="exact"/>
        <w:ind w:left="0" w:leftChars="0" w:firstLine="640" w:firstLineChars="200"/>
        <w:jc w:val="both"/>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我单位对</w:t>
      </w:r>
      <w:r>
        <w:rPr>
          <w:rFonts w:hint="default" w:ascii="Times New Roman" w:hAnsi="Times New Roman" w:eastAsia="方正仿宋_GBK" w:cs="Times New Roman"/>
          <w:sz w:val="32"/>
          <w:szCs w:val="32"/>
          <w:shd w:val="clear" w:color="auto" w:fill="FFFFFF"/>
          <w:lang w:val="en-US" w:eastAsia="zh-CN"/>
        </w:rPr>
        <w:t>石柱县新乐乡2023年黄山贡菊、皱皮木瓜等产业便道建设项目</w:t>
      </w:r>
      <w:r>
        <w:rPr>
          <w:rFonts w:hint="default" w:ascii="Times New Roman" w:hAnsi="Times New Roman" w:eastAsia="方正仿宋_GBK" w:cs="Times New Roman"/>
          <w:sz w:val="32"/>
          <w:szCs w:val="32"/>
          <w:shd w:val="clear" w:color="auto" w:fill="FFFFFF"/>
        </w:rPr>
        <w:t>开展了绩效评价，涉及财政拨款项目资金</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98</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p>
    <w:tbl>
      <w:tblPr>
        <w:tblStyle w:val="7"/>
        <w:tblW w:w="5000" w:type="pct"/>
        <w:tblInd w:w="0" w:type="dxa"/>
        <w:tblLayout w:type="autofit"/>
        <w:tblCellMar>
          <w:top w:w="0" w:type="dxa"/>
          <w:left w:w="108" w:type="dxa"/>
          <w:bottom w:w="0" w:type="dxa"/>
          <w:right w:w="108" w:type="dxa"/>
        </w:tblCellMar>
      </w:tblPr>
      <w:tblGrid>
        <w:gridCol w:w="687"/>
        <w:gridCol w:w="768"/>
        <w:gridCol w:w="1116"/>
        <w:gridCol w:w="1145"/>
        <w:gridCol w:w="1015"/>
        <w:gridCol w:w="1017"/>
        <w:gridCol w:w="572"/>
        <w:gridCol w:w="568"/>
        <w:gridCol w:w="1643"/>
      </w:tblGrid>
      <w:tr>
        <w:tblPrEx>
          <w:tblCellMar>
            <w:top w:w="0" w:type="dxa"/>
            <w:left w:w="108" w:type="dxa"/>
            <w:bottom w:w="0" w:type="dxa"/>
            <w:right w:w="108" w:type="dxa"/>
          </w:tblCellMar>
        </w:tblPrEx>
        <w:trPr>
          <w:trHeight w:val="606" w:hRule="atLeast"/>
        </w:trPr>
        <w:tc>
          <w:tcPr>
            <w:tcW w:w="5000" w:type="pct"/>
            <w:gridSpan w:val="9"/>
            <w:tcBorders>
              <w:top w:val="nil"/>
              <w:left w:val="nil"/>
              <w:bottom w:val="nil"/>
              <w:right w:val="nil"/>
              <w:tl2br w:val="nil"/>
              <w:tr2bl w:val="nil"/>
            </w:tcBorders>
            <w:vAlign w:val="center"/>
          </w:tcPr>
          <w:p>
            <w:pPr>
              <w:jc w:val="center"/>
              <w:textAlignment w:val="center"/>
              <w:rPr>
                <w:rFonts w:hint="default" w:ascii="Times New Roman" w:hAnsi="Times New Roman" w:eastAsia="方正小标宋_GBK" w:cs="Times New Roman"/>
                <w:color w:val="000000"/>
                <w:sz w:val="40"/>
              </w:rPr>
            </w:pPr>
            <w:r>
              <w:rPr>
                <w:rFonts w:hint="default" w:ascii="Times New Roman" w:hAnsi="Times New Roman" w:eastAsia="方正小标宋_GBK" w:cs="Times New Roman"/>
                <w:color w:val="000000"/>
                <w:kern w:val="0"/>
                <w:sz w:val="40"/>
              </w:rPr>
              <w:t xml:space="preserve"> </w:t>
            </w:r>
            <w:r>
              <w:rPr>
                <w:rStyle w:val="16"/>
                <w:rFonts w:hint="default" w:ascii="Times New Roman" w:hAnsi="Times New Roman" w:cs="Times New Roman"/>
              </w:rPr>
              <w:t xml:space="preserve">  202</w:t>
            </w:r>
            <w:r>
              <w:rPr>
                <w:rStyle w:val="16"/>
                <w:rFonts w:hint="default" w:ascii="Times New Roman" w:hAnsi="Times New Roman" w:eastAsia="方正小标宋_GBK" w:cs="Times New Roman"/>
                <w:lang w:val="en-US" w:eastAsia="zh-CN"/>
              </w:rPr>
              <w:t>3</w:t>
            </w:r>
            <w:r>
              <w:rPr>
                <w:rStyle w:val="16"/>
                <w:rFonts w:hint="default" w:ascii="Times New Roman" w:hAnsi="Times New Roman" w:cs="Times New Roman"/>
              </w:rPr>
              <w:t xml:space="preserve">   </w:t>
            </w:r>
            <w:r>
              <w:rPr>
                <w:rStyle w:val="17"/>
                <w:rFonts w:hint="default" w:ascii="Times New Roman" w:hAnsi="Times New Roman" w:cs="Times New Roman"/>
              </w:rPr>
              <w:t xml:space="preserve">年度政策和项目资金绩效自评表 </w:t>
            </w:r>
          </w:p>
        </w:tc>
      </w:tr>
      <w:tr>
        <w:tblPrEx>
          <w:tblCellMar>
            <w:top w:w="0" w:type="dxa"/>
            <w:left w:w="108" w:type="dxa"/>
            <w:bottom w:w="0" w:type="dxa"/>
            <w:right w:w="108" w:type="dxa"/>
          </w:tblCellMar>
        </w:tblPrEx>
        <w:trPr>
          <w:trHeight w:val="216" w:hRule="atLeast"/>
        </w:trPr>
        <w:tc>
          <w:tcPr>
            <w:tcW w:w="5000" w:type="pct"/>
            <w:gridSpan w:val="9"/>
            <w:tcBorders>
              <w:top w:val="nil"/>
              <w:left w:val="nil"/>
              <w:bottom w:val="single" w:color="000000" w:sz="4" w:space="0"/>
              <w:right w:val="nil"/>
              <w:tl2br w:val="nil"/>
              <w:tr2bl w:val="nil"/>
            </w:tcBorders>
            <w:vAlign w:val="center"/>
          </w:tcPr>
          <w:p>
            <w:pPr>
              <w:jc w:val="center"/>
              <w:rPr>
                <w:rFonts w:hint="default" w:ascii="Times New Roman" w:hAnsi="Times New Roman" w:eastAsia="方正仿宋_GBK" w:cs="Times New Roman"/>
                <w:color w:val="000000"/>
                <w:sz w:val="20"/>
              </w:rPr>
            </w:pPr>
          </w:p>
        </w:tc>
      </w:tr>
      <w:tr>
        <w:tblPrEx>
          <w:tblCellMar>
            <w:top w:w="0" w:type="dxa"/>
            <w:left w:w="108" w:type="dxa"/>
            <w:bottom w:w="0" w:type="dxa"/>
            <w:right w:w="108" w:type="dxa"/>
          </w:tblCellMar>
        </w:tblPrEx>
        <w:trPr>
          <w:trHeight w:val="444" w:hRule="atLeast"/>
        </w:trPr>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项目资金名称</w:t>
            </w:r>
          </w:p>
        </w:tc>
        <w:tc>
          <w:tcPr>
            <w:tcW w:w="192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石柱县新乐乡2023年黄山贡菊、皱皮木瓜等产业便道建设项目</w:t>
            </w:r>
          </w:p>
        </w:tc>
        <w:tc>
          <w:tcPr>
            <w:tcW w:w="931"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项目实施年度(时期)</w:t>
            </w:r>
          </w:p>
        </w:tc>
        <w:tc>
          <w:tcPr>
            <w:tcW w:w="1294"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rPr>
              <w:t>202</w:t>
            </w:r>
            <w:r>
              <w:rPr>
                <w:rFonts w:hint="default" w:ascii="Times New Roman" w:hAnsi="Times New Roman" w:cs="Times New Roman"/>
                <w:color w:val="000000"/>
                <w:kern w:val="0"/>
                <w:sz w:val="20"/>
                <w:lang w:val="en-US" w:eastAsia="zh-CN"/>
              </w:rPr>
              <w:t>3</w:t>
            </w:r>
            <w:r>
              <w:rPr>
                <w:rFonts w:hint="default" w:ascii="Times New Roman" w:hAnsi="Times New Roman" w:cs="Times New Roman"/>
                <w:color w:val="000000"/>
                <w:kern w:val="0"/>
                <w:sz w:val="20"/>
              </w:rPr>
              <w:t>年</w:t>
            </w:r>
            <w:r>
              <w:rPr>
                <w:rFonts w:hint="default" w:ascii="Times New Roman" w:hAnsi="Times New Roman" w:cs="Times New Roman"/>
                <w:color w:val="000000"/>
                <w:kern w:val="0"/>
                <w:sz w:val="20"/>
                <w:lang w:val="en-US" w:eastAsia="zh-CN"/>
              </w:rPr>
              <w:t>4月6日</w:t>
            </w:r>
          </w:p>
        </w:tc>
      </w:tr>
      <w:tr>
        <w:tblPrEx>
          <w:tblCellMar>
            <w:top w:w="0" w:type="dxa"/>
            <w:left w:w="108" w:type="dxa"/>
            <w:bottom w:w="0" w:type="dxa"/>
            <w:right w:w="108" w:type="dxa"/>
          </w:tblCellMar>
        </w:tblPrEx>
        <w:trPr>
          <w:trHeight w:val="408" w:hRule="atLeast"/>
        </w:trPr>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主管部门</w:t>
            </w:r>
          </w:p>
        </w:tc>
        <w:tc>
          <w:tcPr>
            <w:tcW w:w="192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sz w:val="20"/>
                <w:lang w:val="en-US" w:eastAsia="zh-CN"/>
              </w:rPr>
              <w:t>石柱土家族自治县民宗委</w:t>
            </w:r>
          </w:p>
        </w:tc>
        <w:tc>
          <w:tcPr>
            <w:tcW w:w="931"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实施单位</w:t>
            </w:r>
          </w:p>
        </w:tc>
        <w:tc>
          <w:tcPr>
            <w:tcW w:w="1294"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新乐乡人民政府</w:t>
            </w:r>
          </w:p>
        </w:tc>
      </w:tr>
      <w:tr>
        <w:tblPrEx>
          <w:tblCellMar>
            <w:top w:w="0" w:type="dxa"/>
            <w:left w:w="108" w:type="dxa"/>
            <w:bottom w:w="0" w:type="dxa"/>
            <w:right w:w="108" w:type="dxa"/>
          </w:tblCellMar>
        </w:tblPrEx>
        <w:trPr>
          <w:trHeight w:val="321" w:hRule="atLeast"/>
        </w:trPr>
        <w:tc>
          <w:tcPr>
            <w:tcW w:w="853" w:type="pct"/>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项目资金（万元）</w:t>
            </w:r>
          </w:p>
        </w:tc>
        <w:tc>
          <w:tcPr>
            <w:tcW w:w="132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全年预算数(A)</w:t>
            </w:r>
          </w:p>
        </w:tc>
        <w:tc>
          <w:tcPr>
            <w:tcW w:w="1859"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全年执行数（B）</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执行率（B/A,%)</w:t>
            </w:r>
          </w:p>
        </w:tc>
      </w:tr>
      <w:tr>
        <w:tblPrEx>
          <w:tblCellMar>
            <w:top w:w="0" w:type="dxa"/>
            <w:left w:w="108" w:type="dxa"/>
            <w:bottom w:w="0" w:type="dxa"/>
            <w:right w:w="108" w:type="dxa"/>
          </w:tblCellMar>
        </w:tblPrEx>
        <w:trPr>
          <w:trHeight w:val="321" w:hRule="atLeast"/>
        </w:trPr>
        <w:tc>
          <w:tcPr>
            <w:tcW w:w="853" w:type="pct"/>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总量</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100</w:t>
            </w:r>
          </w:p>
        </w:tc>
        <w:tc>
          <w:tcPr>
            <w:tcW w:w="1190"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总量</w:t>
            </w:r>
          </w:p>
        </w:tc>
        <w:tc>
          <w:tcPr>
            <w:tcW w:w="66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99.8901</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99.89</w:t>
            </w:r>
            <w:r>
              <w:rPr>
                <w:rFonts w:hint="default" w:ascii="Times New Roman" w:hAnsi="Times New Roman" w:cs="Times New Roman"/>
                <w:color w:val="000000"/>
                <w:kern w:val="0"/>
                <w:sz w:val="20"/>
              </w:rPr>
              <w:t>%</w:t>
            </w:r>
          </w:p>
        </w:tc>
      </w:tr>
      <w:tr>
        <w:tblPrEx>
          <w:tblCellMar>
            <w:top w:w="0" w:type="dxa"/>
            <w:left w:w="108" w:type="dxa"/>
            <w:bottom w:w="0" w:type="dxa"/>
            <w:right w:w="108" w:type="dxa"/>
          </w:tblCellMar>
        </w:tblPrEx>
        <w:trPr>
          <w:trHeight w:val="336" w:hRule="atLeast"/>
        </w:trPr>
        <w:tc>
          <w:tcPr>
            <w:tcW w:w="853" w:type="pct"/>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18"/>
              </w:rPr>
            </w:pPr>
            <w:r>
              <w:rPr>
                <w:rFonts w:hint="default" w:ascii="Times New Roman" w:hAnsi="Times New Roman" w:cs="Times New Roman"/>
                <w:color w:val="000000"/>
                <w:kern w:val="0"/>
                <w:sz w:val="18"/>
              </w:rPr>
              <w:t>其中：财政资金</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100</w:t>
            </w:r>
          </w:p>
        </w:tc>
        <w:tc>
          <w:tcPr>
            <w:tcW w:w="1190"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18"/>
              </w:rPr>
            </w:pPr>
            <w:r>
              <w:rPr>
                <w:rFonts w:hint="default" w:ascii="Times New Roman" w:hAnsi="Times New Roman" w:cs="Times New Roman"/>
                <w:color w:val="000000"/>
                <w:kern w:val="0"/>
                <w:sz w:val="18"/>
              </w:rPr>
              <w:t>其中：财政资金</w:t>
            </w:r>
          </w:p>
        </w:tc>
        <w:tc>
          <w:tcPr>
            <w:tcW w:w="66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99.8901</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99.89</w:t>
            </w:r>
            <w:r>
              <w:rPr>
                <w:rFonts w:hint="default" w:ascii="Times New Roman" w:hAnsi="Times New Roman" w:cs="Times New Roman"/>
                <w:color w:val="000000"/>
                <w:kern w:val="0"/>
                <w:sz w:val="20"/>
              </w:rPr>
              <w:t>%</w:t>
            </w:r>
          </w:p>
        </w:tc>
      </w:tr>
      <w:tr>
        <w:tblPrEx>
          <w:tblCellMar>
            <w:top w:w="0" w:type="dxa"/>
            <w:left w:w="108" w:type="dxa"/>
            <w:bottom w:w="0" w:type="dxa"/>
            <w:right w:w="108" w:type="dxa"/>
          </w:tblCellMar>
        </w:tblPrEx>
        <w:trPr>
          <w:trHeight w:val="321" w:hRule="atLeast"/>
        </w:trPr>
        <w:tc>
          <w:tcPr>
            <w:tcW w:w="403" w:type="pct"/>
            <w:vMerge w:val="restart"/>
            <w:tcBorders>
              <w:top w:val="single" w:color="000000" w:sz="4" w:space="0"/>
              <w:left w:val="single" w:color="000000" w:sz="4" w:space="0"/>
              <w:bottom w:val="single" w:color="000000" w:sz="4" w:space="0"/>
              <w:right w:val="nil"/>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年度总体目标</w:t>
            </w:r>
          </w:p>
        </w:tc>
        <w:tc>
          <w:tcPr>
            <w:tcW w:w="1775"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年初设定目标</w:t>
            </w:r>
          </w:p>
        </w:tc>
        <w:tc>
          <w:tcPr>
            <w:tcW w:w="1859"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全年目标实际完成情况</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自评等级(优良中差)</w:t>
            </w:r>
          </w:p>
        </w:tc>
      </w:tr>
      <w:tr>
        <w:tblPrEx>
          <w:tblCellMar>
            <w:top w:w="0" w:type="dxa"/>
            <w:left w:w="108" w:type="dxa"/>
            <w:bottom w:w="0" w:type="dxa"/>
            <w:right w:w="108" w:type="dxa"/>
          </w:tblCellMar>
        </w:tblPrEx>
        <w:trPr>
          <w:trHeight w:val="2280" w:hRule="atLeast"/>
        </w:trPr>
        <w:tc>
          <w:tcPr>
            <w:tcW w:w="403" w:type="pct"/>
            <w:vMerge w:val="continue"/>
            <w:tcBorders>
              <w:top w:val="single" w:color="000000" w:sz="4" w:space="0"/>
              <w:left w:val="single" w:color="000000" w:sz="4" w:space="0"/>
              <w:bottom w:val="single" w:color="000000" w:sz="4" w:space="0"/>
              <w:right w:val="nil"/>
              <w:tl2br w:val="nil"/>
              <w:tr2bl w:val="nil"/>
            </w:tcBorders>
            <w:vAlign w:val="center"/>
          </w:tcPr>
          <w:p>
            <w:pPr>
              <w:jc w:val="center"/>
              <w:rPr>
                <w:rFonts w:hint="default" w:ascii="Times New Roman" w:hAnsi="Times New Roman" w:cs="Times New Roman"/>
                <w:color w:val="000000"/>
                <w:sz w:val="20"/>
              </w:rPr>
            </w:pPr>
          </w:p>
        </w:tc>
        <w:tc>
          <w:tcPr>
            <w:tcW w:w="1775"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硬化红河村产业便道长2.2公里，宽3.5米，厚0.2米，C25砼，混凝土管涵2处共8米，围绕红河村发展黄山贡菊100亩，邹皮木瓜100亩，辛夷花360亩，黄精145亩。项目建成后可解决214户931人（其中脱贫户40户158人）的出现问题。</w:t>
            </w:r>
          </w:p>
        </w:tc>
        <w:tc>
          <w:tcPr>
            <w:tcW w:w="1859"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已全面完成红河村产业便道硬化项目。长2.2公里，宽3.5米，厚0.2米，C25砼，混凝土管涵2处共8米。</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优</w:t>
            </w:r>
          </w:p>
        </w:tc>
      </w:tr>
      <w:tr>
        <w:tblPrEx>
          <w:tblCellMar>
            <w:top w:w="0" w:type="dxa"/>
            <w:left w:w="108" w:type="dxa"/>
            <w:bottom w:w="0" w:type="dxa"/>
            <w:right w:w="108" w:type="dxa"/>
          </w:tblCellMar>
        </w:tblPrEx>
        <w:trPr>
          <w:trHeight w:val="522" w:hRule="atLeast"/>
        </w:trPr>
        <w:tc>
          <w:tcPr>
            <w:tcW w:w="403" w:type="pct"/>
            <w:vMerge w:val="restart"/>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绩效指标</w:t>
            </w:r>
          </w:p>
        </w:tc>
        <w:tc>
          <w:tcPr>
            <w:tcW w:w="450"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一级指标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二级指标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三级指标</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年度指标值</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实际完成值</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设计</w:t>
            </w:r>
            <w:r>
              <w:rPr>
                <w:rFonts w:hint="default" w:ascii="Times New Roman" w:hAnsi="Times New Roman" w:cs="Times New Roman"/>
                <w:color w:val="000000"/>
                <w:kern w:val="0"/>
                <w:sz w:val="20"/>
              </w:rPr>
              <w:br w:type="textWrapping"/>
            </w:r>
            <w:r>
              <w:rPr>
                <w:rFonts w:hint="default" w:ascii="Times New Roman" w:hAnsi="Times New Roman" w:cs="Times New Roman"/>
                <w:color w:val="000000"/>
                <w:kern w:val="0"/>
                <w:sz w:val="20"/>
              </w:rPr>
              <w:t>分值</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评价</w:t>
            </w:r>
            <w:r>
              <w:rPr>
                <w:rFonts w:hint="default" w:ascii="Times New Roman" w:hAnsi="Times New Roman" w:cs="Times New Roman"/>
                <w:color w:val="000000"/>
                <w:kern w:val="0"/>
                <w:sz w:val="20"/>
              </w:rPr>
              <w:br w:type="textWrapping"/>
            </w:r>
            <w:r>
              <w:rPr>
                <w:rFonts w:hint="default" w:ascii="Times New Roman" w:hAnsi="Times New Roman" w:cs="Times New Roman"/>
                <w:color w:val="000000"/>
                <w:kern w:val="0"/>
                <w:sz w:val="20"/>
              </w:rPr>
              <w:t>得分</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未完成原因和改进措施</w:t>
            </w:r>
            <w:r>
              <w:rPr>
                <w:rFonts w:hint="default" w:ascii="Times New Roman" w:hAnsi="Times New Roman" w:cs="Times New Roman"/>
                <w:color w:val="000000"/>
                <w:kern w:val="0"/>
                <w:sz w:val="20"/>
              </w:rPr>
              <w:br w:type="textWrapping"/>
            </w:r>
            <w:r>
              <w:rPr>
                <w:rFonts w:hint="default" w:ascii="Times New Roman" w:hAnsi="Times New Roman" w:cs="Times New Roman"/>
                <w:color w:val="000000"/>
                <w:kern w:val="0"/>
                <w:sz w:val="20"/>
              </w:rPr>
              <w:t>及相关说明</w:t>
            </w:r>
          </w:p>
        </w:tc>
      </w:tr>
      <w:tr>
        <w:tblPrEx>
          <w:tblCellMar>
            <w:top w:w="0" w:type="dxa"/>
            <w:left w:w="108" w:type="dxa"/>
            <w:bottom w:w="0" w:type="dxa"/>
            <w:right w:w="108" w:type="dxa"/>
          </w:tblCellMar>
        </w:tblPrEx>
        <w:trPr>
          <w:trHeight w:val="1459"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产出指标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数量指标</w:t>
            </w:r>
          </w:p>
        </w:tc>
        <w:tc>
          <w:tcPr>
            <w:tcW w:w="1862"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长2.2公里，宽3.5米，厚0.2米，C25砼，混凝土管涵2处共8米。</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10</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680"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质量指标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项目（工程）竣工验收合格率100%</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15</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15</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时效指标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cs="Times New Roman"/>
                <w:color w:val="000000"/>
                <w:kern w:val="0"/>
                <w:sz w:val="20"/>
              </w:rPr>
              <w:t>项目工期</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90</w:t>
            </w:r>
            <w:r>
              <w:rPr>
                <w:rFonts w:hint="default" w:ascii="Times New Roman" w:hAnsi="Times New Roman" w:cs="Times New Roman"/>
                <w:color w:val="000000"/>
                <w:kern w:val="0"/>
                <w:sz w:val="20"/>
              </w:rPr>
              <w:t>天</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75</w:t>
            </w:r>
            <w:r>
              <w:rPr>
                <w:rFonts w:hint="default" w:ascii="Times New Roman" w:hAnsi="Times New Roman" w:cs="Times New Roman"/>
                <w:color w:val="000000"/>
                <w:kern w:val="0"/>
                <w:sz w:val="20"/>
              </w:rPr>
              <w:t>天</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15</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15</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天气影响</w:t>
            </w: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成本指标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道路补助标准</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50万元/公里</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50万元/公里</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740"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效果指标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经济效益指标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增加群众收入</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kern w:val="0"/>
                <w:sz w:val="20"/>
              </w:rPr>
              <w:t>≧</w:t>
            </w:r>
            <w:r>
              <w:rPr>
                <w:rFonts w:hint="default" w:ascii="Times New Roman" w:hAnsi="Times New Roman" w:cs="Times New Roman"/>
                <w:color w:val="000000"/>
                <w:kern w:val="0"/>
                <w:sz w:val="20"/>
                <w:lang w:val="en-US" w:eastAsia="zh-CN"/>
              </w:rPr>
              <w:t>200元</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eastAsia="宋体" w:cs="Times New Roman"/>
                <w:color w:val="000000"/>
                <w:kern w:val="0"/>
                <w:sz w:val="20"/>
              </w:rPr>
              <w:t>≧</w:t>
            </w:r>
            <w:r>
              <w:rPr>
                <w:rFonts w:hint="default" w:ascii="Times New Roman" w:hAnsi="Times New Roman" w:cs="Times New Roman"/>
                <w:color w:val="000000"/>
                <w:kern w:val="0"/>
                <w:sz w:val="20"/>
                <w:lang w:val="en-US" w:eastAsia="zh-CN"/>
              </w:rPr>
              <w:t>200元</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eastAsia="zh-CN"/>
              </w:rPr>
            </w:pPr>
            <w:r>
              <w:rPr>
                <w:rFonts w:hint="default" w:ascii="Times New Roman" w:hAnsi="Times New Roman" w:cs="Times New Roman"/>
                <w:color w:val="000000"/>
                <w:kern w:val="0"/>
                <w:sz w:val="20"/>
                <w:lang w:val="en-US" w:eastAsia="zh-CN"/>
              </w:rPr>
              <w:t>9</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社会效益指标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贫困地区居民生产平均缩短时间</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lang w:val="en-US"/>
              </w:rPr>
            </w:pPr>
            <w:r>
              <w:rPr>
                <w:rFonts w:hint="default" w:ascii="Times New Roman" w:hAnsi="Times New Roman" w:eastAsia="宋体" w:cs="Times New Roman"/>
                <w:color w:val="000000"/>
                <w:kern w:val="0"/>
                <w:sz w:val="20"/>
              </w:rPr>
              <w:t>≧</w:t>
            </w:r>
            <w:r>
              <w:rPr>
                <w:rFonts w:hint="default" w:ascii="Times New Roman" w:hAnsi="Times New Roman" w:cs="Times New Roman"/>
                <w:color w:val="000000"/>
                <w:kern w:val="0"/>
                <w:sz w:val="20"/>
                <w:lang w:val="en-US" w:eastAsia="zh-CN"/>
              </w:rPr>
              <w:t>0.45小时</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eastAsia="宋体" w:cs="Times New Roman"/>
                <w:color w:val="000000"/>
                <w:kern w:val="0"/>
                <w:sz w:val="20"/>
              </w:rPr>
              <w:t>≧</w:t>
            </w:r>
            <w:r>
              <w:rPr>
                <w:rFonts w:hint="default" w:ascii="Times New Roman" w:hAnsi="Times New Roman" w:cs="Times New Roman"/>
                <w:color w:val="000000"/>
                <w:kern w:val="0"/>
                <w:sz w:val="20"/>
                <w:lang w:val="en-US" w:eastAsia="zh-CN"/>
              </w:rPr>
              <w:t>0.45小时</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eastAsia="zh-CN"/>
              </w:rPr>
            </w:pPr>
            <w:r>
              <w:rPr>
                <w:rFonts w:hint="default" w:ascii="Times New Roman" w:hAnsi="Times New Roman" w:cs="Times New Roman"/>
                <w:color w:val="000000"/>
                <w:kern w:val="0"/>
                <w:sz w:val="20"/>
                <w:lang w:val="en-US" w:eastAsia="zh-CN"/>
              </w:rPr>
              <w:t>9</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可持续影响指标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工程设计使用年限</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Style w:val="18"/>
                <w:rFonts w:hint="default" w:ascii="Times New Roman" w:hAnsi="Times New Roman" w:cs="Times New Roman"/>
                <w:sz w:val="24"/>
              </w:rPr>
              <w:t>≥</w:t>
            </w:r>
            <w:r>
              <w:rPr>
                <w:rStyle w:val="19"/>
                <w:rFonts w:hint="default" w:ascii="Times New Roman" w:hAnsi="Times New Roman" w:cs="Times New Roman"/>
              </w:rPr>
              <w:t>10年</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Style w:val="18"/>
                <w:rFonts w:hint="default" w:ascii="Times New Roman" w:hAnsi="Times New Roman" w:cs="Times New Roman"/>
                <w:sz w:val="24"/>
              </w:rPr>
              <w:t>≥</w:t>
            </w:r>
            <w:r>
              <w:rPr>
                <w:rStyle w:val="19"/>
                <w:rFonts w:hint="default" w:ascii="Times New Roman" w:hAnsi="Times New Roman" w:cs="Times New Roman"/>
              </w:rPr>
              <w:t>10年</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管理指标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业务管理指标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项目管理制度</w:t>
            </w:r>
          </w:p>
        </w:tc>
        <w:tc>
          <w:tcPr>
            <w:tcW w:w="10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Style w:val="18"/>
                <w:rFonts w:hint="default" w:ascii="Times New Roman" w:hAnsi="Times New Roman" w:cs="Times New Roman"/>
                <w:sz w:val="24"/>
              </w:rPr>
              <w:t>≥</w:t>
            </w:r>
            <w:r>
              <w:rPr>
                <w:rStyle w:val="19"/>
                <w:rFonts w:hint="default" w:ascii="Times New Roman" w:hAnsi="Times New Roman" w:cs="Times New Roman"/>
                <w:lang w:val="en-US" w:eastAsia="zh-CN"/>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Style w:val="18"/>
                <w:rFonts w:hint="default" w:ascii="Times New Roman" w:hAnsi="Times New Roman" w:cs="Times New Roman"/>
                <w:sz w:val="24"/>
              </w:rPr>
              <w:t>≥</w:t>
            </w:r>
            <w:r>
              <w:rPr>
                <w:rStyle w:val="19"/>
                <w:rFonts w:hint="default" w:ascii="Times New Roman" w:hAnsi="Times New Roman" w:cs="Times New Roman"/>
                <w:lang w:val="en-US" w:eastAsia="zh-CN"/>
              </w:rPr>
              <w:t>100%</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5</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5</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1300"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财务管理指标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支付进度款</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项目开工支付进度款30%，完工支付进度款70%</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项目已支付完</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5</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5</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满意度指标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社会公众或服务对象满意度指标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群众满意度</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853" w:type="pct"/>
            <w:gridSpan w:val="2"/>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合计</w:t>
            </w:r>
          </w:p>
        </w:tc>
        <w:tc>
          <w:tcPr>
            <w:tcW w:w="654"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default" w:ascii="Times New Roman" w:hAnsi="Times New Roman" w:cs="Times New Roman"/>
                <w:color w:val="000000"/>
                <w:sz w:val="20"/>
              </w:rPr>
            </w:pP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98</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678" w:hRule="atLeast"/>
        </w:trPr>
        <w:tc>
          <w:tcPr>
            <w:tcW w:w="403"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说明</w:t>
            </w:r>
          </w:p>
        </w:tc>
        <w:tc>
          <w:tcPr>
            <w:tcW w:w="4596" w:type="pct"/>
            <w:gridSpan w:val="8"/>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无</w:t>
            </w:r>
          </w:p>
        </w:tc>
      </w:tr>
    </w:tbl>
    <w:p>
      <w:pPr>
        <w:pStyle w:val="12"/>
        <w:widowControl w:val="0"/>
        <w:numPr>
          <w:ilvl w:val="0"/>
          <w:numId w:val="2"/>
        </w:numPr>
        <w:autoSpaceDE w:val="0"/>
        <w:spacing w:before="0" w:beforeAutospacing="0" w:line="594"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财政绩效评价情况</w:t>
      </w:r>
    </w:p>
    <w:p>
      <w:pPr>
        <w:pStyle w:val="12"/>
        <w:widowControl w:val="0"/>
        <w:numPr>
          <w:ilvl w:val="0"/>
          <w:numId w:val="0"/>
        </w:numPr>
        <w:autoSpaceDE w:val="0"/>
        <w:spacing w:before="0" w:beforeAutospacing="0" w:line="594" w:lineRule="exact"/>
        <w:ind w:firstLine="640" w:firstLineChars="200"/>
        <w:jc w:val="both"/>
        <w:rPr>
          <w:rFonts w:hint="default" w:ascii="Times New Roman" w:hAnsi="Times New Roman" w:eastAsia="方正仿宋_GBK" w:cs="Times New Roman"/>
          <w:b/>
          <w:sz w:val="32"/>
          <w:shd w:val="clear" w:color="auto" w:fill="FFFFFF"/>
        </w:rPr>
      </w:pPr>
      <w:r>
        <w:rPr>
          <w:rStyle w:val="20"/>
          <w:rFonts w:hint="default" w:ascii="Times New Roman" w:hAnsi="Times New Roman" w:eastAsia="方正仿宋_GBK" w:cs="Times New Roman"/>
          <w:b w:val="0"/>
          <w:sz w:val="32"/>
          <w:shd w:val="clear" w:color="auto" w:fill="FFFFFF"/>
        </w:rPr>
        <w:t>本单位无</w:t>
      </w:r>
      <w:r>
        <w:rPr>
          <w:rFonts w:hint="default" w:ascii="Times New Roman" w:hAnsi="Times New Roman" w:eastAsia="方正仿宋_GBK" w:cs="Times New Roman"/>
          <w:sz w:val="32"/>
        </w:rPr>
        <w:t>委托第三方对部门政策或项目开展重点绩效评价的项目。</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田清</w:t>
      </w:r>
      <w:r>
        <w:rPr>
          <w:rFonts w:hint="default" w:ascii="Times New Roman" w:hAnsi="Times New Roman" w:eastAsia="方正仿宋_GBK" w:cs="Times New Roman"/>
          <w:sz w:val="32"/>
          <w:szCs w:val="32"/>
          <w:shd w:val="clear" w:color="auto" w:fill="FFFFFF"/>
          <w:lang w:val="en-US" w:eastAsia="zh-CN"/>
        </w:rPr>
        <w:t>023-73304001。</w:t>
      </w:r>
    </w:p>
    <w:p>
      <w:pPr>
        <w:pStyle w:val="11"/>
        <w:autoSpaceDE w:val="0"/>
        <w:ind w:firstLine="0" w:firstLineChars="0"/>
        <w:rPr>
          <w:rStyle w:val="10"/>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重庆市石柱土家族自治县新乐乡人民政府（本级）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945.57</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298.17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83.68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428.30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966.05</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966.05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966.05</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966.05</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478"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重庆市石柱土家族自治县新乐乡人民政府（本级）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966.05</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966.05</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298.17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298.17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76.15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76.15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重庆市石柱土家族自治县新乐乡人民政府（本级）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966.05</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356.97</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609.08</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298.17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245.35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52.82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291.23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245.35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83.68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76.15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76.15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76.15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27.04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33.02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19.17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945.57</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298.17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298.17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83.68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83.68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19.17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428.30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428.30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966.05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966.05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945.57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966.05</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966.05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945.57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945.57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356.97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588.60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298.17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245.35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52.82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291.23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245.35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83.68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76.15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76.15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76.15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27.04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33.02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19.17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428.30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428.30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20.35</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286.04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53.08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62.92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55.63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72.65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27.04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33.02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20.35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16.10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303.89</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53.08</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53.08</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11.15</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11.15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53.08</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8.20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8.20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8.20</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8.20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2.95</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2.95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2.95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800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0.83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4DD8D9E8"/>
    <w:multiLevelType w:val="singleLevel"/>
    <w:tmpl w:val="4DD8D9E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ZjZTQ2ZGI1NGQ3ZGYzMmVmZDZhYzZiYTc1ODExOTYifQ=="/>
    <w:docVar w:name="KSO_WPS_MARK_KEY" w:val="b5478e22-94c1-4d76-b3c8-c89ae8b82909"/>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507D5F"/>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B87EA2"/>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3A7B58"/>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9D2727"/>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101"/>
    <w:basedOn w:val="9"/>
    <w:unhideWhenUsed/>
    <w:qFormat/>
    <w:uiPriority w:val="0"/>
    <w:rPr>
      <w:rFonts w:hint="eastAsia" w:ascii="方正小标宋_GBK" w:hAnsi="方正小标宋_GBK" w:eastAsia="方正小标宋_GBK"/>
      <w:color w:val="000000"/>
      <w:sz w:val="40"/>
      <w:szCs w:val="24"/>
      <w:u w:val="single"/>
    </w:rPr>
  </w:style>
  <w:style w:type="character" w:customStyle="1" w:styleId="17">
    <w:name w:val="font41"/>
    <w:basedOn w:val="9"/>
    <w:unhideWhenUsed/>
    <w:qFormat/>
    <w:uiPriority w:val="0"/>
    <w:rPr>
      <w:rFonts w:hint="eastAsia" w:ascii="方正小标宋_GBK" w:hAnsi="方正小标宋_GBK" w:eastAsia="方正小标宋_GBK"/>
      <w:color w:val="000000"/>
      <w:sz w:val="40"/>
      <w:szCs w:val="24"/>
    </w:rPr>
  </w:style>
  <w:style w:type="character" w:customStyle="1" w:styleId="18">
    <w:name w:val="font112"/>
    <w:basedOn w:val="9"/>
    <w:unhideWhenUsed/>
    <w:qFormat/>
    <w:uiPriority w:val="0"/>
    <w:rPr>
      <w:rFonts w:hint="default" w:ascii="Arial" w:hAnsi="Arial" w:eastAsia="宋体"/>
      <w:color w:val="000000"/>
      <w:sz w:val="20"/>
      <w:szCs w:val="24"/>
    </w:rPr>
  </w:style>
  <w:style w:type="character" w:customStyle="1" w:styleId="19">
    <w:name w:val="font121"/>
    <w:basedOn w:val="9"/>
    <w:unhideWhenUsed/>
    <w:qFormat/>
    <w:uiPriority w:val="0"/>
    <w:rPr>
      <w:rFonts w:hint="eastAsia" w:ascii="宋体" w:hAnsi="宋体" w:eastAsia="宋体"/>
      <w:color w:val="000000"/>
      <w:sz w:val="20"/>
      <w:szCs w:val="24"/>
    </w:rPr>
  </w:style>
  <w:style w:type="character" w:customStyle="1" w:styleId="20">
    <w:name w:val="16"/>
    <w:basedOn w:val="9"/>
    <w:unhideWhenUsed/>
    <w:qFormat/>
    <w:uiPriority w:val="0"/>
    <w:rPr>
      <w:rFonts w:hint="default" w:ascii="Times New Roman" w:hAnsi="Times New Roman" w:eastAsia="宋体"/>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12464</Words>
  <Characters>17039</Characters>
  <Lines>190</Lines>
  <Paragraphs>53</Paragraphs>
  <TotalTime>1</TotalTime>
  <ScaleCrop>false</ScaleCrop>
  <LinksUpToDate>false</LinksUpToDate>
  <CharactersWithSpaces>19135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随心</cp:lastModifiedBy>
  <dcterms:modified xsi:type="dcterms:W3CDTF">2024-10-11T02:09:43Z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BB46EABDBB2749749395447164B066B3_12</vt:lpwstr>
  </property>
</Properties>
</file>