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Times New Roman" w:hAnsi="Times New Roman" w:eastAsia="方正小标宋_GBK" w:cs="Times New Roman"/>
          <w:sz w:val="36"/>
          <w:szCs w:val="36"/>
          <w:shd w:val="clear" w:color="auto" w:fill="FFFFFF"/>
        </w:rPr>
      </w:pPr>
      <w:r>
        <w:rPr>
          <w:rFonts w:hint="default" w:ascii="Times New Roman" w:hAnsi="Times New Roman" w:eastAsia="方正小标宋_GBK" w:cs="Times New Roman"/>
          <w:sz w:val="36"/>
          <w:szCs w:val="36"/>
        </w:rPr>
        <w:t>重庆市石柱土家族自治县新乐乡人民政府</w:t>
      </w:r>
      <w:r>
        <w:rPr>
          <w:rFonts w:hint="default" w:ascii="Times New Roman" w:hAnsi="Times New Roman" w:eastAsia="方正小标宋_GBK" w:cs="Times New Roman"/>
          <w:sz w:val="36"/>
          <w:szCs w:val="36"/>
          <w:shd w:val="clear" w:color="auto" w:fill="FFFFFF"/>
        </w:rPr>
        <w:t>2023年度决算公开说明</w:t>
      </w:r>
    </w:p>
    <w:p>
      <w:pPr>
        <w:pStyle w:val="6"/>
        <w:shd w:val="clear" w:color="auto" w:fill="FFFFFF"/>
        <w:rPr>
          <w:rFonts w:hint="default" w:ascii="Times New Roman" w:hAnsi="Times New Roman" w:eastAsia="黑体" w:cs="Times New Roman"/>
          <w:sz w:val="32"/>
          <w:szCs w:val="32"/>
        </w:rPr>
      </w:pPr>
      <w:r>
        <w:rPr>
          <w:rStyle w:val="10"/>
          <w:rFonts w:hint="default" w:ascii="Times New Roman" w:hAnsi="Times New Roman" w:eastAsia="黑体" w:cs="Times New Roman"/>
          <w:sz w:val="32"/>
          <w:szCs w:val="32"/>
          <w:shd w:val="clear" w:color="auto" w:fill="FFFFFF"/>
        </w:rPr>
        <w:t>一、部门基本情况</w:t>
      </w:r>
    </w:p>
    <w:p>
      <w:pPr>
        <w:pStyle w:val="11"/>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rPr>
        <w:t>（一）职能职责</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ascii="方正仿宋_GBK" w:hAnsi="方正仿宋_GBK" w:eastAsia="方正仿宋_GBK" w:cs="方正仿宋_GBK"/>
          <w:i w:val="0"/>
          <w:iCs w:val="0"/>
          <w:caps w:val="0"/>
          <w:color w:val="000000"/>
          <w:spacing w:val="0"/>
          <w:sz w:val="32"/>
          <w:szCs w:val="32"/>
          <w:vertAlign w:val="baseline"/>
        </w:rPr>
        <w:t>乡党政机构具有党委和政府两种职责，党委领导政府工作，主要是政治思想和方针政策的领导，干部的选拔，考核和监督，经济和行政工作中重大问题的决策。乡政府是基层国家行政机关，行使本行政区的行政职能。</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bCs/>
          <w:i w:val="0"/>
          <w:iCs w:val="0"/>
          <w:caps w:val="0"/>
          <w:color w:val="000000"/>
          <w:spacing w:val="0"/>
          <w:sz w:val="32"/>
          <w:szCs w:val="32"/>
          <w:vertAlign w:val="baseline"/>
        </w:rPr>
        <w:t>1</w:t>
      </w:r>
      <w:r>
        <w:rPr>
          <w:rFonts w:hint="eastAsia" w:ascii="方正仿宋_GBK" w:hAnsi="方正仿宋_GBK" w:eastAsia="方正仿宋_GBK" w:cs="方正仿宋_GBK"/>
          <w:b/>
          <w:bCs/>
          <w:i w:val="0"/>
          <w:iCs w:val="0"/>
          <w:caps w:val="0"/>
          <w:color w:val="000000"/>
          <w:spacing w:val="0"/>
          <w:sz w:val="32"/>
          <w:szCs w:val="32"/>
          <w:vertAlign w:val="baseline"/>
        </w:rPr>
        <w:t>、党委工作职责：</w:t>
      </w:r>
      <w:r>
        <w:rPr>
          <w:rFonts w:hint="eastAsia" w:ascii="方正仿宋_GBK" w:hAnsi="方正仿宋_GBK" w:eastAsia="方正仿宋_GBK" w:cs="方正仿宋_GBK"/>
          <w:i w:val="0"/>
          <w:iCs w:val="0"/>
          <w:caps w:val="0"/>
          <w:color w:val="000000"/>
          <w:spacing w:val="0"/>
          <w:sz w:val="32"/>
          <w:szCs w:val="32"/>
          <w:vertAlign w:val="baseline"/>
        </w:rPr>
        <w:t>（</w:t>
      </w:r>
      <w:r>
        <w:rPr>
          <w:rFonts w:hint="default" w:ascii="Times New Roman" w:hAnsi="Times New Roman" w:eastAsia="方正仿宋_GBK" w:cs="Times New Roman"/>
          <w:i w:val="0"/>
          <w:iCs w:val="0"/>
          <w:caps w:val="0"/>
          <w:color w:val="000000"/>
          <w:spacing w:val="0"/>
          <w:sz w:val="32"/>
          <w:szCs w:val="32"/>
          <w:vertAlign w:val="baseline"/>
        </w:rPr>
        <w:t>1</w:t>
      </w:r>
      <w:r>
        <w:rPr>
          <w:rFonts w:hint="eastAsia" w:ascii="方正仿宋_GBK" w:hAnsi="方正仿宋_GBK" w:eastAsia="方正仿宋_GBK" w:cs="方正仿宋_GBK"/>
          <w:i w:val="0"/>
          <w:iCs w:val="0"/>
          <w:caps w:val="0"/>
          <w:color w:val="000000"/>
          <w:spacing w:val="0"/>
          <w:sz w:val="32"/>
          <w:szCs w:val="32"/>
          <w:vertAlign w:val="baseline"/>
        </w:rPr>
        <w:t>）保证党的路线、方针、政策的坚决贯彻执行。（</w:t>
      </w:r>
      <w:r>
        <w:rPr>
          <w:rFonts w:hint="default" w:ascii="Times New Roman" w:hAnsi="Times New Roman" w:eastAsia="方正仿宋_GBK" w:cs="Times New Roman"/>
          <w:i w:val="0"/>
          <w:iCs w:val="0"/>
          <w:caps w:val="0"/>
          <w:color w:val="000000"/>
          <w:spacing w:val="0"/>
          <w:sz w:val="32"/>
          <w:szCs w:val="32"/>
          <w:vertAlign w:val="baseline"/>
        </w:rPr>
        <w:t>2</w:t>
      </w:r>
      <w:r>
        <w:rPr>
          <w:rFonts w:hint="eastAsia" w:ascii="方正仿宋_GBK" w:hAnsi="方正仿宋_GBK" w:eastAsia="方正仿宋_GBK" w:cs="方正仿宋_GBK"/>
          <w:i w:val="0"/>
          <w:iCs w:val="0"/>
          <w:caps w:val="0"/>
          <w:color w:val="000000"/>
          <w:spacing w:val="0"/>
          <w:sz w:val="32"/>
          <w:szCs w:val="32"/>
          <w:vertAlign w:val="baseline"/>
        </w:rPr>
        <w:t>）保证监督职能。（</w:t>
      </w:r>
      <w:r>
        <w:rPr>
          <w:rFonts w:hint="default" w:ascii="Times New Roman" w:hAnsi="Times New Roman" w:eastAsia="方正仿宋_GBK" w:cs="Times New Roman"/>
          <w:i w:val="0"/>
          <w:iCs w:val="0"/>
          <w:caps w:val="0"/>
          <w:color w:val="000000"/>
          <w:spacing w:val="0"/>
          <w:sz w:val="32"/>
          <w:szCs w:val="32"/>
          <w:vertAlign w:val="baseline"/>
        </w:rPr>
        <w:t>3</w:t>
      </w:r>
      <w:r>
        <w:rPr>
          <w:rFonts w:hint="eastAsia" w:ascii="方正仿宋_GBK" w:hAnsi="方正仿宋_GBK" w:eastAsia="方正仿宋_GBK" w:cs="方正仿宋_GBK"/>
          <w:i w:val="0"/>
          <w:iCs w:val="0"/>
          <w:caps w:val="0"/>
          <w:color w:val="000000"/>
          <w:spacing w:val="0"/>
          <w:sz w:val="32"/>
          <w:szCs w:val="32"/>
          <w:vertAlign w:val="baseline"/>
        </w:rPr>
        <w:t>）教育和管理职能。（</w:t>
      </w:r>
      <w:r>
        <w:rPr>
          <w:rFonts w:hint="default" w:ascii="Times New Roman" w:hAnsi="Times New Roman" w:eastAsia="方正仿宋_GBK" w:cs="Times New Roman"/>
          <w:i w:val="0"/>
          <w:iCs w:val="0"/>
          <w:caps w:val="0"/>
          <w:color w:val="000000"/>
          <w:spacing w:val="0"/>
          <w:sz w:val="32"/>
          <w:szCs w:val="32"/>
          <w:vertAlign w:val="baseline"/>
        </w:rPr>
        <w:t>4</w:t>
      </w:r>
      <w:r>
        <w:rPr>
          <w:rFonts w:hint="eastAsia" w:ascii="方正仿宋_GBK" w:hAnsi="方正仿宋_GBK" w:eastAsia="方正仿宋_GBK" w:cs="方正仿宋_GBK"/>
          <w:i w:val="0"/>
          <w:iCs w:val="0"/>
          <w:caps w:val="0"/>
          <w:color w:val="000000"/>
          <w:spacing w:val="0"/>
          <w:sz w:val="32"/>
          <w:szCs w:val="32"/>
          <w:vertAlign w:val="baseline"/>
        </w:rPr>
        <w:t>）服从和服务于经济建设的职能。（</w:t>
      </w:r>
      <w:r>
        <w:rPr>
          <w:rFonts w:hint="default" w:ascii="Times New Roman" w:hAnsi="Times New Roman" w:eastAsia="方正仿宋_GBK" w:cs="Times New Roman"/>
          <w:i w:val="0"/>
          <w:iCs w:val="0"/>
          <w:caps w:val="0"/>
          <w:color w:val="000000"/>
          <w:spacing w:val="0"/>
          <w:sz w:val="32"/>
          <w:szCs w:val="32"/>
          <w:vertAlign w:val="baseline"/>
        </w:rPr>
        <w:t>5</w:t>
      </w:r>
      <w:r>
        <w:rPr>
          <w:rFonts w:hint="eastAsia" w:ascii="方正仿宋_GBK" w:hAnsi="方正仿宋_GBK" w:eastAsia="方正仿宋_GBK" w:cs="方正仿宋_GBK"/>
          <w:i w:val="0"/>
          <w:iCs w:val="0"/>
          <w:caps w:val="0"/>
          <w:color w:val="000000"/>
          <w:spacing w:val="0"/>
          <w:sz w:val="32"/>
          <w:szCs w:val="32"/>
          <w:vertAlign w:val="baseline"/>
        </w:rPr>
        <w:t>）负责抓好本乡党建工作、群团工作、精神文明建设工作、新闻宣传工作。（</w:t>
      </w:r>
      <w:r>
        <w:rPr>
          <w:rFonts w:hint="default" w:ascii="Times New Roman" w:hAnsi="Times New Roman" w:eastAsia="方正仿宋_GBK" w:cs="Times New Roman"/>
          <w:i w:val="0"/>
          <w:iCs w:val="0"/>
          <w:caps w:val="0"/>
          <w:color w:val="000000"/>
          <w:spacing w:val="0"/>
          <w:sz w:val="32"/>
          <w:szCs w:val="32"/>
          <w:vertAlign w:val="baseline"/>
        </w:rPr>
        <w:t>6</w:t>
      </w:r>
      <w:r>
        <w:rPr>
          <w:rFonts w:hint="eastAsia" w:ascii="方正仿宋_GBK" w:hAnsi="方正仿宋_GBK" w:eastAsia="方正仿宋_GBK" w:cs="方正仿宋_GBK"/>
          <w:i w:val="0"/>
          <w:iCs w:val="0"/>
          <w:caps w:val="0"/>
          <w:color w:val="000000"/>
          <w:spacing w:val="0"/>
          <w:sz w:val="32"/>
          <w:szCs w:val="32"/>
          <w:vertAlign w:val="baseline"/>
        </w:rPr>
        <w:t>）完成县委、县政府交给的其他工作任务。   </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default" w:ascii="Times New Roman" w:hAnsi="Times New Roman" w:cs="Times New Roman"/>
          <w:b/>
          <w:bCs/>
          <w:i w:val="0"/>
          <w:iCs w:val="0"/>
          <w:caps w:val="0"/>
          <w:color w:val="000000"/>
          <w:spacing w:val="0"/>
          <w:sz w:val="32"/>
          <w:szCs w:val="32"/>
          <w:vertAlign w:val="baseline"/>
        </w:rPr>
        <w:t>2</w:t>
      </w:r>
      <w:r>
        <w:rPr>
          <w:rFonts w:hint="eastAsia" w:ascii="方正仿宋_GBK" w:hAnsi="方正仿宋_GBK" w:eastAsia="方正仿宋_GBK" w:cs="方正仿宋_GBK"/>
          <w:b/>
          <w:bCs/>
          <w:i w:val="0"/>
          <w:iCs w:val="0"/>
          <w:caps w:val="0"/>
          <w:color w:val="000000"/>
          <w:spacing w:val="0"/>
          <w:sz w:val="32"/>
          <w:szCs w:val="32"/>
          <w:vertAlign w:val="baseline"/>
        </w:rPr>
        <w:t>、政府职责：</w:t>
      </w:r>
      <w:r>
        <w:rPr>
          <w:rFonts w:hint="eastAsia" w:ascii="方正仿宋_GBK" w:hAnsi="方正仿宋_GBK" w:eastAsia="方正仿宋_GBK" w:cs="方正仿宋_GBK"/>
          <w:i w:val="0"/>
          <w:iCs w:val="0"/>
          <w:caps w:val="0"/>
          <w:color w:val="000000"/>
          <w:spacing w:val="0"/>
          <w:sz w:val="32"/>
          <w:szCs w:val="32"/>
          <w:vertAlign w:val="baseline"/>
        </w:rPr>
        <w:t>（</w:t>
      </w:r>
      <w:r>
        <w:rPr>
          <w:rFonts w:hint="default" w:ascii="Times New Roman" w:hAnsi="Times New Roman" w:eastAsia="方正仿宋_GBK" w:cs="Times New Roman"/>
          <w:i w:val="0"/>
          <w:iCs w:val="0"/>
          <w:caps w:val="0"/>
          <w:color w:val="000000"/>
          <w:spacing w:val="0"/>
          <w:sz w:val="32"/>
          <w:szCs w:val="32"/>
          <w:vertAlign w:val="baseline"/>
        </w:rPr>
        <w:t>1</w:t>
      </w:r>
      <w:r>
        <w:rPr>
          <w:rFonts w:hint="eastAsia" w:ascii="方正仿宋_GBK" w:hAnsi="方正仿宋_GBK" w:eastAsia="方正仿宋_GBK" w:cs="方正仿宋_GBK"/>
          <w:i w:val="0"/>
          <w:iCs w:val="0"/>
          <w:caps w:val="0"/>
          <w:color w:val="000000"/>
          <w:spacing w:val="0"/>
          <w:sz w:val="32"/>
          <w:szCs w:val="32"/>
          <w:vertAlign w:val="baseline"/>
        </w:rPr>
        <w:t>）制定并组织实施村级建设规划，部署重点工程建设，地方道路建设及公共设施，水利设施的管理，负责土地、林木、水等自然资源和生态环境的保护，做好护林防火工作。（</w:t>
      </w:r>
      <w:r>
        <w:rPr>
          <w:rFonts w:hint="default" w:ascii="Times New Roman" w:hAnsi="Times New Roman" w:eastAsia="方正仿宋_GBK" w:cs="Times New Roman"/>
          <w:i w:val="0"/>
          <w:iCs w:val="0"/>
          <w:caps w:val="0"/>
          <w:color w:val="000000"/>
          <w:spacing w:val="0"/>
          <w:sz w:val="32"/>
          <w:szCs w:val="32"/>
          <w:vertAlign w:val="baseline"/>
        </w:rPr>
        <w:t>2</w:t>
      </w:r>
      <w:r>
        <w:rPr>
          <w:rFonts w:hint="eastAsia" w:ascii="方正仿宋_GBK" w:hAnsi="方正仿宋_GBK" w:eastAsia="方正仿宋_GBK" w:cs="方正仿宋_GBK"/>
          <w:i w:val="0"/>
          <w:iCs w:val="0"/>
          <w:caps w:val="0"/>
          <w:color w:val="000000"/>
          <w:spacing w:val="0"/>
          <w:sz w:val="32"/>
          <w:szCs w:val="32"/>
          <w:vertAlign w:val="baseline"/>
        </w:rPr>
        <w:t>）负责本行政区域内的民政、计划生育、文化教育、卫生、体育等社会公益事业的综合性工作，维护一切经济单位和个人的正当经济权益，取缔非法经济活动，调解和处理民事纠纷，打击刑事犯罪维护社会稳定。（</w:t>
      </w:r>
      <w:r>
        <w:rPr>
          <w:rFonts w:hint="default" w:ascii="Times New Roman" w:hAnsi="Times New Roman" w:eastAsia="方正仿宋_GBK" w:cs="Times New Roman"/>
          <w:i w:val="0"/>
          <w:iCs w:val="0"/>
          <w:caps w:val="0"/>
          <w:color w:val="000000"/>
          <w:spacing w:val="0"/>
          <w:sz w:val="32"/>
          <w:szCs w:val="32"/>
          <w:vertAlign w:val="baseline"/>
        </w:rPr>
        <w:t>3</w:t>
      </w:r>
      <w:r>
        <w:rPr>
          <w:rFonts w:hint="eastAsia" w:ascii="方正仿宋_GBK" w:hAnsi="方正仿宋_GBK" w:eastAsia="方正仿宋_GBK" w:cs="方正仿宋_GBK"/>
          <w:i w:val="0"/>
          <w:iCs w:val="0"/>
          <w:caps w:val="0"/>
          <w:color w:val="000000"/>
          <w:spacing w:val="0"/>
          <w:sz w:val="32"/>
          <w:szCs w:val="32"/>
          <w:vertAlign w:val="baseline"/>
        </w:rPr>
        <w:t>）抓好精神文明建设，丰富群众文化生活，提倡移风易俗，反对封建迷信，破除陈规陋习，树立社会主义新风尚。（</w:t>
      </w:r>
      <w:r>
        <w:rPr>
          <w:rFonts w:hint="default" w:ascii="Times New Roman" w:hAnsi="Times New Roman" w:eastAsia="方正仿宋_GBK" w:cs="Times New Roman"/>
          <w:i w:val="0"/>
          <w:iCs w:val="0"/>
          <w:caps w:val="0"/>
          <w:color w:val="000000"/>
          <w:spacing w:val="0"/>
          <w:sz w:val="32"/>
          <w:szCs w:val="32"/>
          <w:vertAlign w:val="baseline"/>
        </w:rPr>
        <w:t>4</w:t>
      </w:r>
      <w:r>
        <w:rPr>
          <w:rFonts w:hint="eastAsia" w:ascii="方正仿宋_GBK" w:hAnsi="方正仿宋_GBK" w:eastAsia="方正仿宋_GBK" w:cs="方正仿宋_GBK"/>
          <w:i w:val="0"/>
          <w:iCs w:val="0"/>
          <w:caps w:val="0"/>
          <w:color w:val="000000"/>
          <w:spacing w:val="0"/>
          <w:sz w:val="32"/>
          <w:szCs w:val="32"/>
          <w:vertAlign w:val="baseline"/>
        </w:rPr>
        <w:t>）完成上级政府交办的其他事项。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eastAsia" w:ascii="Times New Roman" w:hAnsi="Times New Roman" w:eastAsia="楷体" w:cs="Times New Roman"/>
          <w:b/>
          <w:bCs/>
          <w:sz w:val="32"/>
          <w:szCs w:val="32"/>
          <w:shd w:val="clear" w:color="auto" w:fill="FFFFFF"/>
        </w:rPr>
        <w:t>（二）机构设置</w:t>
      </w:r>
    </w:p>
    <w:p>
      <w:pPr>
        <w:pStyle w:val="6"/>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16"/>
        <w:jc w:val="both"/>
        <w:textAlignment w:val="baseline"/>
        <w:rPr>
          <w:rFonts w:hint="default" w:ascii="Times New Roman" w:hAnsi="Times New Roman" w:cs="Times New Roman"/>
          <w:i w:val="0"/>
          <w:iCs w:val="0"/>
          <w:caps w:val="0"/>
          <w:color w:val="000000"/>
          <w:spacing w:val="0"/>
          <w:sz w:val="32"/>
          <w:szCs w:val="32"/>
        </w:rPr>
      </w:pPr>
      <w:r>
        <w:rPr>
          <w:rFonts w:hint="eastAsia" w:ascii="方正仿宋_GBK" w:hAnsi="方正仿宋_GBK" w:eastAsia="方正仿宋_GBK" w:cs="方正仿宋_GBK"/>
          <w:i w:val="0"/>
          <w:iCs w:val="0"/>
          <w:caps w:val="0"/>
          <w:color w:val="000000"/>
          <w:spacing w:val="0"/>
          <w:sz w:val="32"/>
          <w:szCs w:val="32"/>
          <w:vertAlign w:val="baseline"/>
        </w:rPr>
        <w:t>根据上述职责，石柱县新乐乡人民政府设置党政办公室、党群工作办公室、经济发展办公室、民政和社会事务办公室 、规划建设管理环保办公室、财政办公室、应急管理办公室、综合行政执法办公室等</w:t>
      </w:r>
      <w:r>
        <w:rPr>
          <w:rFonts w:hint="default" w:ascii="Times New Roman" w:hAnsi="Times New Roman" w:eastAsia="方正仿宋_GBK" w:cs="Times New Roman"/>
          <w:i w:val="0"/>
          <w:iCs w:val="0"/>
          <w:caps w:val="0"/>
          <w:color w:val="000000"/>
          <w:spacing w:val="0"/>
          <w:sz w:val="32"/>
          <w:szCs w:val="32"/>
          <w:vertAlign w:val="baseline"/>
        </w:rPr>
        <w:t>8</w:t>
      </w:r>
      <w:r>
        <w:rPr>
          <w:rFonts w:hint="eastAsia" w:ascii="方正仿宋_GBK" w:hAnsi="方正仿宋_GBK" w:eastAsia="方正仿宋_GBK" w:cs="方正仿宋_GBK"/>
          <w:i w:val="0"/>
          <w:iCs w:val="0"/>
          <w:caps w:val="0"/>
          <w:color w:val="000000"/>
          <w:spacing w:val="0"/>
          <w:sz w:val="32"/>
          <w:szCs w:val="32"/>
          <w:vertAlign w:val="baseline"/>
        </w:rPr>
        <w:t>个综合办事机构；设置农业服务中心、文化服务中心、劳动就业和社会保障服务所、退役军人服务站、综合行政执法大队等</w:t>
      </w:r>
      <w:r>
        <w:rPr>
          <w:rFonts w:hint="default" w:ascii="Times New Roman" w:hAnsi="Times New Roman" w:eastAsia="方正仿宋_GBK" w:cs="Times New Roman"/>
          <w:i w:val="0"/>
          <w:iCs w:val="0"/>
          <w:caps w:val="0"/>
          <w:color w:val="000000"/>
          <w:spacing w:val="0"/>
          <w:sz w:val="32"/>
          <w:szCs w:val="32"/>
          <w:vertAlign w:val="baseline"/>
        </w:rPr>
        <w:t>5</w:t>
      </w:r>
      <w:r>
        <w:rPr>
          <w:rFonts w:hint="eastAsia" w:ascii="方正仿宋_GBK" w:hAnsi="方正仿宋_GBK" w:eastAsia="方正仿宋_GBK" w:cs="方正仿宋_GBK"/>
          <w:i w:val="0"/>
          <w:iCs w:val="0"/>
          <w:caps w:val="0"/>
          <w:color w:val="000000"/>
          <w:spacing w:val="0"/>
          <w:sz w:val="32"/>
          <w:szCs w:val="32"/>
          <w:vertAlign w:val="baseline"/>
        </w:rPr>
        <w:t>个财政全额拨款公益一类副科级事业单位。</w:t>
      </w:r>
    </w:p>
    <w:p>
      <w:pPr>
        <w:pStyle w:val="6"/>
        <w:shd w:val="clear" w:color="auto" w:fill="FFFFFF"/>
        <w:rPr>
          <w:rFonts w:hint="default" w:ascii="Times New Roman" w:hAnsi="Times New Roman" w:eastAsia="方正仿宋_GBK" w:cs="Times New Roman"/>
          <w:sz w:val="32"/>
          <w:szCs w:val="32"/>
        </w:rPr>
      </w:pPr>
      <w:r>
        <w:rPr>
          <w:rStyle w:val="10"/>
          <w:rFonts w:hint="default" w:ascii="Times New Roman" w:hAnsi="Times New Roman" w:eastAsia="黑体" w:cs="Times New Roman"/>
          <w:sz w:val="32"/>
          <w:szCs w:val="32"/>
          <w:shd w:val="clear" w:color="auto" w:fill="FFFFFF"/>
        </w:rPr>
        <w:t>二、部门决算情况说明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（一）收入支出决算总体情况说明。</w:t>
      </w:r>
    </w:p>
    <w:p>
      <w:pPr>
        <w:pStyle w:val="6"/>
        <w:keepNext/>
        <w:keepLines w:val="0"/>
        <w:pageBreakBefore w:val="0"/>
        <w:shd w:val="clear" w:color="auto" w:fill="FFFFFF"/>
        <w:kinsoku/>
        <w:wordWrap/>
        <w:overflowPunct/>
        <w:topLinePunct w:val="0"/>
        <w:autoSpaceDN/>
        <w:bidi w:val="0"/>
        <w:adjustRightInd/>
        <w:spacing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1.总体情况。</w:t>
      </w:r>
      <w:r>
        <w:rPr>
          <w:rFonts w:hint="default" w:ascii="Times New Roman" w:hAnsi="Times New Roman" w:eastAsia="方正仿宋_GBK" w:cs="Times New Roman"/>
          <w:sz w:val="32"/>
          <w:szCs w:val="32"/>
          <w:shd w:val="clear" w:color="auto" w:fill="FFFFFF"/>
        </w:rPr>
        <w:t>2023年度收入总计1153.90万元，支出总计</w:t>
      </w:r>
      <w:r>
        <w:rPr>
          <w:rFonts w:hint="default" w:ascii="Times New Roman" w:hAnsi="Times New Roman" w:eastAsia="方正仿宋_GBK" w:cs="Times New Roman"/>
          <w:sz w:val="32"/>
          <w:szCs w:val="32"/>
        </w:rPr>
        <w:t>1153.90</w:t>
      </w:r>
      <w:r>
        <w:rPr>
          <w:rFonts w:hint="default" w:ascii="Times New Roman" w:hAnsi="Times New Roman" w:eastAsia="方正仿宋_GBK" w:cs="Times New Roman"/>
          <w:sz w:val="32"/>
          <w:szCs w:val="32"/>
          <w:shd w:val="clear" w:color="auto" w:fill="FFFFFF"/>
        </w:rPr>
        <w:t>万元。收支较上年决算数增加15.67万元，增长1.38%，主要原因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lang w:eastAsia="zh-CN"/>
        </w:rPr>
        <w:t>在职人员变动，人员职务职级变动</w:t>
      </w:r>
      <w:r>
        <w:rPr>
          <w:rFonts w:hint="default" w:ascii="Times New Roman" w:hAnsi="Times New Roman" w:eastAsia="方正仿宋_GBK" w:cs="Times New Roman"/>
          <w:sz w:val="32"/>
          <w:szCs w:val="32"/>
          <w:shd w:val="clear" w:color="auto" w:fill="FFFFFF"/>
        </w:rPr>
        <w:t>，人员经费、日常公用经费增加；二是本年度新建公路、</w:t>
      </w:r>
      <w:r>
        <w:rPr>
          <w:rFonts w:hint="default" w:ascii="Times New Roman" w:hAnsi="Times New Roman" w:eastAsia="方正仿宋_GBK" w:cs="Times New Roman"/>
          <w:sz w:val="32"/>
          <w:szCs w:val="32"/>
          <w:shd w:val="clear" w:color="auto" w:fill="FFFFFF"/>
          <w:lang w:eastAsia="zh-CN"/>
        </w:rPr>
        <w:t>便民服务中心等基础设施建设项目</w:t>
      </w:r>
      <w:r>
        <w:rPr>
          <w:rFonts w:hint="default" w:ascii="Times New Roman" w:hAnsi="Times New Roman" w:eastAsia="方正仿宋_GBK" w:cs="Times New Roman"/>
          <w:sz w:val="32"/>
          <w:szCs w:val="32"/>
          <w:shd w:val="clear" w:color="auto" w:fill="FFFFFF"/>
        </w:rPr>
        <w:t>增加。</w:t>
      </w:r>
    </w:p>
    <w:p>
      <w:pPr>
        <w:pStyle w:val="6"/>
        <w:keepNext/>
        <w:keepLines w:val="0"/>
        <w:pageBreakBefore w:val="0"/>
        <w:shd w:val="clear" w:color="auto" w:fill="FFFFFF"/>
        <w:kinsoku/>
        <w:wordWrap/>
        <w:overflowPunct/>
        <w:topLinePunct w:val="0"/>
        <w:autoSpaceDN/>
        <w:bidi w:val="0"/>
        <w:adjustRightInd/>
        <w:spacing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2.收入情况。</w:t>
      </w:r>
      <w:r>
        <w:rPr>
          <w:rFonts w:hint="default" w:ascii="Times New Roman" w:hAnsi="Times New Roman" w:eastAsia="方正仿宋_GBK" w:cs="Times New Roman"/>
          <w:sz w:val="32"/>
          <w:szCs w:val="32"/>
          <w:shd w:val="clear" w:color="auto" w:fill="FFFFFF"/>
        </w:rPr>
        <w:t>2023年度收入合计1153.90万元，较上年决算数增加15.67万元，增长1.38%，主要原因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lang w:eastAsia="zh-CN"/>
        </w:rPr>
        <w:t>在职人员变动，人员职务职级变动</w:t>
      </w:r>
      <w:r>
        <w:rPr>
          <w:rFonts w:hint="default" w:ascii="Times New Roman" w:hAnsi="Times New Roman" w:eastAsia="方正仿宋_GBK" w:cs="Times New Roman"/>
          <w:sz w:val="32"/>
          <w:szCs w:val="32"/>
          <w:shd w:val="clear" w:color="auto" w:fill="FFFFFF"/>
        </w:rPr>
        <w:t>，人员经费、日常公用经费增加；二是本年度新建公路、</w:t>
      </w:r>
      <w:r>
        <w:rPr>
          <w:rFonts w:hint="default" w:ascii="Times New Roman" w:hAnsi="Times New Roman" w:eastAsia="方正仿宋_GBK" w:cs="Times New Roman"/>
          <w:sz w:val="32"/>
          <w:szCs w:val="32"/>
          <w:shd w:val="clear" w:color="auto" w:fill="FFFFFF"/>
          <w:lang w:eastAsia="zh-CN"/>
        </w:rPr>
        <w:t>便民服务中心等基础设施建设项目</w:t>
      </w:r>
      <w:r>
        <w:rPr>
          <w:rFonts w:hint="default" w:ascii="Times New Roman" w:hAnsi="Times New Roman" w:eastAsia="方正仿宋_GBK" w:cs="Times New Roman"/>
          <w:sz w:val="32"/>
          <w:szCs w:val="32"/>
          <w:shd w:val="clear" w:color="auto" w:fill="FFFFFF"/>
        </w:rPr>
        <w:t>增加。其中：财政拨款收入</w:t>
      </w:r>
      <w:r>
        <w:rPr>
          <w:rFonts w:hint="default" w:ascii="Times New Roman" w:hAnsi="Times New Roman" w:eastAsia="方正仿宋_GBK" w:cs="Times New Roman"/>
          <w:sz w:val="32"/>
          <w:szCs w:val="32"/>
        </w:rPr>
        <w:t>1153.90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100.00</w:t>
      </w:r>
      <w:r>
        <w:rPr>
          <w:rFonts w:hint="default" w:ascii="Times New Roman" w:hAnsi="Times New Roman" w:eastAsia="方正仿宋_GBK" w:cs="Times New Roman"/>
          <w:sz w:val="32"/>
          <w:szCs w:val="32"/>
          <w:shd w:val="clear" w:color="auto" w:fill="FFFFFF"/>
        </w:rPr>
        <w:t>%；事业收入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万元，占0.00%；经营收入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万元，占0.00%；其他收入</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万元，占0.00%。此外，使用非财政拨款结余和专用结余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万元，年初结转和结余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keepNext/>
        <w:keepLines w:val="0"/>
        <w:pageBreakBefore w:val="0"/>
        <w:shd w:val="clear" w:color="auto" w:fill="FFFFFF"/>
        <w:kinsoku/>
        <w:wordWrap/>
        <w:overflowPunct/>
        <w:topLinePunct w:val="0"/>
        <w:autoSpaceDN/>
        <w:bidi w:val="0"/>
        <w:adjustRightInd/>
        <w:spacing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3.支出情况。</w:t>
      </w:r>
      <w:r>
        <w:rPr>
          <w:rFonts w:hint="default" w:ascii="Times New Roman" w:hAnsi="Times New Roman" w:eastAsia="方正仿宋_GBK" w:cs="Times New Roman"/>
          <w:sz w:val="32"/>
          <w:szCs w:val="32"/>
          <w:shd w:val="clear" w:color="auto" w:fill="FFFFFF"/>
        </w:rPr>
        <w:t>2023年度支出合计</w:t>
      </w:r>
      <w:r>
        <w:rPr>
          <w:rFonts w:hint="default" w:ascii="Times New Roman" w:hAnsi="Times New Roman" w:eastAsia="方正仿宋_GBK" w:cs="Times New Roman"/>
          <w:sz w:val="32"/>
          <w:szCs w:val="32"/>
        </w:rPr>
        <w:t>1153.90</w:t>
      </w:r>
      <w:r>
        <w:rPr>
          <w:rFonts w:hint="default" w:ascii="Times New Roman" w:hAnsi="Times New Roman" w:eastAsia="方正仿宋_GBK" w:cs="Times New Roman"/>
          <w:sz w:val="32"/>
          <w:szCs w:val="32"/>
          <w:shd w:val="clear" w:color="auto" w:fill="FFFFFF"/>
        </w:rPr>
        <w:t>万元，较上年决算数增加15.67万元，增长1.38%，主要原因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lang w:eastAsia="zh-CN"/>
        </w:rPr>
        <w:t>在职人员变动，人员职务职级变动</w:t>
      </w:r>
      <w:r>
        <w:rPr>
          <w:rFonts w:hint="default" w:ascii="Times New Roman" w:hAnsi="Times New Roman" w:eastAsia="方正仿宋_GBK" w:cs="Times New Roman"/>
          <w:sz w:val="32"/>
          <w:szCs w:val="32"/>
          <w:shd w:val="clear" w:color="auto" w:fill="FFFFFF"/>
        </w:rPr>
        <w:t>，人员经费、日常公用经费增加；二是本年度新建公路、</w:t>
      </w:r>
      <w:r>
        <w:rPr>
          <w:rFonts w:hint="default" w:ascii="Times New Roman" w:hAnsi="Times New Roman" w:eastAsia="方正仿宋_GBK" w:cs="Times New Roman"/>
          <w:sz w:val="32"/>
          <w:szCs w:val="32"/>
          <w:shd w:val="clear" w:color="auto" w:fill="FFFFFF"/>
          <w:lang w:eastAsia="zh-CN"/>
        </w:rPr>
        <w:t>便民服务中心等基础设施建设项目</w:t>
      </w:r>
      <w:r>
        <w:rPr>
          <w:rFonts w:hint="default" w:ascii="Times New Roman" w:hAnsi="Times New Roman" w:eastAsia="方正仿宋_GBK" w:cs="Times New Roman"/>
          <w:sz w:val="32"/>
          <w:szCs w:val="32"/>
          <w:shd w:val="clear" w:color="auto" w:fill="FFFFFF"/>
        </w:rPr>
        <w:t>增加。其中：基本支出</w:t>
      </w:r>
      <w:r>
        <w:rPr>
          <w:rFonts w:hint="default" w:ascii="Times New Roman" w:hAnsi="Times New Roman" w:eastAsia="方正仿宋_GBK" w:cs="Times New Roman"/>
          <w:sz w:val="32"/>
          <w:szCs w:val="32"/>
        </w:rPr>
        <w:t>544.82</w:t>
      </w:r>
      <w:r>
        <w:rPr>
          <w:rFonts w:hint="default" w:ascii="Times New Roman" w:hAnsi="Times New Roman" w:eastAsia="方正仿宋_GBK" w:cs="Times New Roman"/>
          <w:sz w:val="32"/>
          <w:szCs w:val="32"/>
          <w:shd w:val="clear" w:color="auto" w:fill="FFFFFF"/>
        </w:rPr>
        <w:t>万元，占47.22%；项目支出</w:t>
      </w:r>
      <w:r>
        <w:rPr>
          <w:rFonts w:hint="default" w:ascii="Times New Roman" w:hAnsi="Times New Roman" w:eastAsia="方正仿宋_GBK" w:cs="Times New Roman"/>
          <w:sz w:val="32"/>
          <w:szCs w:val="32"/>
        </w:rPr>
        <w:t>609.08</w:t>
      </w:r>
      <w:r>
        <w:rPr>
          <w:rFonts w:hint="default" w:ascii="Times New Roman" w:hAnsi="Times New Roman" w:eastAsia="方正仿宋_GBK" w:cs="Times New Roman"/>
          <w:sz w:val="32"/>
          <w:szCs w:val="32"/>
          <w:shd w:val="clear" w:color="auto" w:fill="FFFFFF"/>
        </w:rPr>
        <w:t>万元，占52.78%；经营支出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万元，占0.00%。此外，结余分配</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4.结转结余情况。</w:t>
      </w:r>
      <w:r>
        <w:rPr>
          <w:rFonts w:hint="default" w:ascii="Times New Roman" w:hAnsi="Times New Roman" w:eastAsia="方正仿宋_GBK" w:cs="Times New Roman"/>
          <w:sz w:val="32"/>
          <w:szCs w:val="32"/>
          <w:shd w:val="clear" w:color="auto" w:fill="FFFFFF"/>
        </w:rPr>
        <w:t>2023年度年末结转和结余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万元，0，较上年决算数无增减</w:t>
      </w:r>
      <w:r>
        <w:rPr>
          <w:rFonts w:hint="default" w:ascii="Times New Roman" w:hAnsi="Times New Roman" w:eastAsia="方正仿宋_GBK" w:cs="Times New Roman"/>
          <w:sz w:val="32"/>
          <w:szCs w:val="32"/>
          <w:shd w:val="clear" w:color="auto" w:fill="FFFFFF"/>
          <w:lang w:eastAsia="zh-CN"/>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（二）财政拨款收入支出决算总体情况说明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shd w:val="clear" w:color="auto" w:fill="FFFFFF"/>
        </w:rPr>
        <w:t>2023年度财政拨款收、支总计1153.90万元。与2022年相比，财政拨款收、支总计各增加15.67万元，增长1.38%。主要原因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lang w:eastAsia="zh-CN"/>
        </w:rPr>
        <w:t>在职人员变动，人员职务职级变动</w:t>
      </w:r>
      <w:r>
        <w:rPr>
          <w:rFonts w:hint="default" w:ascii="Times New Roman" w:hAnsi="Times New Roman" w:eastAsia="方正仿宋_GBK" w:cs="Times New Roman"/>
          <w:sz w:val="32"/>
          <w:szCs w:val="32"/>
          <w:shd w:val="clear" w:color="auto" w:fill="FFFFFF"/>
        </w:rPr>
        <w:t>，人员经费、日常公用经费增加；二是本年度新建公路、</w:t>
      </w:r>
      <w:r>
        <w:rPr>
          <w:rFonts w:hint="default" w:ascii="Times New Roman" w:hAnsi="Times New Roman" w:eastAsia="方正仿宋_GBK" w:cs="Times New Roman"/>
          <w:sz w:val="32"/>
          <w:szCs w:val="32"/>
          <w:shd w:val="clear" w:color="auto" w:fill="FFFFFF"/>
          <w:lang w:eastAsia="zh-CN"/>
        </w:rPr>
        <w:t>便民服务中心等基础设施建设项目</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（三）一般公共预算财政拨款收入支出决算情况说明</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3" w:firstLineChars="200"/>
        <w:jc w:val="both"/>
        <w:textAlignment w:val="auto"/>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1.收入情况。</w:t>
      </w:r>
      <w:r>
        <w:rPr>
          <w:rFonts w:hint="default" w:ascii="Times New Roman" w:hAnsi="Times New Roman" w:eastAsia="方正仿宋_GBK" w:cs="Times New Roman"/>
          <w:sz w:val="32"/>
          <w:szCs w:val="32"/>
          <w:shd w:val="clear" w:color="auto" w:fill="FFFFFF"/>
        </w:rPr>
        <w:t>2023年度一般公共预算财政拨款收入</w:t>
      </w:r>
      <w:r>
        <w:rPr>
          <w:rFonts w:hint="default" w:ascii="Times New Roman" w:hAnsi="Times New Roman" w:eastAsia="方正仿宋_GBK" w:cs="Times New Roman"/>
          <w:sz w:val="32"/>
          <w:szCs w:val="32"/>
        </w:rPr>
        <w:t>1133.42</w:t>
      </w:r>
      <w:r>
        <w:rPr>
          <w:rFonts w:hint="default" w:ascii="Times New Roman" w:hAnsi="Times New Roman" w:eastAsia="方正仿宋_GBK" w:cs="Times New Roman"/>
          <w:sz w:val="32"/>
          <w:szCs w:val="32"/>
          <w:shd w:val="clear" w:color="auto" w:fill="FFFFFF"/>
        </w:rPr>
        <w:t>万元，较上年决算数增加25.26万元，增长2.28%。主要原因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lang w:eastAsia="zh-CN"/>
        </w:rPr>
        <w:t>在职人员变动，人员职务职级变动</w:t>
      </w:r>
      <w:r>
        <w:rPr>
          <w:rFonts w:hint="default" w:ascii="Times New Roman" w:hAnsi="Times New Roman" w:eastAsia="方正仿宋_GBK" w:cs="Times New Roman"/>
          <w:sz w:val="32"/>
          <w:szCs w:val="32"/>
          <w:shd w:val="clear" w:color="auto" w:fill="FFFFFF"/>
        </w:rPr>
        <w:t>，人员经费、日常公用经费增加；二是本年度新建公路、</w:t>
      </w:r>
      <w:r>
        <w:rPr>
          <w:rFonts w:hint="default" w:ascii="Times New Roman" w:hAnsi="Times New Roman" w:eastAsia="方正仿宋_GBK" w:cs="Times New Roman"/>
          <w:sz w:val="32"/>
          <w:szCs w:val="32"/>
          <w:shd w:val="clear" w:color="auto" w:fill="FFFFFF"/>
          <w:lang w:eastAsia="zh-CN"/>
        </w:rPr>
        <w:t>便民服务中心等基础设施建设项目</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较年初预算数增加497.72万元，增长78.29%。主要原因是年初预算数只包括基本支出与小部分项目支出，年中追加预算支出</w:t>
      </w:r>
      <w:r>
        <w:rPr>
          <w:rFonts w:hint="default" w:ascii="Times New Roman" w:hAnsi="Times New Roman" w:eastAsia="方正仿宋_GBK" w:cs="Times New Roman"/>
          <w:sz w:val="32"/>
          <w:szCs w:val="32"/>
          <w:shd w:val="clear" w:color="auto" w:fill="FFFFFF"/>
          <w:lang w:val="en-US" w:eastAsia="zh-CN"/>
        </w:rPr>
        <w:t>497.72</w:t>
      </w:r>
      <w:r>
        <w:rPr>
          <w:rFonts w:hint="default" w:ascii="Times New Roman" w:hAnsi="Times New Roman" w:eastAsia="方正仿宋_GBK" w:cs="Times New Roman"/>
          <w:sz w:val="32"/>
          <w:szCs w:val="32"/>
          <w:shd w:val="clear" w:color="auto" w:fill="FFFFFF"/>
        </w:rPr>
        <w:t>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。其中预算追加指标文号</w:t>
      </w:r>
      <w:r>
        <w:rPr>
          <w:rFonts w:hint="default" w:ascii="Times New Roman" w:hAnsi="Times New Roman" w:eastAsia="方正仿宋_GBK" w:cs="Times New Roman"/>
          <w:sz w:val="32"/>
          <w:szCs w:val="32"/>
          <w:shd w:val="clear" w:color="auto" w:fill="FFFFFF"/>
          <w:lang w:eastAsia="zh-CN"/>
        </w:rPr>
        <w:t>为</w:t>
      </w:r>
      <w:r>
        <w:rPr>
          <w:rFonts w:hint="default" w:ascii="Times New Roman" w:hAnsi="Times New Roman" w:eastAsia="方正仿宋_GBK" w:cs="Times New Roman"/>
          <w:sz w:val="32"/>
          <w:szCs w:val="32"/>
          <w:shd w:val="clear" w:color="auto" w:fill="FFFFFF"/>
        </w:rPr>
        <w:t>石人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2023〕27号、石财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48号、石财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22号、石财</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23号、石乡振发</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265号、渝财环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26号、渝财环</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82号、渝财建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267号、渝财建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98号、渝财建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2021</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356、渝财农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83号、渝财农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131号、渝财农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2020</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131号、渝财农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142号、渝财农</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70号、渝财行政</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104号、渝财农〔2023〕88号、渝财预</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16号、渝财债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2022</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70号、渝财债</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43号</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此外，年初财政拨款结转和结余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2.支出情况。</w:t>
      </w:r>
      <w:r>
        <w:rPr>
          <w:rFonts w:hint="default" w:ascii="Times New Roman" w:hAnsi="Times New Roman" w:eastAsia="方正仿宋_GBK" w:cs="Times New Roman"/>
          <w:sz w:val="32"/>
          <w:szCs w:val="32"/>
          <w:shd w:val="clear" w:color="auto" w:fill="FFFFFF"/>
        </w:rPr>
        <w:t>2023年度一般公共预算财政拨款支出</w:t>
      </w:r>
      <w:r>
        <w:rPr>
          <w:rFonts w:hint="default" w:ascii="Times New Roman" w:hAnsi="Times New Roman" w:eastAsia="方正仿宋_GBK" w:cs="Times New Roman"/>
          <w:sz w:val="32"/>
          <w:szCs w:val="32"/>
        </w:rPr>
        <w:t>1133.42</w:t>
      </w:r>
      <w:r>
        <w:rPr>
          <w:rFonts w:hint="default" w:ascii="Times New Roman" w:hAnsi="Times New Roman" w:eastAsia="方正仿宋_GBK" w:cs="Times New Roman"/>
          <w:sz w:val="32"/>
          <w:szCs w:val="32"/>
          <w:shd w:val="clear" w:color="auto" w:fill="FFFFFF"/>
        </w:rPr>
        <w:t>万元，较上年决算数增加25.26万元，增长2.28%。主要原因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一是</w:t>
      </w:r>
      <w:r>
        <w:rPr>
          <w:rFonts w:hint="default" w:ascii="Times New Roman" w:hAnsi="Times New Roman" w:eastAsia="方正仿宋_GBK" w:cs="Times New Roman"/>
          <w:sz w:val="32"/>
          <w:szCs w:val="32"/>
          <w:shd w:val="clear" w:color="auto" w:fill="FFFFFF"/>
          <w:lang w:eastAsia="zh-CN"/>
        </w:rPr>
        <w:t>在职人员变动，人员职务职级变动</w:t>
      </w:r>
      <w:r>
        <w:rPr>
          <w:rFonts w:hint="default" w:ascii="Times New Roman" w:hAnsi="Times New Roman" w:eastAsia="方正仿宋_GBK" w:cs="Times New Roman"/>
          <w:sz w:val="32"/>
          <w:szCs w:val="32"/>
          <w:shd w:val="clear" w:color="auto" w:fill="FFFFFF"/>
        </w:rPr>
        <w:t>，人员经费、日常公用经费增加；二是本年度新建公路、</w:t>
      </w:r>
      <w:r>
        <w:rPr>
          <w:rFonts w:hint="default" w:ascii="Times New Roman" w:hAnsi="Times New Roman" w:eastAsia="方正仿宋_GBK" w:cs="Times New Roman"/>
          <w:sz w:val="32"/>
          <w:szCs w:val="32"/>
          <w:shd w:val="clear" w:color="auto" w:fill="FFFFFF"/>
          <w:lang w:eastAsia="zh-CN"/>
        </w:rPr>
        <w:t>便民服务中心等基础设施建设项目</w:t>
      </w:r>
      <w:r>
        <w:rPr>
          <w:rFonts w:hint="default" w:ascii="Times New Roman" w:hAnsi="Times New Roman" w:eastAsia="方正仿宋_GBK" w:cs="Times New Roman"/>
          <w:sz w:val="32"/>
          <w:szCs w:val="32"/>
          <w:shd w:val="clear" w:color="auto" w:fill="FFFFFF"/>
        </w:rPr>
        <w:t>增加</w:t>
      </w:r>
      <w:r>
        <w:rPr>
          <w:rFonts w:hint="default" w:ascii="Times New Roman" w:hAnsi="Times New Roman" w:eastAsia="方正仿宋_GBK" w:cs="Times New Roman"/>
          <w:sz w:val="32"/>
          <w:szCs w:val="32"/>
          <w:shd w:val="clear" w:color="auto" w:fill="FFFFFF"/>
          <w:lang w:eastAsia="zh-CN"/>
        </w:rPr>
        <w:t>。</w:t>
      </w:r>
      <w:r>
        <w:rPr>
          <w:rFonts w:hint="default" w:ascii="Times New Roman" w:hAnsi="Times New Roman" w:eastAsia="方正仿宋_GBK" w:cs="Times New Roman"/>
          <w:sz w:val="32"/>
          <w:szCs w:val="32"/>
          <w:shd w:val="clear" w:color="auto" w:fill="FFFFFF"/>
        </w:rPr>
        <w:t>较年初预算数增加497.72万元，增长78.29%。要原因是年初预算数只包括基本支出与小部分项目支出，年中追加预算支出</w:t>
      </w:r>
      <w:r>
        <w:rPr>
          <w:rFonts w:hint="default" w:ascii="Times New Roman" w:hAnsi="Times New Roman" w:eastAsia="方正仿宋_GBK" w:cs="Times New Roman"/>
          <w:sz w:val="32"/>
          <w:szCs w:val="32"/>
          <w:shd w:val="clear" w:color="auto" w:fill="FFFFFF"/>
          <w:lang w:val="en-US" w:eastAsia="zh-CN"/>
        </w:rPr>
        <w:t>497.72</w:t>
      </w:r>
      <w:r>
        <w:rPr>
          <w:rFonts w:hint="default" w:ascii="Times New Roman" w:hAnsi="Times New Roman" w:eastAsia="方正仿宋_GBK" w:cs="Times New Roman"/>
          <w:sz w:val="32"/>
          <w:szCs w:val="32"/>
          <w:shd w:val="clear" w:color="auto" w:fill="FFFFFF"/>
        </w:rPr>
        <w:t>万元，主要用于基础设施建设、深度产业结构调整、自然灾害防治与救灾、农村人居环境改善、巩固脱贫衔接乡村振兴等</w:t>
      </w:r>
      <w:r>
        <w:rPr>
          <w:rFonts w:hint="default" w:ascii="Times New Roman" w:hAnsi="Times New Roman" w:eastAsia="方正仿宋_GBK" w:cs="Times New Roman"/>
          <w:sz w:val="32"/>
          <w:szCs w:val="32"/>
          <w:shd w:val="clear" w:color="auto" w:fill="FFFFFF"/>
          <w:lang w:eastAsia="zh-CN"/>
        </w:rPr>
        <w:t>方面</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lang w:eastAsia="zh-CN"/>
        </w:rPr>
      </w:pPr>
      <w:r>
        <w:rPr>
          <w:rStyle w:val="10"/>
          <w:rFonts w:hint="default" w:ascii="Times New Roman" w:hAnsi="Times New Roman" w:eastAsia="方正仿宋_GBK" w:cs="Times New Roman"/>
          <w:sz w:val="32"/>
          <w:szCs w:val="32"/>
          <w:shd w:val="clear" w:color="auto" w:fill="FFFFFF"/>
        </w:rPr>
        <w:t>3.结转结余情况。</w:t>
      </w:r>
      <w:r>
        <w:rPr>
          <w:rFonts w:hint="default" w:ascii="Times New Roman" w:hAnsi="Times New Roman" w:eastAsia="方正仿宋_GBK" w:cs="Times New Roman"/>
          <w:sz w:val="32"/>
          <w:szCs w:val="32"/>
          <w:shd w:val="clear" w:color="auto" w:fill="FFFFFF"/>
        </w:rPr>
        <w:t>2023年度年末一般公共预算财政拨款结转和结余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万元，较上年决算数无增减</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color w:val="FF0000"/>
          <w:sz w:val="32"/>
          <w:szCs w:val="32"/>
          <w:highlight w:val="cyan"/>
          <w:shd w:val="clear" w:color="auto" w:fill="FFFFFF"/>
        </w:rPr>
      </w:pPr>
      <w:r>
        <w:rPr>
          <w:rStyle w:val="10"/>
          <w:rFonts w:hint="default" w:ascii="Times New Roman" w:hAnsi="Times New Roman" w:eastAsia="方正仿宋_GBK" w:cs="Times New Roman"/>
          <w:sz w:val="32"/>
          <w:szCs w:val="32"/>
          <w:shd w:val="clear" w:color="auto" w:fill="FFFFFF"/>
        </w:rPr>
        <w:t xml:space="preserve"> 4.比较情况。</w:t>
      </w:r>
      <w:r>
        <w:rPr>
          <w:rFonts w:hint="default" w:ascii="Times New Roman" w:hAnsi="Times New Roman" w:eastAsia="方正仿宋_GBK" w:cs="Times New Roman"/>
          <w:sz w:val="32"/>
          <w:szCs w:val="32"/>
          <w:shd w:val="clear" w:color="auto" w:fill="FFFFFF"/>
        </w:rPr>
        <w:t>本部门2023年度一般公共预算财政拨款支出主要用于以下几个方面：</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（1）一般公共服务支出</w:t>
      </w:r>
      <w:r>
        <w:rPr>
          <w:rFonts w:hint="default" w:ascii="Times New Roman" w:hAnsi="Times New Roman" w:eastAsia="方正仿宋_GBK" w:cs="Times New Roman"/>
          <w:sz w:val="32"/>
          <w:szCs w:val="32"/>
        </w:rPr>
        <w:t>318.95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28.14</w:t>
      </w:r>
      <w:r>
        <w:rPr>
          <w:rFonts w:hint="default" w:ascii="Times New Roman" w:hAnsi="Times New Roman" w:eastAsia="方正仿宋_GBK" w:cs="Times New Roman"/>
          <w:sz w:val="32"/>
          <w:szCs w:val="32"/>
          <w:shd w:val="clear" w:color="auto" w:fill="FFFFFF"/>
        </w:rPr>
        <w:t>%，较年初预算数增加48.13万元，增长17.77%，主要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color w:val="auto"/>
          <w:sz w:val="32"/>
          <w:szCs w:val="32"/>
          <w:shd w:val="clear" w:color="auto" w:fill="FFFFFF"/>
        </w:rPr>
        <w:t>基层</w:t>
      </w:r>
      <w:r>
        <w:rPr>
          <w:rFonts w:hint="default" w:ascii="Times New Roman" w:hAnsi="Times New Roman" w:eastAsia="方正仿宋_GBK" w:cs="Times New Roman"/>
          <w:color w:val="auto"/>
          <w:sz w:val="32"/>
          <w:szCs w:val="32"/>
          <w:shd w:val="clear" w:color="auto" w:fill="FFFFFF"/>
          <w:lang w:eastAsia="zh-CN"/>
        </w:rPr>
        <w:t>公共服务能力建设、</w:t>
      </w:r>
      <w:r>
        <w:rPr>
          <w:rFonts w:hint="default" w:ascii="Times New Roman" w:hAnsi="Times New Roman" w:eastAsia="方正仿宋_GBK" w:cs="Times New Roman"/>
          <w:color w:val="auto"/>
          <w:sz w:val="32"/>
          <w:szCs w:val="32"/>
          <w:shd w:val="clear" w:color="auto" w:fill="FFFFFF"/>
        </w:rPr>
        <w:t>应急维稳等开支增加。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2</w:t>
      </w:r>
      <w:r>
        <w:rPr>
          <w:rFonts w:hint="default" w:ascii="Times New Roman" w:hAnsi="Times New Roman" w:eastAsia="方正仿宋_GBK" w:cs="Times New Roman"/>
          <w:sz w:val="32"/>
          <w:szCs w:val="32"/>
          <w:shd w:val="clear" w:color="auto" w:fill="FFFFFF"/>
        </w:rPr>
        <w:t>）文化旅游体育与传媒支出</w:t>
      </w:r>
      <w:r>
        <w:rPr>
          <w:rFonts w:hint="default" w:ascii="Times New Roman" w:hAnsi="Times New Roman" w:eastAsia="方正仿宋_GBK" w:cs="Times New Roman"/>
          <w:sz w:val="32"/>
          <w:szCs w:val="32"/>
        </w:rPr>
        <w:t>2.50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0.22</w:t>
      </w:r>
      <w:r>
        <w:rPr>
          <w:rFonts w:hint="default" w:ascii="Times New Roman" w:hAnsi="Times New Roman" w:eastAsia="方正仿宋_GBK" w:cs="Times New Roman"/>
          <w:sz w:val="32"/>
          <w:szCs w:val="32"/>
          <w:shd w:val="clear" w:color="auto" w:fill="FFFFFF"/>
        </w:rPr>
        <w:t>%，较年初预算数无增减</w:t>
      </w:r>
      <w:r>
        <w:rPr>
          <w:rFonts w:hint="default" w:ascii="Times New Roman" w:hAnsi="Times New Roman" w:eastAsia="方正仿宋_GBK" w:cs="Times New Roman"/>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3</w:t>
      </w:r>
      <w:r>
        <w:rPr>
          <w:rFonts w:hint="default" w:ascii="Times New Roman" w:hAnsi="Times New Roman" w:eastAsia="方正仿宋_GBK" w:cs="Times New Roman"/>
          <w:sz w:val="32"/>
          <w:szCs w:val="32"/>
          <w:shd w:val="clear" w:color="auto" w:fill="FFFFFF"/>
        </w:rPr>
        <w:t>）社会保障与就业支出</w:t>
      </w:r>
      <w:r>
        <w:rPr>
          <w:rFonts w:hint="default" w:ascii="Times New Roman" w:hAnsi="Times New Roman" w:eastAsia="方正仿宋_GBK" w:cs="Times New Roman"/>
          <w:sz w:val="32"/>
          <w:szCs w:val="32"/>
        </w:rPr>
        <w:t>166.75</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14.71</w:t>
      </w:r>
      <w:r>
        <w:rPr>
          <w:rFonts w:hint="default" w:ascii="Times New Roman" w:hAnsi="Times New Roman" w:eastAsia="方正仿宋_GBK" w:cs="Times New Roman"/>
          <w:sz w:val="32"/>
          <w:szCs w:val="32"/>
          <w:shd w:val="clear" w:color="auto" w:fill="FFFFFF"/>
        </w:rPr>
        <w:t>%，较年初预算数增加34.73万元，增长26.31%，主要原因是人员工资调整后补缴社保费以及整修政务大厅支出</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4</w:t>
      </w:r>
      <w:r>
        <w:rPr>
          <w:rFonts w:hint="default" w:ascii="Times New Roman" w:hAnsi="Times New Roman" w:eastAsia="方正仿宋_GBK" w:cs="Times New Roman"/>
          <w:sz w:val="32"/>
          <w:szCs w:val="32"/>
          <w:shd w:val="clear" w:color="auto" w:fill="FFFFFF"/>
        </w:rPr>
        <w:t>）卫生健康支出27.96万元，占2.47%，较年初预算数增加5.37万元，增长23.77%，主要</w:t>
      </w:r>
      <w:r>
        <w:rPr>
          <w:rFonts w:hint="default" w:ascii="Times New Roman" w:hAnsi="Times New Roman" w:eastAsia="方正仿宋_GBK" w:cs="Times New Roman"/>
          <w:sz w:val="32"/>
          <w:szCs w:val="32"/>
          <w:shd w:val="clear" w:color="auto" w:fill="FFFFFF"/>
          <w:lang w:eastAsia="zh-CN"/>
        </w:rPr>
        <w:t>原因是疫情防控期间购</w:t>
      </w:r>
      <w:r>
        <w:rPr>
          <w:rFonts w:hint="default" w:ascii="Times New Roman" w:hAnsi="Times New Roman" w:eastAsia="方正仿宋_GBK" w:cs="Times New Roman"/>
          <w:color w:val="auto"/>
          <w:sz w:val="32"/>
          <w:szCs w:val="32"/>
          <w:shd w:val="clear" w:color="auto" w:fill="FFFFFF"/>
          <w:lang w:eastAsia="zh-CN"/>
        </w:rPr>
        <w:t>买物资、接送人员等费用支出增加，及因</w:t>
      </w:r>
      <w:r>
        <w:rPr>
          <w:rFonts w:hint="default" w:ascii="Times New Roman" w:hAnsi="Times New Roman" w:eastAsia="方正仿宋_GBK" w:cs="Times New Roman"/>
          <w:color w:val="auto"/>
          <w:sz w:val="32"/>
          <w:szCs w:val="32"/>
          <w:shd w:val="clear" w:color="auto" w:fill="FFFFFF"/>
        </w:rPr>
        <w:t>在职人员待遇调整，职工基本医疗保险</w:t>
      </w:r>
      <w:r>
        <w:rPr>
          <w:rFonts w:hint="default" w:ascii="Times New Roman" w:hAnsi="Times New Roman" w:eastAsia="方正仿宋_GBK" w:cs="Times New Roman"/>
          <w:color w:val="auto"/>
          <w:sz w:val="32"/>
          <w:szCs w:val="32"/>
          <w:shd w:val="clear" w:color="auto" w:fill="FFFFFF"/>
          <w:lang w:eastAsia="zh-CN"/>
        </w:rPr>
        <w:t>、大额医疗互助金等支出增加。</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5</w:t>
      </w:r>
      <w:r>
        <w:rPr>
          <w:rFonts w:hint="default" w:ascii="Times New Roman" w:hAnsi="Times New Roman" w:eastAsia="方正仿宋_GBK" w:cs="Times New Roman"/>
          <w:sz w:val="32"/>
          <w:szCs w:val="32"/>
          <w:shd w:val="clear" w:color="auto" w:fill="FFFFFF"/>
        </w:rPr>
        <w:t>）节能环保支出</w:t>
      </w:r>
      <w:r>
        <w:rPr>
          <w:rFonts w:hint="default" w:ascii="Times New Roman" w:hAnsi="Times New Roman" w:eastAsia="方正仿宋_GBK" w:cs="Times New Roman"/>
          <w:sz w:val="32"/>
          <w:szCs w:val="32"/>
        </w:rPr>
        <w:t>4.38</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0.39</w:t>
      </w:r>
      <w:r>
        <w:rPr>
          <w:rFonts w:hint="default" w:ascii="Times New Roman" w:hAnsi="Times New Roman" w:eastAsia="方正仿宋_GBK" w:cs="Times New Roman"/>
          <w:sz w:val="32"/>
          <w:szCs w:val="32"/>
          <w:shd w:val="clear" w:color="auto" w:fill="FFFFFF"/>
        </w:rPr>
        <w:t>%，较年初预算数增加4.38万元，增长100.00%，</w:t>
      </w:r>
      <w:r>
        <w:rPr>
          <w:rStyle w:val="13"/>
          <w:rFonts w:hint="default" w:ascii="Times New Roman" w:hAnsi="Times New Roman" w:eastAsia="方正仿宋_GBK" w:cs="Times New Roman"/>
          <w:b w:val="0"/>
          <w:sz w:val="32"/>
          <w:shd w:val="clear" w:color="auto" w:fill="FFFFFF"/>
        </w:rPr>
        <w:t>主</w:t>
      </w:r>
      <w:r>
        <w:rPr>
          <w:rFonts w:hint="default" w:ascii="Times New Roman" w:hAnsi="Times New Roman" w:eastAsia="方正仿宋_GBK" w:cs="Times New Roman"/>
          <w:sz w:val="32"/>
          <w:szCs w:val="32"/>
          <w:shd w:val="clear" w:color="auto" w:fill="FFFFFF"/>
        </w:rPr>
        <w:t>要</w:t>
      </w:r>
      <w:r>
        <w:rPr>
          <w:rFonts w:hint="default" w:ascii="Times New Roman" w:hAnsi="Times New Roman" w:eastAsia="方正仿宋_GBK" w:cs="Times New Roman"/>
          <w:sz w:val="32"/>
          <w:szCs w:val="32"/>
          <w:shd w:val="clear" w:color="auto" w:fill="FFFFFF"/>
          <w:lang w:eastAsia="zh-CN"/>
        </w:rPr>
        <w:t>原因是</w:t>
      </w:r>
      <w:r>
        <w:rPr>
          <w:rFonts w:hint="default" w:ascii="Times New Roman" w:hAnsi="Times New Roman" w:eastAsia="方正仿宋_GBK" w:cs="Times New Roman"/>
          <w:sz w:val="32"/>
          <w:szCs w:val="32"/>
          <w:shd w:val="clear" w:color="auto" w:fill="FFFFFF"/>
        </w:rPr>
        <w:t>农村厕所革命奖补</w:t>
      </w:r>
      <w:r>
        <w:rPr>
          <w:rFonts w:hint="default" w:ascii="Times New Roman" w:hAnsi="Times New Roman" w:eastAsia="方正仿宋_GBK" w:cs="Times New Roman"/>
          <w:color w:val="auto"/>
          <w:sz w:val="32"/>
          <w:szCs w:val="32"/>
          <w:shd w:val="clear" w:color="auto" w:fill="FFFFFF"/>
          <w:lang w:eastAsia="zh-CN"/>
        </w:rPr>
        <w:t>、农村生活垃圾分类示范建设项目等支出增加</w:t>
      </w:r>
      <w:r>
        <w:rPr>
          <w:rFonts w:hint="default" w:ascii="Times New Roman" w:hAnsi="Times New Roman" w:eastAsia="方正仿宋_GBK" w:cs="Times New Roman"/>
          <w:sz w:val="32"/>
          <w:szCs w:val="32"/>
          <w:shd w:val="clear" w:color="auto" w:fill="FFFFFF"/>
        </w:rPr>
        <w:t>。</w:t>
      </w:r>
    </w:p>
    <w:p>
      <w:pPr>
        <w:pStyle w:val="6"/>
        <w:keepNext/>
        <w:keepLines w:val="0"/>
        <w:pageBreakBefore w:val="0"/>
        <w:kinsoku/>
        <w:wordWrap/>
        <w:overflowPunct/>
        <w:topLinePunct w:val="0"/>
        <w:autoSpaceDN/>
        <w:bidi w:val="0"/>
        <w:adjustRightInd/>
        <w:snapToGrid w:val="0"/>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6</w:t>
      </w:r>
      <w:r>
        <w:rPr>
          <w:rFonts w:hint="default" w:ascii="Times New Roman" w:hAnsi="Times New Roman" w:eastAsia="方正仿宋_GBK" w:cs="Times New Roman"/>
          <w:sz w:val="32"/>
          <w:szCs w:val="32"/>
          <w:shd w:val="clear" w:color="auto" w:fill="FFFFFF"/>
        </w:rPr>
        <w:t>）城乡社区支出</w:t>
      </w:r>
      <w:r>
        <w:rPr>
          <w:rFonts w:hint="default" w:ascii="Times New Roman" w:hAnsi="Times New Roman" w:eastAsia="方正仿宋_GBK" w:cs="Times New Roman"/>
          <w:sz w:val="32"/>
          <w:szCs w:val="32"/>
        </w:rPr>
        <w:t>16.00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1.41</w:t>
      </w:r>
      <w:r>
        <w:rPr>
          <w:rFonts w:hint="default" w:ascii="Times New Roman" w:hAnsi="Times New Roman" w:eastAsia="方正仿宋_GBK" w:cs="Times New Roman"/>
          <w:sz w:val="32"/>
          <w:szCs w:val="32"/>
          <w:shd w:val="clear" w:color="auto" w:fill="FFFFFF"/>
        </w:rPr>
        <w:t>%，较年初预算数增加16.00万元，增长100.00%，主要原因是</w:t>
      </w:r>
      <w:r>
        <w:rPr>
          <w:rFonts w:hint="default" w:ascii="Times New Roman" w:hAnsi="Times New Roman" w:eastAsia="方正仿宋_GBK" w:cs="Times New Roman"/>
          <w:color w:val="auto"/>
          <w:sz w:val="32"/>
          <w:szCs w:val="32"/>
          <w:shd w:val="clear" w:color="auto" w:fill="FFFFFF"/>
        </w:rPr>
        <w:t>农村生活垃圾收运、场</w:t>
      </w:r>
      <w:r>
        <w:rPr>
          <w:rFonts w:hint="eastAsia" w:ascii="Times New Roman" w:hAnsi="Times New Roman" w:eastAsia="方正仿宋_GBK" w:cs="Times New Roman"/>
          <w:color w:val="auto"/>
          <w:sz w:val="32"/>
          <w:szCs w:val="32"/>
          <w:shd w:val="clear" w:color="auto" w:fill="FFFFFF"/>
          <w:lang w:eastAsia="zh-CN"/>
        </w:rPr>
        <w:t>乡</w:t>
      </w:r>
      <w:r>
        <w:rPr>
          <w:rFonts w:hint="default" w:ascii="Times New Roman" w:hAnsi="Times New Roman" w:eastAsia="方正仿宋_GBK" w:cs="Times New Roman"/>
          <w:color w:val="auto"/>
          <w:sz w:val="32"/>
          <w:szCs w:val="32"/>
          <w:shd w:val="clear" w:color="auto" w:fill="FFFFFF"/>
        </w:rPr>
        <w:t>市政管理、</w:t>
      </w:r>
      <w:r>
        <w:rPr>
          <w:rFonts w:hint="default" w:ascii="Times New Roman" w:hAnsi="Times New Roman" w:eastAsia="方正仿宋_GBK" w:cs="Times New Roman"/>
          <w:color w:val="auto"/>
          <w:sz w:val="32"/>
          <w:szCs w:val="32"/>
          <w:shd w:val="clear" w:color="auto" w:fill="FFFFFF"/>
          <w:lang w:eastAsia="zh-CN"/>
        </w:rPr>
        <w:t>自然灾害救灾</w:t>
      </w:r>
      <w:r>
        <w:rPr>
          <w:rFonts w:hint="default" w:ascii="Times New Roman" w:hAnsi="Times New Roman" w:eastAsia="方正仿宋_GBK" w:cs="Times New Roman"/>
          <w:color w:val="auto"/>
          <w:sz w:val="32"/>
          <w:szCs w:val="32"/>
          <w:shd w:val="clear" w:color="auto" w:fill="FFFFFF"/>
        </w:rPr>
        <w:t>等</w:t>
      </w:r>
      <w:r>
        <w:rPr>
          <w:rFonts w:hint="default" w:ascii="Times New Roman" w:hAnsi="Times New Roman" w:eastAsia="方正仿宋_GBK" w:cs="Times New Roman"/>
          <w:color w:val="auto"/>
          <w:sz w:val="32"/>
          <w:szCs w:val="32"/>
          <w:shd w:val="clear" w:color="auto" w:fill="FFFFFF"/>
          <w:lang w:eastAsia="zh-CN"/>
        </w:rPr>
        <w:t>支出增加</w:t>
      </w:r>
      <w:r>
        <w:rPr>
          <w:rFonts w:hint="default" w:ascii="Times New Roman" w:hAnsi="Times New Roman" w:eastAsia="方正仿宋_GBK" w:cs="Times New Roman"/>
          <w:color w:val="auto"/>
          <w:sz w:val="32"/>
          <w:szCs w:val="32"/>
          <w:shd w:val="clear" w:color="auto"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i w:val="0"/>
          <w:iCs w:val="0"/>
          <w:caps w:val="0"/>
          <w:color w:val="000000"/>
          <w:spacing w:val="0"/>
          <w:sz w:val="25"/>
          <w:szCs w:val="25"/>
          <w:shd w:val="clear"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7</w:t>
      </w:r>
      <w:r>
        <w:rPr>
          <w:rFonts w:hint="default" w:ascii="Times New Roman" w:hAnsi="Times New Roman" w:eastAsia="方正仿宋_GBK" w:cs="Times New Roman"/>
          <w:sz w:val="32"/>
          <w:szCs w:val="32"/>
          <w:shd w:val="clear" w:color="auto" w:fill="FFFFFF"/>
        </w:rPr>
        <w:t>）农林水支出</w:t>
      </w:r>
      <w:r>
        <w:rPr>
          <w:rFonts w:hint="default" w:ascii="Times New Roman" w:hAnsi="Times New Roman" w:eastAsia="方正仿宋_GBK" w:cs="Times New Roman"/>
          <w:sz w:val="32"/>
          <w:szCs w:val="32"/>
        </w:rPr>
        <w:t>492.96</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43.49</w:t>
      </w:r>
      <w:r>
        <w:rPr>
          <w:rFonts w:hint="default" w:ascii="Times New Roman" w:hAnsi="Times New Roman" w:eastAsia="方正仿宋_GBK" w:cs="Times New Roman"/>
          <w:sz w:val="32"/>
          <w:szCs w:val="32"/>
          <w:shd w:val="clear" w:color="auto" w:fill="FFFFFF"/>
        </w:rPr>
        <w:t>%，较年初预算数增加314.20万元，增长175.77%，</w:t>
      </w:r>
      <w:r>
        <w:rPr>
          <w:rFonts w:hint="default" w:ascii="Times New Roman" w:hAnsi="Times New Roman" w:eastAsia="方正仿宋_GBK" w:cs="Times New Roman"/>
          <w:sz w:val="32"/>
          <w:szCs w:val="32"/>
          <w:shd w:val="clear" w:color="auto" w:fill="FFFFFF"/>
          <w:lang w:val="en-US" w:eastAsia="zh-CN" w:bidi="ar-SA"/>
        </w:rPr>
        <w:t>主要原因是用于深度产业结构调整、退耕还林整改提升、抗旱救灾、河库保洁、农村基础设施建设等支出增加</w:t>
      </w:r>
      <w:r>
        <w:rPr>
          <w:rFonts w:hint="default" w:ascii="Times New Roman" w:hAnsi="Times New Roman" w:eastAsia="方正仿宋_GBK" w:cs="Times New Roman"/>
          <w:i w:val="0"/>
          <w:iCs w:val="0"/>
          <w:caps w:val="0"/>
          <w:color w:val="000000"/>
          <w:spacing w:val="0"/>
          <w:sz w:val="25"/>
          <w:szCs w:val="25"/>
          <w:shd w:val="clear" w:fill="FFFFFF"/>
        </w:rPr>
        <w:t>。</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8</w:t>
      </w:r>
      <w:r>
        <w:rPr>
          <w:rFonts w:hint="default" w:ascii="Times New Roman" w:hAnsi="Times New Roman" w:eastAsia="方正仿宋_GBK" w:cs="Times New Roman"/>
          <w:sz w:val="32"/>
          <w:szCs w:val="32"/>
          <w:shd w:val="clear" w:color="auto" w:fill="FFFFFF"/>
        </w:rPr>
        <w:t>）交通运输支出</w:t>
      </w:r>
      <w:r>
        <w:rPr>
          <w:rFonts w:hint="default" w:ascii="Times New Roman" w:hAnsi="Times New Roman" w:eastAsia="方正仿宋_GBK" w:cs="Times New Roman"/>
          <w:sz w:val="32"/>
          <w:szCs w:val="32"/>
        </w:rPr>
        <w:t>60.70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5.36</w:t>
      </w:r>
      <w:r>
        <w:rPr>
          <w:rFonts w:hint="default" w:ascii="Times New Roman" w:hAnsi="Times New Roman" w:eastAsia="方正仿宋_GBK" w:cs="Times New Roman"/>
          <w:sz w:val="32"/>
          <w:szCs w:val="32"/>
          <w:shd w:val="clear" w:color="auto" w:fill="FFFFFF"/>
        </w:rPr>
        <w:t>%，较年初预算数增加60.70万元，增长100.00%，主要原因是用于农村通畅工程、农村公路水毁恢复等支出</w:t>
      </w:r>
      <w:r>
        <w:rPr>
          <w:rFonts w:hint="default" w:ascii="Times New Roman" w:hAnsi="Times New Roman" w:eastAsia="方正仿宋_GBK" w:cs="Times New Roman"/>
          <w:sz w:val="32"/>
          <w:szCs w:val="32"/>
          <w:shd w:val="clear" w:color="auto" w:fill="FFFFFF"/>
          <w:lang w:eastAsia="zh-CN"/>
        </w:rPr>
        <w:t>增加</w:t>
      </w:r>
      <w:r>
        <w:rPr>
          <w:rFonts w:hint="default" w:ascii="Times New Roman" w:hAnsi="Times New Roman" w:eastAsia="方正仿宋_GBK" w:cs="Times New Roman"/>
          <w:sz w:val="32"/>
          <w:szCs w:val="32"/>
          <w:shd w:val="clear" w:color="auto" w:fill="FFFFFF"/>
        </w:rPr>
        <w:t>。</w:t>
      </w:r>
    </w:p>
    <w:p>
      <w:pPr>
        <w:ind w:firstLine="640" w:firstLineChars="200"/>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9</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住房保障支出28.42</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2.51</w:t>
      </w:r>
      <w:r>
        <w:rPr>
          <w:rFonts w:hint="default" w:ascii="Times New Roman" w:hAnsi="Times New Roman" w:eastAsia="方正仿宋_GBK" w:cs="Times New Roman"/>
          <w:sz w:val="32"/>
          <w:szCs w:val="32"/>
          <w:shd w:val="clear" w:color="auto" w:fill="FFFFFF"/>
        </w:rPr>
        <w:t>%，较年初预算数减少0.59万元，下降2.03%，</w:t>
      </w:r>
      <w:r>
        <w:rPr>
          <w:rFonts w:hint="default" w:ascii="Times New Roman" w:hAnsi="Times New Roman" w:eastAsia="方正仿宋_GBK" w:cs="Times New Roman"/>
          <w:sz w:val="32"/>
          <w:szCs w:val="32"/>
          <w:shd w:val="clear" w:color="auto" w:fill="FFFFFF"/>
          <w:lang w:val="en-US" w:eastAsia="zh-CN" w:bidi="ar-SA"/>
        </w:rPr>
        <w:t>主要原因是住房公积金调标，住房公积金清算补差。</w:t>
      </w:r>
    </w:p>
    <w:p>
      <w:pPr>
        <w:ind w:firstLine="640" w:firstLineChars="200"/>
        <w:rPr>
          <w:rFonts w:hint="default" w:ascii="Times New Roman" w:hAnsi="Times New Roman" w:eastAsia="方正仿宋_GBK" w:cs="Times New Roman"/>
          <w:color w:val="FF0000"/>
          <w:sz w:val="32"/>
          <w:szCs w:val="32"/>
          <w:shd w:val="clear" w:color="auto" w:fill="FFFFFF"/>
        </w:rPr>
      </w:pP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shd w:val="clear" w:color="auto" w:fill="FFFFFF"/>
          <w:lang w:val="en-US" w:eastAsia="zh-CN"/>
        </w:rPr>
        <w:t>10</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szCs w:val="32"/>
        </w:rPr>
        <w:t>灾害防治及应急管理支出14.80</w:t>
      </w:r>
      <w:r>
        <w:rPr>
          <w:rFonts w:hint="default" w:ascii="Times New Roman" w:hAnsi="Times New Roman" w:eastAsia="方正仿宋_GBK" w:cs="Times New Roman"/>
          <w:sz w:val="32"/>
          <w:szCs w:val="32"/>
          <w:shd w:val="clear" w:color="auto" w:fill="FFFFFF"/>
        </w:rPr>
        <w:t>万元，占</w:t>
      </w:r>
      <w:r>
        <w:rPr>
          <w:rFonts w:hint="default" w:ascii="Times New Roman" w:hAnsi="Times New Roman" w:eastAsia="方正仿宋_GBK" w:cs="Times New Roman"/>
          <w:sz w:val="32"/>
          <w:szCs w:val="32"/>
        </w:rPr>
        <w:t>1.31</w:t>
      </w:r>
      <w:r>
        <w:rPr>
          <w:rFonts w:hint="default" w:ascii="Times New Roman" w:hAnsi="Times New Roman" w:eastAsia="方正仿宋_GBK" w:cs="Times New Roman"/>
          <w:sz w:val="32"/>
          <w:szCs w:val="32"/>
          <w:shd w:val="clear" w:color="auto" w:fill="FFFFFF"/>
        </w:rPr>
        <w:t>%，较年初预算数增加14.80万元，增长100.00%，</w:t>
      </w:r>
      <w:r>
        <w:rPr>
          <w:rFonts w:hint="default" w:ascii="Times New Roman" w:hAnsi="Times New Roman" w:eastAsia="方正仿宋_GBK" w:cs="Times New Roman"/>
          <w:sz w:val="32"/>
          <w:szCs w:val="32"/>
        </w:rPr>
        <w:t>主要原因是应急抢险排危建设、抗旱救灾、冬春生活救助等支出</w:t>
      </w:r>
      <w:r>
        <w:rPr>
          <w:rFonts w:hint="default" w:ascii="Times New Roman" w:hAnsi="Times New Roman" w:eastAsia="方正仿宋_GBK" w:cs="Times New Roman"/>
          <w:sz w:val="32"/>
          <w:szCs w:val="32"/>
          <w:lang w:eastAsia="zh-CN"/>
        </w:rPr>
        <w:t>增加</w:t>
      </w:r>
      <w:r>
        <w:rPr>
          <w:rFonts w:hint="default" w:ascii="Times New Roman" w:hAnsi="Times New Roman" w:eastAsia="方正仿宋_GBK" w:cs="Times New Roman"/>
          <w:sz w:val="32"/>
          <w:szCs w:val="32"/>
        </w:rPr>
        <w:t>。</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（四）一般公共预算财政拨款基本支出决算情况说明</w:t>
      </w:r>
    </w:p>
    <w:p>
      <w:pPr>
        <w:pStyle w:val="12"/>
        <w:widowControl w:val="0"/>
        <w:autoSpaceDE w:val="0"/>
        <w:spacing w:before="0" w:beforeAutospacing="0" w:line="594"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2023年度一般公共财政拨款基本支出</w:t>
      </w:r>
      <w:r>
        <w:rPr>
          <w:rFonts w:hint="default" w:ascii="Times New Roman" w:hAnsi="Times New Roman" w:eastAsia="方正仿宋_GBK" w:cs="Times New Roman"/>
          <w:sz w:val="32"/>
          <w:szCs w:val="32"/>
        </w:rPr>
        <w:t>544.82</w:t>
      </w:r>
      <w:r>
        <w:rPr>
          <w:rFonts w:hint="default" w:ascii="Times New Roman" w:hAnsi="Times New Roman" w:eastAsia="方正仿宋_GBK" w:cs="Times New Roman"/>
          <w:sz w:val="32"/>
          <w:szCs w:val="32"/>
          <w:shd w:val="clear" w:color="auto" w:fill="FFFFFF"/>
        </w:rPr>
        <w:t>万元。其中：人员经费</w:t>
      </w:r>
      <w:r>
        <w:rPr>
          <w:rFonts w:hint="default" w:ascii="Times New Roman" w:hAnsi="Times New Roman" w:eastAsia="方正仿宋_GBK" w:cs="Times New Roman"/>
          <w:sz w:val="32"/>
          <w:szCs w:val="32"/>
        </w:rPr>
        <w:t>460.45</w:t>
      </w:r>
      <w:r>
        <w:rPr>
          <w:rFonts w:hint="default" w:ascii="Times New Roman" w:hAnsi="Times New Roman" w:eastAsia="方正仿宋_GBK" w:cs="Times New Roman"/>
          <w:sz w:val="32"/>
          <w:szCs w:val="32"/>
          <w:shd w:val="clear" w:color="auto" w:fill="FFFFFF"/>
        </w:rPr>
        <w:t>万元，较上年决算数减少37.28万元，下降7.49%，主要原因是</w:t>
      </w:r>
      <w:r>
        <w:rPr>
          <w:rFonts w:hint="default" w:ascii="Times New Roman" w:hAnsi="Times New Roman" w:eastAsia="方正仿宋_GBK" w:cs="Times New Roman"/>
          <w:sz w:val="32"/>
          <w:szCs w:val="32"/>
          <w:shd w:val="clear" w:color="auto" w:fill="FFFFFF"/>
          <w:lang w:val="en-US" w:eastAsia="zh-CN"/>
        </w:rPr>
        <w:t>人员变动（</w:t>
      </w:r>
      <w:r>
        <w:rPr>
          <w:rFonts w:hint="default" w:ascii="Times New Roman" w:hAnsi="Times New Roman" w:eastAsia="方正仿宋_GBK" w:cs="Times New Roman"/>
          <w:sz w:val="32"/>
          <w:szCs w:val="32"/>
          <w:shd w:val="clear" w:color="auto" w:fill="FFFFFF"/>
        </w:rPr>
        <w:t>2023年2月商调一名四级主任科员，5月退休一名一级主任科员，9月退休一名四级调研员</w:t>
      </w:r>
      <w:r>
        <w:rPr>
          <w:rFonts w:hint="default" w:ascii="Times New Roman" w:hAnsi="Times New Roman" w:eastAsia="方正仿宋_GBK" w:cs="Times New Roman"/>
          <w:sz w:val="32"/>
          <w:szCs w:val="32"/>
          <w:shd w:val="clear" w:color="auto" w:fill="FFFFFF"/>
          <w:lang w:val="en-US" w:eastAsia="zh-CN"/>
        </w:rPr>
        <w:t>），人员经费减少</w:t>
      </w:r>
      <w:r>
        <w:rPr>
          <w:rFonts w:hint="default" w:ascii="Times New Roman" w:hAnsi="Times New Roman" w:eastAsia="方正仿宋_GBK" w:cs="Times New Roman"/>
          <w:sz w:val="32"/>
          <w:szCs w:val="32"/>
          <w:shd w:val="clear" w:color="auto" w:fill="FFFFFF"/>
        </w:rPr>
        <w:t>。</w:t>
      </w:r>
      <w:r>
        <w:rPr>
          <w:rFonts w:hint="default" w:ascii="Times New Roman" w:hAnsi="Times New Roman" w:eastAsia="方正仿宋_GBK" w:cs="Times New Roman"/>
          <w:sz w:val="32"/>
        </w:rPr>
        <w:t>人员经费用途主要包括基本工资、津贴补贴、奖金、绩效工资、社会保障缴费、住房公积金等。</w:t>
      </w:r>
      <w:r>
        <w:rPr>
          <w:rFonts w:hint="default" w:ascii="Times New Roman" w:hAnsi="Times New Roman" w:eastAsia="方正仿宋_GBK" w:cs="Times New Roman"/>
          <w:sz w:val="32"/>
          <w:szCs w:val="32"/>
          <w:shd w:val="clear" w:color="auto" w:fill="FFFFFF"/>
        </w:rPr>
        <w:t>公用经费</w:t>
      </w:r>
      <w:r>
        <w:rPr>
          <w:rFonts w:hint="default" w:ascii="Times New Roman" w:hAnsi="Times New Roman" w:eastAsia="方正仿宋_GBK" w:cs="Times New Roman"/>
          <w:sz w:val="32"/>
          <w:szCs w:val="32"/>
        </w:rPr>
        <w:t>84.37</w:t>
      </w:r>
      <w:r>
        <w:rPr>
          <w:rFonts w:hint="default" w:ascii="Times New Roman" w:hAnsi="Times New Roman" w:eastAsia="方正仿宋_GBK" w:cs="Times New Roman"/>
          <w:sz w:val="32"/>
          <w:szCs w:val="32"/>
          <w:shd w:val="clear" w:color="auto" w:fill="FFFFFF"/>
        </w:rPr>
        <w:t>万元，较上年决算数增加0.33万元，增长0.39%，主要原因是</w:t>
      </w:r>
      <w:r>
        <w:rPr>
          <w:rFonts w:hint="default" w:ascii="Times New Roman" w:hAnsi="Times New Roman" w:eastAsia="方正仿宋_GBK" w:cs="Times New Roman"/>
          <w:color w:val="auto"/>
          <w:sz w:val="32"/>
          <w:szCs w:val="32"/>
          <w:shd w:val="clear" w:color="auto" w:fill="FFFFFF"/>
          <w:lang w:eastAsia="zh-CN"/>
        </w:rPr>
        <w:t>人员职务职级变动</w:t>
      </w:r>
      <w:r>
        <w:rPr>
          <w:rFonts w:hint="default" w:ascii="Times New Roman" w:hAnsi="Times New Roman" w:eastAsia="方正仿宋_GBK" w:cs="Times New Roman"/>
          <w:color w:val="auto"/>
          <w:sz w:val="32"/>
          <w:szCs w:val="32"/>
          <w:shd w:val="clear" w:color="auto" w:fill="FFFFFF"/>
        </w:rPr>
        <w:t>，公务交通补贴增加。</w:t>
      </w:r>
      <w:r>
        <w:rPr>
          <w:rFonts w:hint="default" w:ascii="Times New Roman" w:hAnsi="Times New Roman" w:eastAsia="方正仿宋_GBK" w:cs="Times New Roman"/>
          <w:sz w:val="32"/>
          <w:shd w:val="clear" w:color="auto" w:fill="FFFFFF"/>
        </w:rPr>
        <w:t>公用经费用途主要包括办公费、印刷费、水电费、邮电费、差旅费、公务接待费、劳务费、会议费、培训费、工会经费、公务用车运行维护费、其他交通费用、其他商品和服务支出等。</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（五）政府性基金预算收支决算情况说明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2023年度政府性基金预算财政拨款年初结转结余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万元，年末结转结余</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万元。本年收入</w:t>
      </w:r>
      <w:r>
        <w:rPr>
          <w:rFonts w:hint="default" w:ascii="Times New Roman" w:hAnsi="Times New Roman" w:eastAsia="方正仿宋_GBK" w:cs="Times New Roman"/>
          <w:sz w:val="32"/>
          <w:szCs w:val="32"/>
        </w:rPr>
        <w:t>20.48</w:t>
      </w:r>
      <w:r>
        <w:rPr>
          <w:rFonts w:hint="default" w:ascii="Times New Roman" w:hAnsi="Times New Roman" w:eastAsia="方正仿宋_GBK" w:cs="Times New Roman"/>
          <w:sz w:val="32"/>
          <w:szCs w:val="32"/>
          <w:shd w:val="clear" w:color="auto" w:fill="FFFFFF"/>
        </w:rPr>
        <w:t>万元，较上年决算数减少9.59万元，下降31.89%，主要原因是贯彻落实政府过紧日子要求，非刚性、非重点项目支出减少。本年支出</w:t>
      </w:r>
      <w:r>
        <w:rPr>
          <w:rFonts w:hint="default" w:ascii="Times New Roman" w:hAnsi="Times New Roman" w:eastAsia="方正仿宋_GBK" w:cs="Times New Roman"/>
          <w:sz w:val="32"/>
          <w:szCs w:val="32"/>
        </w:rPr>
        <w:t>20.48</w:t>
      </w:r>
      <w:r>
        <w:rPr>
          <w:rFonts w:hint="default" w:ascii="Times New Roman" w:hAnsi="Times New Roman" w:eastAsia="方正仿宋_GBK" w:cs="Times New Roman"/>
          <w:sz w:val="32"/>
          <w:szCs w:val="32"/>
          <w:shd w:val="clear" w:color="auto" w:fill="FFFFFF"/>
        </w:rPr>
        <w:t>万元，较上年决算数减少9.59万元，下降31.89%，主要原因是贯彻落实政府过紧日子要求，非刚性、非重点项目支出减少。</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（六）国有资本经营预算财政拨款支出决算情况说明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本</w:t>
      </w:r>
      <w:r>
        <w:rPr>
          <w:rFonts w:hint="default" w:ascii="Times New Roman" w:hAnsi="Times New Roman" w:eastAsia="方正仿宋_GBK" w:cs="Times New Roman"/>
          <w:sz w:val="32"/>
          <w:szCs w:val="32"/>
          <w:shd w:val="clear" w:color="auto" w:fill="FFFFFF"/>
          <w:lang w:eastAsia="zh-CN"/>
        </w:rPr>
        <w:t>部门</w:t>
      </w:r>
      <w:r>
        <w:rPr>
          <w:rFonts w:hint="default" w:ascii="Times New Roman" w:hAnsi="Times New Roman" w:eastAsia="方正仿宋_GBK" w:cs="Times New Roman"/>
          <w:sz w:val="32"/>
          <w:szCs w:val="32"/>
          <w:shd w:val="clear" w:color="auto" w:fill="FFFFFF"/>
        </w:rPr>
        <w:t>2023年度无国有资本经营预算财政拨款支出。</w:t>
      </w:r>
    </w:p>
    <w:p>
      <w:pPr>
        <w:pStyle w:val="6"/>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三、“三公”经费情况说明</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xml:space="preserve"> （一）“三公”经费支出总体情况说明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2023年度“三公”经费支出共计</w:t>
      </w:r>
      <w:r>
        <w:rPr>
          <w:rFonts w:hint="default" w:ascii="Times New Roman" w:hAnsi="Times New Roman" w:eastAsia="方正仿宋_GBK" w:cs="Times New Roman"/>
          <w:sz w:val="32"/>
          <w:szCs w:val="32"/>
        </w:rPr>
        <w:t>11.15</w:t>
      </w:r>
      <w:r>
        <w:rPr>
          <w:rFonts w:hint="default" w:ascii="Times New Roman" w:hAnsi="Times New Roman" w:eastAsia="方正仿宋_GBK" w:cs="Times New Roman"/>
          <w:sz w:val="32"/>
          <w:szCs w:val="32"/>
          <w:shd w:val="clear" w:color="auto" w:fill="FFFFFF"/>
        </w:rPr>
        <w:t>万元，较年初预算数减少1.83万元，下降14.10%，主要原因是严格落实过苦日子要求，厉行节约，加强机关管理，严管公务车使用，减少不必要的接待。较上年支出数减少1.03万元，下降8.46%，主要原因是严格落实过苦日子要求，厉行节约，加强机关管理，严管公务车使用，减少不必要的接待，</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（二）“三公”经费分项支出情况</w:t>
      </w:r>
    </w:p>
    <w:p>
      <w:pPr>
        <w:widowControl w:val="0"/>
        <w:autoSpaceDE w:val="0"/>
        <w:spacing w:line="594"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default"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rPr>
        <w:t>年度未发生因公出国（境）费用支出。</w:t>
      </w:r>
    </w:p>
    <w:p>
      <w:pPr>
        <w:widowControl w:val="0"/>
        <w:autoSpaceDE w:val="0"/>
        <w:spacing w:line="594" w:lineRule="exact"/>
        <w:ind w:firstLine="640" w:firstLineChars="200"/>
        <w:rPr>
          <w:rFonts w:hint="default" w:ascii="Times New Roman" w:hAnsi="Times New Roman" w:eastAsia="方正仿宋_GBK" w:cs="Times New Roman"/>
          <w:kern w:val="0"/>
          <w:sz w:val="32"/>
        </w:rPr>
      </w:pPr>
      <w:r>
        <w:rPr>
          <w:rFonts w:hint="default" w:ascii="Times New Roman" w:hAnsi="Times New Roman" w:eastAsia="方正仿宋_GBK" w:cs="Times New Roman"/>
          <w:kern w:val="0"/>
          <w:sz w:val="32"/>
        </w:rPr>
        <w:t>本单位202</w:t>
      </w:r>
      <w:r>
        <w:rPr>
          <w:rFonts w:hint="default" w:ascii="Times New Roman" w:hAnsi="Times New Roman" w:eastAsia="方正仿宋_GBK" w:cs="Times New Roman"/>
          <w:kern w:val="0"/>
          <w:sz w:val="32"/>
          <w:lang w:val="en-US" w:eastAsia="zh-CN"/>
        </w:rPr>
        <w:t>3</w:t>
      </w:r>
      <w:r>
        <w:rPr>
          <w:rFonts w:hint="default" w:ascii="Times New Roman" w:hAnsi="Times New Roman" w:eastAsia="方正仿宋_GBK" w:cs="Times New Roman"/>
          <w:kern w:val="0"/>
          <w:sz w:val="32"/>
        </w:rPr>
        <w:t>年度未发生公务车购置费支出。</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kern w:val="0"/>
          <w:sz w:val="32"/>
          <w:shd w:val="clear" w:color="auto" w:fill="FFFFFF"/>
        </w:rPr>
      </w:pPr>
      <w:r>
        <w:rPr>
          <w:rFonts w:hint="default" w:ascii="Times New Roman" w:hAnsi="Times New Roman" w:eastAsia="方正仿宋_GBK" w:cs="Times New Roman"/>
          <w:sz w:val="32"/>
          <w:szCs w:val="32"/>
          <w:shd w:val="clear" w:color="auto" w:fill="FFFFFF"/>
        </w:rPr>
        <w:t> 公务车运行维护费</w:t>
      </w:r>
      <w:r>
        <w:rPr>
          <w:rFonts w:hint="default" w:ascii="Times New Roman" w:hAnsi="Times New Roman" w:eastAsia="方正仿宋_GBK" w:cs="Times New Roman"/>
          <w:sz w:val="32"/>
          <w:szCs w:val="32"/>
        </w:rPr>
        <w:t>8.20</w:t>
      </w:r>
      <w:r>
        <w:rPr>
          <w:rFonts w:hint="default" w:ascii="Times New Roman" w:hAnsi="Times New Roman" w:eastAsia="方正仿宋_GBK" w:cs="Times New Roman"/>
          <w:sz w:val="32"/>
          <w:szCs w:val="32"/>
          <w:shd w:val="clear" w:color="auto" w:fill="FFFFFF"/>
        </w:rPr>
        <w:t>万元，主</w:t>
      </w:r>
      <w:r>
        <w:rPr>
          <w:rFonts w:hint="default" w:ascii="Times New Roman" w:hAnsi="Times New Roman" w:eastAsia="方正仿宋_GBK" w:cs="Times New Roman"/>
          <w:kern w:val="0"/>
          <w:sz w:val="32"/>
          <w:shd w:val="clear" w:color="auto" w:fill="FFFFFF"/>
        </w:rPr>
        <w:t>主要用于机要文件交换、县内因公出行、业务检查等工作所需车辆的燃料费、维修费、过桥过路费、保险费等。</w:t>
      </w:r>
      <w:r>
        <w:rPr>
          <w:rFonts w:hint="default" w:ascii="Times New Roman" w:hAnsi="Times New Roman" w:eastAsia="方正仿宋_GBK" w:cs="Times New Roman"/>
          <w:sz w:val="32"/>
          <w:szCs w:val="32"/>
          <w:shd w:val="clear" w:color="auto" w:fill="FFFFFF"/>
        </w:rPr>
        <w:t>费用支出较年初预算数减少1.78万元，下降17.84%，</w:t>
      </w:r>
      <w:r>
        <w:rPr>
          <w:rFonts w:hint="default" w:ascii="Times New Roman" w:hAnsi="Times New Roman" w:eastAsia="方正仿宋_GBK" w:cs="Times New Roman"/>
          <w:kern w:val="0"/>
          <w:sz w:val="32"/>
          <w:shd w:val="clear" w:color="auto" w:fill="FFFFFF"/>
        </w:rPr>
        <w:t>主要原因是严格落实公车使用规定，严禁公车私用，公车运行维护成本下降。</w:t>
      </w:r>
      <w:r>
        <w:rPr>
          <w:rFonts w:hint="default" w:ascii="Times New Roman" w:hAnsi="Times New Roman" w:eastAsia="方正仿宋_GBK" w:cs="Times New Roman"/>
          <w:sz w:val="32"/>
          <w:szCs w:val="32"/>
          <w:shd w:val="clear" w:color="auto" w:fill="FFFFFF"/>
        </w:rPr>
        <w:t>较上年支出数减少0.57万元，下降6.50%，</w:t>
      </w:r>
      <w:r>
        <w:rPr>
          <w:rFonts w:hint="default" w:ascii="Times New Roman" w:hAnsi="Times New Roman" w:eastAsia="方正仿宋_GBK" w:cs="Times New Roman"/>
          <w:kern w:val="0"/>
          <w:sz w:val="32"/>
          <w:shd w:val="clear" w:color="auto" w:fill="FFFFFF"/>
        </w:rPr>
        <w:t>主要原因是严格落实公车使用规定，严禁公车私用，公车运行维护成本下降。</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公务接待费</w:t>
      </w:r>
      <w:r>
        <w:rPr>
          <w:rFonts w:hint="default" w:ascii="Times New Roman" w:hAnsi="Times New Roman" w:eastAsia="方正仿宋_GBK" w:cs="Times New Roman"/>
          <w:sz w:val="32"/>
          <w:szCs w:val="32"/>
        </w:rPr>
        <w:t>2.95</w:t>
      </w:r>
      <w:r>
        <w:rPr>
          <w:rFonts w:hint="default" w:ascii="Times New Roman" w:hAnsi="Times New Roman" w:eastAsia="方正仿宋_GBK" w:cs="Times New Roman"/>
          <w:sz w:val="32"/>
          <w:szCs w:val="32"/>
          <w:shd w:val="clear" w:color="auto" w:fill="FFFFFF"/>
        </w:rPr>
        <w:t>万元，</w:t>
      </w:r>
      <w:r>
        <w:rPr>
          <w:rFonts w:hint="default" w:ascii="Times New Roman" w:hAnsi="Times New Roman" w:eastAsia="方正仿宋_GBK" w:cs="Times New Roman"/>
          <w:sz w:val="32"/>
          <w:shd w:val="clear" w:color="auto" w:fill="FFFFFF"/>
        </w:rPr>
        <w:t>主要用于接待相关部门检查指导工作发生的接待支出。</w:t>
      </w:r>
      <w:r>
        <w:rPr>
          <w:rFonts w:hint="default" w:ascii="Times New Roman" w:hAnsi="Times New Roman" w:eastAsia="方正仿宋_GBK" w:cs="Times New Roman"/>
          <w:sz w:val="32"/>
          <w:szCs w:val="32"/>
          <w:shd w:val="clear" w:color="auto" w:fill="FFFFFF"/>
        </w:rPr>
        <w:t>费用支出较年初预算数减少0.05万元，下降1.67%，</w:t>
      </w:r>
      <w:r>
        <w:rPr>
          <w:rFonts w:hint="default" w:ascii="Times New Roman" w:hAnsi="Times New Roman" w:eastAsia="方正仿宋_GBK" w:cs="Times New Roman"/>
          <w:sz w:val="32"/>
          <w:shd w:val="clear" w:color="auto" w:fill="FFFFFF"/>
        </w:rPr>
        <w:t>主要原因是强化公务接待支出管理，严格遵守公务接待开支范围和开支标准，严格控制陪餐人数，公务接待费下降。</w:t>
      </w:r>
      <w:r>
        <w:rPr>
          <w:rFonts w:hint="default" w:ascii="Times New Roman" w:hAnsi="Times New Roman" w:eastAsia="方正仿宋_GBK" w:cs="Times New Roman"/>
          <w:sz w:val="32"/>
          <w:szCs w:val="32"/>
          <w:shd w:val="clear" w:color="auto" w:fill="FFFFFF"/>
        </w:rPr>
        <w:t>较上年支出数减少0.46万元，下降13.49%，</w:t>
      </w:r>
      <w:r>
        <w:rPr>
          <w:rFonts w:hint="default" w:ascii="Times New Roman" w:hAnsi="Times New Roman" w:eastAsia="方正仿宋_GBK" w:cs="Times New Roman"/>
          <w:sz w:val="32"/>
          <w:shd w:val="clear" w:color="auto" w:fill="FFFFFF"/>
        </w:rPr>
        <w:t>主要原因是强化公务接待支出管理，严格遵守公务接待开支范围和开支标准，严格控制陪餐人数，公务接待费下降。</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（三）“三公”经费实物量情况</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2023年度本单位因公出国（境）共计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个团组，</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人；公务用车购置</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辆，公务车保有量为</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辆；国内公务接待</w:t>
      </w:r>
      <w:r>
        <w:rPr>
          <w:rFonts w:hint="default" w:ascii="Times New Roman" w:hAnsi="Times New Roman" w:eastAsia="方正仿宋_GBK" w:cs="Times New Roman"/>
          <w:sz w:val="32"/>
          <w:szCs w:val="32"/>
        </w:rPr>
        <w:t>145</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800</w:t>
      </w:r>
      <w:r>
        <w:rPr>
          <w:rFonts w:hint="default" w:ascii="Times New Roman" w:hAnsi="Times New Roman" w:eastAsia="方正仿宋_GBK" w:cs="Times New Roman"/>
          <w:sz w:val="32"/>
          <w:szCs w:val="32"/>
          <w:shd w:val="clear" w:color="auto" w:fill="FFFFFF"/>
        </w:rPr>
        <w:t>人，其中：国内外事接待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人；国（境）外公务接待</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批次，</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人。2023年本单位人均接待费</w:t>
      </w:r>
      <w:r>
        <w:rPr>
          <w:rFonts w:hint="default" w:ascii="Times New Roman" w:hAnsi="Times New Roman" w:eastAsia="方正仿宋_GBK" w:cs="Times New Roman"/>
          <w:sz w:val="32"/>
          <w:szCs w:val="32"/>
        </w:rPr>
        <w:t>36.82</w:t>
      </w:r>
      <w:r>
        <w:rPr>
          <w:rFonts w:hint="default" w:ascii="Times New Roman" w:hAnsi="Times New Roman" w:eastAsia="方正仿宋_GBK" w:cs="Times New Roman"/>
          <w:sz w:val="32"/>
          <w:szCs w:val="32"/>
          <w:shd w:val="clear" w:color="auto" w:fill="FFFFFF"/>
        </w:rPr>
        <w:t>元，车均购置费</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万元，车均维护费</w:t>
      </w:r>
      <w:r>
        <w:rPr>
          <w:rFonts w:hint="default" w:ascii="Times New Roman" w:hAnsi="Times New Roman" w:eastAsia="方正仿宋_GBK" w:cs="Times New Roman"/>
          <w:sz w:val="32"/>
          <w:szCs w:val="32"/>
        </w:rPr>
        <w:t>4.10</w:t>
      </w:r>
      <w:r>
        <w:rPr>
          <w:rFonts w:hint="default" w:ascii="Times New Roman" w:hAnsi="Times New Roman" w:eastAsia="方正仿宋_GBK" w:cs="Times New Roman"/>
          <w:sz w:val="32"/>
          <w:szCs w:val="32"/>
          <w:shd w:val="clear" w:color="auto" w:fill="FFFFFF"/>
        </w:rPr>
        <w:t>万元。</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四、其他需要说明的事项</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  （一）财政拨款会议费和培训费情况说明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本年度会议费支出</w:t>
      </w:r>
      <w:r>
        <w:rPr>
          <w:rFonts w:hint="default" w:ascii="Times New Roman" w:hAnsi="Times New Roman" w:eastAsia="方正仿宋_GBK" w:cs="Times New Roman"/>
          <w:sz w:val="32"/>
          <w:szCs w:val="32"/>
        </w:rPr>
        <w:t>0.83</w:t>
      </w:r>
      <w:r>
        <w:rPr>
          <w:rFonts w:hint="default" w:ascii="Times New Roman" w:hAnsi="Times New Roman" w:eastAsia="方正仿宋_GBK" w:cs="Times New Roman"/>
          <w:sz w:val="32"/>
          <w:szCs w:val="32"/>
          <w:shd w:val="clear" w:color="auto" w:fill="FFFFFF"/>
        </w:rPr>
        <w:t>万元，较上年决算数减少1.67万元，下降66.80%</w:t>
      </w:r>
      <w:r>
        <w:rPr>
          <w:rFonts w:hint="default" w:ascii="Times New Roman" w:hAnsi="Times New Roman" w:eastAsia="方正仿宋_GBK" w:cs="Times New Roman"/>
          <w:sz w:val="32"/>
          <w:szCs w:val="32"/>
        </w:rPr>
        <w:t>，主要原因是贯彻落实政府过紧日子要求，整合会议，精简参会人员，减少会议开支。</w:t>
      </w:r>
      <w:r>
        <w:rPr>
          <w:rFonts w:hint="default" w:ascii="Times New Roman" w:hAnsi="Times New Roman" w:eastAsia="方正仿宋_GBK" w:cs="Times New Roman"/>
          <w:sz w:val="32"/>
          <w:szCs w:val="32"/>
          <w:shd w:val="clear" w:color="auto" w:fill="FFFFFF"/>
        </w:rPr>
        <w:t>本年度培训费支出</w:t>
      </w:r>
      <w:r>
        <w:rPr>
          <w:rFonts w:hint="default" w:ascii="Times New Roman" w:hAnsi="Times New Roman" w:eastAsia="方正仿宋_GBK" w:cs="Times New Roman"/>
          <w:sz w:val="32"/>
          <w:szCs w:val="32"/>
        </w:rPr>
        <w:t>0.70</w:t>
      </w:r>
      <w:r>
        <w:rPr>
          <w:rFonts w:hint="default" w:ascii="Times New Roman" w:hAnsi="Times New Roman" w:eastAsia="方正仿宋_GBK" w:cs="Times New Roman"/>
          <w:sz w:val="32"/>
          <w:szCs w:val="32"/>
          <w:shd w:val="clear" w:color="auto" w:fill="FFFFFF"/>
        </w:rPr>
        <w:t>万元，较上年决算数减少0.30万元，下降30.00%，</w:t>
      </w:r>
      <w:r>
        <w:rPr>
          <w:rFonts w:hint="default" w:ascii="Times New Roman" w:hAnsi="Times New Roman" w:eastAsia="方正仿宋_GBK" w:cs="Times New Roman"/>
          <w:i w:val="0"/>
          <w:iCs w:val="0"/>
          <w:caps w:val="0"/>
          <w:color w:val="000000"/>
          <w:spacing w:val="0"/>
          <w:sz w:val="25"/>
          <w:szCs w:val="25"/>
          <w:shd w:val="clear" w:fill="FFFFFF"/>
        </w:rPr>
        <w:t>主</w:t>
      </w:r>
      <w:r>
        <w:rPr>
          <w:rFonts w:hint="default" w:ascii="Times New Roman" w:hAnsi="Times New Roman" w:eastAsia="方正仿宋_GBK" w:cs="Times New Roman"/>
          <w:sz w:val="32"/>
          <w:szCs w:val="32"/>
        </w:rPr>
        <w:t>要原因是贯彻落实政府过紧日子要求，压缩培训天数和会期，减少培训开支。</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（二）机关运行经费情况说明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2023年度本单位机关运行经费支出</w:t>
      </w:r>
      <w:r>
        <w:rPr>
          <w:rFonts w:hint="default" w:ascii="Times New Roman" w:hAnsi="Times New Roman" w:eastAsia="方正仿宋_GBK" w:cs="Times New Roman"/>
          <w:sz w:val="32"/>
          <w:szCs w:val="32"/>
        </w:rPr>
        <w:t>53.08</w:t>
      </w:r>
      <w:r>
        <w:rPr>
          <w:rFonts w:hint="default" w:ascii="Times New Roman" w:hAnsi="Times New Roman" w:eastAsia="方正仿宋_GBK" w:cs="Times New Roman"/>
          <w:sz w:val="32"/>
          <w:szCs w:val="32"/>
          <w:shd w:val="clear" w:color="auto" w:fill="FFFFFF"/>
        </w:rPr>
        <w:t>万元，机关运行经费主要用于开支办公费、电费、邮电费、差旅费、公务接待费、公务用车运行维护费、广告费、工会经费等。机关运行经费较上年支出数减少1.08万元，下降1.99%，主要原因是贯彻落实政府过紧日子要求，减少一般性支出。</w:t>
      </w: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（三）国有资产占用情况说明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shd w:val="clear" w:color="auto" w:fill="FFFFFF"/>
        </w:rPr>
        <w:t> 截至2023年12月31日，本单位共有车辆</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辆，其中，副部（省）级及以上领导用车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辆、主要负责人用车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辆、机要通信用车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辆、应急保障用车</w:t>
      </w: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shd w:val="clear" w:color="auto" w:fill="FFFFFF"/>
        </w:rPr>
        <w:t>辆、执法执勤用车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辆，特种专业技术用车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辆，离退休干部用车</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辆。单价100万元（含）以上专用设备</w:t>
      </w:r>
      <w:r>
        <w:rPr>
          <w:rFonts w:hint="default" w:ascii="Times New Roman" w:hAnsi="Times New Roman" w:eastAsia="方正仿宋_GBK" w:cs="Times New Roman"/>
          <w:sz w:val="32"/>
          <w:szCs w:val="32"/>
        </w:rPr>
        <w:t>0</w:t>
      </w:r>
      <w:r>
        <w:rPr>
          <w:rFonts w:hint="default" w:ascii="Times New Roman" w:hAnsi="Times New Roman" w:eastAsia="方正仿宋_GBK" w:cs="Times New Roman"/>
          <w:sz w:val="32"/>
          <w:szCs w:val="32"/>
          <w:shd w:val="clear" w:color="auto" w:fill="FFFFFF"/>
        </w:rPr>
        <w:t>台（套）。</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（四）政府采购支出情况说明</w:t>
      </w:r>
    </w:p>
    <w:p>
      <w:pPr>
        <w:pStyle w:val="6"/>
        <w:snapToGrid w:val="0"/>
        <w:spacing w:before="0" w:beforeAutospacing="0" w:after="0" w:afterAutospacing="0" w:line="600" w:lineRule="exact"/>
        <w:ind w:firstLine="640" w:firstLineChars="200"/>
        <w:jc w:val="both"/>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2023年度本单位政府采购支出总额</w:t>
      </w:r>
      <w:r>
        <w:rPr>
          <w:rFonts w:hint="default" w:ascii="Times New Roman" w:hAnsi="Times New Roman" w:eastAsia="方正仿宋_GBK" w:cs="Times New Roman"/>
          <w:sz w:val="32"/>
          <w:szCs w:val="32"/>
        </w:rPr>
        <w:t>2.39</w:t>
      </w:r>
      <w:r>
        <w:rPr>
          <w:rFonts w:hint="default" w:ascii="Times New Roman" w:hAnsi="Times New Roman" w:eastAsia="方正仿宋_GBK" w:cs="Times New Roman"/>
          <w:sz w:val="32"/>
          <w:szCs w:val="32"/>
          <w:shd w:val="clear" w:color="auto" w:fill="FFFFFF"/>
        </w:rPr>
        <w:t>万元，其中：政府采购货物支出</w:t>
      </w:r>
      <w:r>
        <w:rPr>
          <w:rFonts w:hint="default" w:ascii="Times New Roman" w:hAnsi="Times New Roman" w:eastAsia="方正仿宋_GBK" w:cs="Times New Roman"/>
          <w:sz w:val="32"/>
          <w:szCs w:val="32"/>
        </w:rPr>
        <w:t>2.39</w:t>
      </w:r>
      <w:r>
        <w:rPr>
          <w:rFonts w:hint="default" w:ascii="Times New Roman" w:hAnsi="Times New Roman" w:eastAsia="方正仿宋_GBK" w:cs="Times New Roman"/>
          <w:sz w:val="32"/>
          <w:szCs w:val="32"/>
          <w:shd w:val="clear" w:color="auto" w:fill="FFFFFF"/>
        </w:rPr>
        <w:t>万元、政府采购工程支出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万元、政府采购服务支出</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万元。授予中小企业合同金额</w:t>
      </w:r>
      <w:r>
        <w:rPr>
          <w:rFonts w:hint="default" w:ascii="Times New Roman" w:hAnsi="Times New Roman" w:eastAsia="方正仿宋_GBK" w:cs="Times New Roman"/>
          <w:sz w:val="32"/>
          <w:szCs w:val="32"/>
        </w:rPr>
        <w:t>0.00万</w:t>
      </w:r>
      <w:r>
        <w:rPr>
          <w:rFonts w:hint="default" w:ascii="Times New Roman" w:hAnsi="Times New Roman" w:eastAsia="方正仿宋_GBK" w:cs="Times New Roman"/>
          <w:sz w:val="32"/>
          <w:szCs w:val="32"/>
          <w:shd w:val="clear" w:color="auto" w:fill="FFFFFF"/>
        </w:rPr>
        <w:t>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%，其中：授予小微企业合同金额</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万元，占政府采购支出总额的</w:t>
      </w:r>
      <w:r>
        <w:rPr>
          <w:rFonts w:hint="default" w:ascii="Times New Roman" w:hAnsi="Times New Roman" w:eastAsia="方正仿宋_GBK" w:cs="Times New Roman"/>
          <w:sz w:val="32"/>
          <w:szCs w:val="32"/>
        </w:rPr>
        <w:t>0.00</w:t>
      </w:r>
      <w:r>
        <w:rPr>
          <w:rFonts w:hint="default" w:ascii="Times New Roman" w:hAnsi="Times New Roman" w:eastAsia="方正仿宋_GBK" w:cs="Times New Roman"/>
          <w:sz w:val="32"/>
          <w:szCs w:val="32"/>
          <w:shd w:val="clear" w:color="auto" w:fill="FFFFFF"/>
        </w:rPr>
        <w:t xml:space="preserve"> %。主要用于采购办公电脑支出。</w:t>
      </w:r>
    </w:p>
    <w:p>
      <w:pPr>
        <w:pStyle w:val="6"/>
        <w:numPr>
          <w:ilvl w:val="0"/>
          <w:numId w:val="1"/>
        </w:numPr>
        <w:shd w:val="clear" w:color="auto" w:fill="FFFFFF"/>
        <w:rPr>
          <w:rStyle w:val="10"/>
          <w:rFonts w:hint="default" w:ascii="Times New Roman" w:hAnsi="Times New Roman" w:eastAsia="黑体" w:cs="Times New Roman"/>
          <w:sz w:val="32"/>
          <w:szCs w:val="32"/>
          <w:shd w:val="clear" w:color="auto" w:fill="FFFFFF"/>
        </w:rPr>
      </w:pPr>
      <w:r>
        <w:rPr>
          <w:rStyle w:val="10"/>
          <w:rFonts w:hint="default" w:ascii="Times New Roman" w:hAnsi="Times New Roman" w:eastAsia="黑体" w:cs="Times New Roman"/>
          <w:sz w:val="32"/>
          <w:szCs w:val="32"/>
          <w:shd w:val="clear" w:color="auto" w:fill="FFFFFF"/>
        </w:rPr>
        <w:t>预算绩效管理情况说明</w:t>
      </w:r>
    </w:p>
    <w:p>
      <w:pPr>
        <w:pStyle w:val="11"/>
        <w:keepNext/>
        <w:keepLines w:val="0"/>
        <w:pageBreakBefore w:val="0"/>
        <w:widowControl w:val="0"/>
        <w:kinsoku/>
        <w:wordWrap/>
        <w:overflowPunct/>
        <w:topLinePunct w:val="0"/>
        <w:autoSpaceDE w:val="0"/>
        <w:autoSpaceDN/>
        <w:bidi w:val="0"/>
        <w:adjustRightInd/>
        <w:spacing w:beforeAutospacing="0" w:afterAutospacing="0" w:line="596" w:lineRule="exact"/>
        <w:ind w:firstLine="643"/>
        <w:jc w:val="both"/>
        <w:textAlignment w:val="auto"/>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（一）单位自评情况</w:t>
      </w:r>
    </w:p>
    <w:p>
      <w:pPr>
        <w:pStyle w:val="12"/>
        <w:keepNext/>
        <w:keepLines w:val="0"/>
        <w:pageBreakBefore w:val="0"/>
        <w:widowControl w:val="0"/>
        <w:kinsoku/>
        <w:wordWrap/>
        <w:overflowPunct/>
        <w:topLinePunct w:val="0"/>
        <w:autoSpaceDE w:val="0"/>
        <w:autoSpaceDN/>
        <w:bidi w:val="0"/>
        <w:adjustRightInd/>
        <w:spacing w:before="0" w:beforeAutospacing="0" w:after="0" w:afterAutospacing="0" w:line="596" w:lineRule="exact"/>
        <w:ind w:firstLine="640" w:firstLineChars="200"/>
        <w:jc w:val="both"/>
        <w:textAlignment w:val="auto"/>
        <w:rPr>
          <w:rFonts w:hint="default" w:ascii="Times New Roman" w:hAnsi="Times New Roman" w:eastAsia="方正仿宋_GBK" w:cs="Times New Roman"/>
          <w:sz w:val="32"/>
          <w:szCs w:val="32"/>
          <w:shd w:val="clear" w:color="auto" w:fill="FFFFFF"/>
        </w:rPr>
      </w:pPr>
      <w:r>
        <w:rPr>
          <w:rFonts w:hint="default" w:ascii="Times New Roman" w:hAnsi="Times New Roman" w:eastAsia="方正仿宋_GBK" w:cs="Times New Roman"/>
          <w:sz w:val="32"/>
          <w:szCs w:val="32"/>
          <w:shd w:val="clear" w:color="auto" w:fill="FFFFFF"/>
        </w:rPr>
        <w:t>根据预算绩效管理要求，我</w:t>
      </w:r>
      <w:r>
        <w:rPr>
          <w:rFonts w:hint="default" w:ascii="Times New Roman" w:hAnsi="Times New Roman" w:eastAsia="方正仿宋_GBK" w:cs="Times New Roman"/>
          <w:sz w:val="32"/>
          <w:szCs w:val="32"/>
          <w:shd w:val="clear" w:color="auto" w:fill="FFFFFF"/>
          <w:lang w:eastAsia="zh-CN"/>
        </w:rPr>
        <w:t>乡</w:t>
      </w:r>
      <w:r>
        <w:rPr>
          <w:rFonts w:hint="default" w:ascii="Times New Roman" w:hAnsi="Times New Roman" w:eastAsia="方正仿宋_GBK" w:cs="Times New Roman"/>
          <w:sz w:val="32"/>
          <w:szCs w:val="32"/>
          <w:shd w:val="clear" w:color="auto" w:fill="FFFFFF"/>
        </w:rPr>
        <w:t>对6</w:t>
      </w:r>
      <w:r>
        <w:rPr>
          <w:rFonts w:hint="default" w:ascii="Times New Roman" w:hAnsi="Times New Roman" w:eastAsia="方正仿宋_GBK" w:cs="Times New Roman"/>
          <w:sz w:val="32"/>
          <w:szCs w:val="32"/>
          <w:shd w:val="clear" w:color="auto" w:fill="FFFFFF"/>
          <w:lang w:val="en-US" w:eastAsia="zh-CN"/>
        </w:rPr>
        <w:t>0</w:t>
      </w:r>
      <w:r>
        <w:rPr>
          <w:rFonts w:hint="default" w:ascii="Times New Roman" w:hAnsi="Times New Roman" w:eastAsia="方正仿宋_GBK" w:cs="Times New Roman"/>
          <w:sz w:val="32"/>
          <w:szCs w:val="32"/>
          <w:shd w:val="clear" w:color="auto" w:fill="FFFFFF"/>
        </w:rPr>
        <w:t>个二级项目开展了绩效自评，涉及财政拨款项目支出资金</w:t>
      </w:r>
      <w:r>
        <w:rPr>
          <w:rFonts w:hint="default" w:ascii="Times New Roman" w:hAnsi="Times New Roman" w:eastAsia="方正仿宋_GBK" w:cs="Times New Roman"/>
          <w:sz w:val="32"/>
          <w:szCs w:val="32"/>
          <w:shd w:val="clear" w:color="auto" w:fill="FFFFFF"/>
          <w:lang w:val="en-US" w:eastAsia="zh-CN"/>
        </w:rPr>
        <w:t>588.60</w:t>
      </w:r>
      <w:r>
        <w:rPr>
          <w:rFonts w:hint="default" w:ascii="Times New Roman" w:hAnsi="Times New Roman" w:eastAsia="方正仿宋_GBK" w:cs="Times New Roman"/>
          <w:sz w:val="32"/>
          <w:szCs w:val="32"/>
          <w:shd w:val="clear" w:color="auto" w:fill="FFFFFF"/>
        </w:rPr>
        <w:t>万元。</w:t>
      </w:r>
    </w:p>
    <w:tbl>
      <w:tblPr>
        <w:tblStyle w:val="7"/>
        <w:tblW w:w="856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42"/>
        <w:gridCol w:w="620"/>
        <w:gridCol w:w="620"/>
        <w:gridCol w:w="840"/>
        <w:gridCol w:w="721"/>
        <w:gridCol w:w="775"/>
        <w:gridCol w:w="876"/>
        <w:gridCol w:w="620"/>
        <w:gridCol w:w="620"/>
        <w:gridCol w:w="708"/>
        <w:gridCol w:w="9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5" w:hRule="atLeast"/>
        </w:trPr>
        <w:tc>
          <w:tcPr>
            <w:tcW w:w="85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2023年度部门整体绩效自评表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1"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项目名称：</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石柱土家族自治县新乐乡人民政府整体自评</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项目编码：</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50024000023P000088</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自评总分：</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99.99</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imes New Roman" w:hAnsi="Times New Roman" w:eastAsia="方正仿宋_GBK" w:cs="Times New Roman"/>
                <w:b/>
                <w:bCs/>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36"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项目主管部门：</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933-石柱土家族自治县新乐乡人民政府</w:t>
            </w:r>
          </w:p>
        </w:tc>
        <w:tc>
          <w:tcPr>
            <w:tcW w:w="84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财政归口处室：</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509-农业农村和基层财政科</w:t>
            </w:r>
          </w:p>
        </w:tc>
        <w:tc>
          <w:tcPr>
            <w:tcW w:w="8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部门联系人：</w:t>
            </w:r>
          </w:p>
        </w:tc>
        <w:tc>
          <w:tcPr>
            <w:tcW w:w="124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田清</w:t>
            </w:r>
          </w:p>
        </w:tc>
        <w:tc>
          <w:tcPr>
            <w:tcW w:w="70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联系电话：</w:t>
            </w:r>
          </w:p>
        </w:tc>
        <w:tc>
          <w:tcPr>
            <w:tcW w:w="9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15723650026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5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808080"/>
                <w:sz w:val="20"/>
                <w:szCs w:val="20"/>
                <w:u w:val="none"/>
              </w:rPr>
            </w:pPr>
            <w:r>
              <w:rPr>
                <w:rFonts w:hint="default" w:ascii="Times New Roman" w:hAnsi="Times New Roman" w:eastAsia="方正仿宋_GBK" w:cs="Times New Roman"/>
                <w:b/>
                <w:bCs/>
                <w:i w:val="0"/>
                <w:iCs w:val="0"/>
                <w:color w:val="808080"/>
                <w:kern w:val="0"/>
                <w:sz w:val="20"/>
                <w:szCs w:val="20"/>
                <w:u w:val="none"/>
                <w:lang w:val="en-US" w:eastAsia="zh-CN" w:bidi="ar"/>
              </w:rPr>
              <w:t>资金情况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862"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方正仿宋_GBK" w:cs="Times New Roman"/>
                <w:i w:val="0"/>
                <w:iCs w:val="0"/>
                <w:color w:val="000000"/>
                <w:sz w:val="20"/>
                <w:szCs w:val="20"/>
                <w:u w:val="none"/>
              </w:rPr>
            </w:pP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年初预算数</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全年（调整）预算数</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全年执行数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执行率</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执行率权重</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执行率得分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年度总金额</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6,357,016.68</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11,538,989.83</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11,538,989.83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sz w:val="20"/>
                <w:szCs w:val="20"/>
                <w:u w:val="none"/>
              </w:rPr>
            </w:pP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i w:val="0"/>
                <w:iCs w:val="0"/>
                <w:color w:val="000000"/>
                <w:kern w:val="0"/>
                <w:sz w:val="20"/>
                <w:szCs w:val="20"/>
                <w:u w:val="none"/>
                <w:lang w:val="en-US" w:eastAsia="zh-CN" w:bidi="ar"/>
              </w:rPr>
            </w:pPr>
            <w:r>
              <w:rPr>
                <w:rFonts w:hint="default" w:ascii="Times New Roman" w:hAnsi="Times New Roman" w:eastAsia="方正仿宋_GBK" w:cs="Times New Roman"/>
                <w:i w:val="0"/>
                <w:iCs w:val="0"/>
                <w:color w:val="000000"/>
                <w:kern w:val="0"/>
                <w:sz w:val="20"/>
                <w:szCs w:val="20"/>
                <w:u w:val="none"/>
                <w:lang w:val="en-US" w:eastAsia="zh-CN" w:bidi="ar"/>
              </w:rPr>
              <w:t>其中：财政拨款</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6,357,016.68</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11,538,989.83</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11,538,989.83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10.00</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both"/>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186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一般公共预算</w:t>
            </w:r>
          </w:p>
        </w:tc>
        <w:tc>
          <w:tcPr>
            <w:tcW w:w="146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6,357,016.68</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11334189.83</w:t>
            </w:r>
          </w:p>
        </w:tc>
        <w:tc>
          <w:tcPr>
            <w:tcW w:w="14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11,334,189.83</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default" w:ascii="Times New Roman" w:hAnsi="Times New Roman" w:eastAsia="方正仿宋_GBK" w:cs="Times New Roman"/>
                <w:i w:val="0"/>
                <w:iCs w:val="0"/>
                <w:color w:val="000000"/>
                <w:sz w:val="20"/>
                <w:szCs w:val="20"/>
                <w:u w:val="none"/>
                <w:lang w:val="en-US"/>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default" w:ascii="Times New Roman" w:hAnsi="Times New Roman" w:eastAsia="方正仿宋_GBK" w:cs="Times New Roman"/>
                <w:i w:val="0"/>
                <w:iCs w:val="0"/>
                <w:color w:val="000000"/>
                <w:sz w:val="20"/>
                <w:szCs w:val="20"/>
                <w:u w:val="none"/>
              </w:rPr>
            </w:pP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righ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7" w:hRule="atLeast"/>
        </w:trPr>
        <w:tc>
          <w:tcPr>
            <w:tcW w:w="85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808080"/>
                <w:sz w:val="20"/>
                <w:szCs w:val="20"/>
                <w:u w:val="none"/>
              </w:rPr>
            </w:pPr>
            <w:r>
              <w:rPr>
                <w:rFonts w:hint="default" w:ascii="Times New Roman" w:hAnsi="Times New Roman" w:eastAsia="方正仿宋_GBK" w:cs="Times New Roman"/>
                <w:b/>
                <w:bCs/>
                <w:i w:val="0"/>
                <w:iCs w:val="0"/>
                <w:color w:val="808080"/>
                <w:kern w:val="0"/>
                <w:sz w:val="20"/>
                <w:szCs w:val="20"/>
                <w:u w:val="none"/>
                <w:lang w:val="en-US" w:eastAsia="zh-CN" w:bidi="ar"/>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1" w:hRule="atLeast"/>
        </w:trPr>
        <w:tc>
          <w:tcPr>
            <w:tcW w:w="332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年初绩效目标</w:t>
            </w:r>
          </w:p>
        </w:tc>
        <w:tc>
          <w:tcPr>
            <w:tcW w:w="2992"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全年（调整）绩效目标</w:t>
            </w: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16" w:hRule="atLeast"/>
        </w:trPr>
        <w:tc>
          <w:tcPr>
            <w:tcW w:w="332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在县委、县政府和乡党委的坚强领导下,深入贯彻习近平总书记关于“党和政府带头过紧日子”“积极的财政政策要更加积极有为”等重要指示精神，2023年我乡将进一步摸清“三保”支出的底数，明确“三保”支出的范围和标准，做好“三保”风险预判，确保“三保”支出保障率达到100%；加大绩效结果应用，坚持“花钱必问效、无效必问责”的制度，强化资金拨付约束机制，2023年12月31日前，完成上级部门要求的项目绩效自评；降低我乡三公经费等一般性支出，各项资金支付完成率达到100%；严格坚持“先有预算后有支出”的原则，不受理和办理无预算、超预算的拨款事项，优先保障运转和基本民生支出，在未保障到位的情况暂停拨付其他资金；圆满完成上级交办的各项任务，提高基层治理水平，构建和谐稳定万朝，使群众满意度达到98%。</w:t>
            </w:r>
          </w:p>
        </w:tc>
        <w:tc>
          <w:tcPr>
            <w:tcW w:w="2992" w:type="dxa"/>
            <w:gridSpan w:val="4"/>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default" w:ascii="Times New Roman" w:hAnsi="Times New Roman" w:eastAsia="方正仿宋_GBK" w:cs="Times New Roman"/>
                <w:i w:val="0"/>
                <w:iCs w:val="0"/>
                <w:color w:val="000000"/>
                <w:sz w:val="20"/>
                <w:szCs w:val="20"/>
                <w:u w:val="none"/>
              </w:rPr>
            </w:pPr>
          </w:p>
        </w:tc>
        <w:tc>
          <w:tcPr>
            <w:tcW w:w="2255"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在县委、县政府和乡党委的坚强领导下,深入贯彻习近平总书记关于“党和政府带头过紧日子”“积极的财政政策要更加积极有为”等重要指示精神，2023年我乡进一步摸清了“三保”支出的底数，明确了“三保”支出的范围和标准，做好了“三保”风险预判，确保“三保”支出保障率达到100%；加大绩效结果应用，坚持“花钱必问效、无效必问责”的制度，强化资金拨付约束机制，2023年我乡三公经费支出较上年下降15.96%，各项资金支付完成率达到100%；严格坚持“先有预算后有支出”的原则，不受理和办理无预算、超预算的拨款事项，优先保障运转和基本民生支出，在未保障到位的情况暂停拨付其他资金；圆满完成了上级交办的各项任务，提高了基层治理水平，构建和谐稳定的万朝，群众满意度达到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72" w:hRule="atLeast"/>
        </w:trPr>
        <w:tc>
          <w:tcPr>
            <w:tcW w:w="856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808080"/>
                <w:sz w:val="20"/>
                <w:szCs w:val="20"/>
                <w:u w:val="none"/>
              </w:rPr>
            </w:pPr>
            <w:r>
              <w:rPr>
                <w:rFonts w:hint="default" w:ascii="Times New Roman" w:hAnsi="Times New Roman" w:eastAsia="方正仿宋_GBK" w:cs="Times New Roman"/>
                <w:b/>
                <w:bCs/>
                <w:i w:val="0"/>
                <w:iCs w:val="0"/>
                <w:color w:val="808080"/>
                <w:kern w:val="0"/>
                <w:sz w:val="20"/>
                <w:szCs w:val="20"/>
                <w:u w:val="none"/>
                <w:lang w:val="en-US" w:eastAsia="zh-CN" w:bidi="ar"/>
              </w:rPr>
              <w:t>绩效指标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指标名称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计量单位</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指标性质</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指标值</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全年完成值</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偏离度（%）</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得分系数（%）</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指标权重</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指标得分</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是否核心指标</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方正仿宋_GBK" w:cs="Times New Roman"/>
                <w:b/>
                <w:bCs/>
                <w:i w:val="0"/>
                <w:iCs w:val="0"/>
                <w:color w:val="000000"/>
                <w:sz w:val="20"/>
                <w:szCs w:val="20"/>
                <w:u w:val="none"/>
              </w:rPr>
            </w:pPr>
            <w:r>
              <w:rPr>
                <w:rFonts w:hint="default" w:ascii="Times New Roman" w:hAnsi="Times New Roman" w:eastAsia="方正仿宋_GBK" w:cs="Times New Roman"/>
                <w:b/>
                <w:bCs/>
                <w:i w:val="0"/>
                <w:iCs w:val="0"/>
                <w:color w:val="000000"/>
                <w:kern w:val="0"/>
                <w:sz w:val="20"/>
                <w:szCs w:val="20"/>
                <w:u w:val="none"/>
                <w:lang w:val="en-US" w:eastAsia="zh-CN" w:bidi="ar"/>
              </w:rPr>
              <w:t>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管理村社区数量</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个</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4</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乡乡年底考核情况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20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资金拨付及时率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经济发展情况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社会和谐稳定情况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生态环境情况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体制机制情况</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定性</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优良中低差</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公众满意度</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98</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乡乡职工满意度</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99</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99</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人均公用经费变动率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3" w:hRule="atLeast"/>
        </w:trPr>
        <w:tc>
          <w:tcPr>
            <w:tcW w:w="124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三公经费支出节约率</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w:t>
            </w:r>
          </w:p>
        </w:tc>
        <w:tc>
          <w:tcPr>
            <w:tcW w:w="84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2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3</w:t>
            </w:r>
          </w:p>
        </w:tc>
        <w:tc>
          <w:tcPr>
            <w:tcW w:w="7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0</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righ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100</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62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both"/>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5</w:t>
            </w:r>
          </w:p>
        </w:tc>
        <w:tc>
          <w:tcPr>
            <w:tcW w:w="70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ind w:firstLineChars="100"/>
              <w:jc w:val="left"/>
              <w:textAlignment w:val="center"/>
              <w:rPr>
                <w:rFonts w:hint="default" w:ascii="Times New Roman" w:hAnsi="Times New Roman" w:eastAsia="方正仿宋_GBK" w:cs="Times New Roman"/>
                <w:i w:val="0"/>
                <w:iCs w:val="0"/>
                <w:color w:val="000000"/>
                <w:sz w:val="20"/>
                <w:szCs w:val="20"/>
                <w:u w:val="none"/>
              </w:rPr>
            </w:pPr>
            <w:r>
              <w:rPr>
                <w:rFonts w:hint="default" w:ascii="Times New Roman" w:hAnsi="Times New Roman" w:eastAsia="方正仿宋_GBK" w:cs="Times New Roman"/>
                <w:i w:val="0"/>
                <w:iCs w:val="0"/>
                <w:color w:val="000000"/>
                <w:kern w:val="0"/>
                <w:sz w:val="20"/>
                <w:szCs w:val="20"/>
                <w:u w:val="none"/>
                <w:lang w:val="en-US" w:eastAsia="zh-CN" w:bidi="ar"/>
              </w:rPr>
              <w:t>否</w:t>
            </w:r>
          </w:p>
        </w:tc>
        <w:tc>
          <w:tcPr>
            <w:tcW w:w="92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hint="default" w:ascii="Times New Roman" w:hAnsi="Times New Roman" w:eastAsia="方正仿宋_GBK" w:cs="Times New Roman"/>
                <w:i w:val="0"/>
                <w:iCs w:val="0"/>
                <w:color w:val="000000"/>
                <w:sz w:val="20"/>
                <w:szCs w:val="20"/>
                <w:u w:val="none"/>
              </w:rPr>
            </w:pPr>
          </w:p>
        </w:tc>
      </w:tr>
    </w:tbl>
    <w:p>
      <w:pPr>
        <w:pStyle w:val="11"/>
        <w:autoSpaceDE w:val="0"/>
        <w:ind w:left="0" w:leftChars="0" w:firstLine="643" w:firstLineChars="200"/>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（二）部门绩效评价情况</w:t>
      </w:r>
    </w:p>
    <w:p>
      <w:pPr>
        <w:pStyle w:val="14"/>
        <w:keepNext/>
        <w:keepLines w:val="0"/>
        <w:pageBreakBefore w:val="0"/>
        <w:widowControl w:val="0"/>
        <w:kinsoku/>
        <w:wordWrap/>
        <w:overflowPunct/>
        <w:topLinePunct w:val="0"/>
        <w:autoSpaceDE w:val="0"/>
        <w:autoSpaceDN/>
        <w:bidi w:val="0"/>
        <w:adjustRightInd/>
        <w:spacing w:beforeAutospacing="0" w:afterAutospacing="0" w:line="596"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r>
        <w:rPr>
          <w:rFonts w:hint="default" w:ascii="Times New Roman" w:hAnsi="Times New Roman" w:eastAsia="方正仿宋_GBK" w:cs="Times New Roman"/>
          <w:sz w:val="32"/>
          <w:szCs w:val="32"/>
          <w:shd w:val="clear" w:color="auto" w:fill="FFFFFF"/>
        </w:rPr>
        <w:t>我单位对</w:t>
      </w:r>
      <w:r>
        <w:rPr>
          <w:rFonts w:hint="default" w:ascii="Times New Roman" w:hAnsi="Times New Roman" w:eastAsia="方正仿宋_GBK" w:cs="Times New Roman"/>
          <w:sz w:val="32"/>
          <w:szCs w:val="32"/>
          <w:shd w:val="clear" w:color="auto" w:fill="FFFFFF"/>
          <w:lang w:val="en-US" w:eastAsia="zh-CN"/>
        </w:rPr>
        <w:t>石柱县新乐乡2023年黄山贡菊、皱皮木瓜等产业便道建设项目</w:t>
      </w:r>
      <w:r>
        <w:rPr>
          <w:rFonts w:hint="default" w:ascii="Times New Roman" w:hAnsi="Times New Roman" w:eastAsia="方正仿宋_GBK" w:cs="Times New Roman"/>
          <w:sz w:val="32"/>
          <w:szCs w:val="32"/>
          <w:shd w:val="clear" w:color="auto" w:fill="FFFFFF"/>
        </w:rPr>
        <w:t>开</w:t>
      </w:r>
      <w:bookmarkStart w:id="0" w:name="_GoBack"/>
      <w:bookmarkEnd w:id="0"/>
      <w:r>
        <w:rPr>
          <w:rFonts w:hint="default" w:ascii="Times New Roman" w:hAnsi="Times New Roman" w:eastAsia="方正仿宋_GBK" w:cs="Times New Roman"/>
          <w:sz w:val="32"/>
          <w:szCs w:val="32"/>
          <w:shd w:val="clear" w:color="auto" w:fill="FFFFFF"/>
        </w:rPr>
        <w:t>展了绩效评价，涉及财政拨款项目资金</w:t>
      </w:r>
      <w:r>
        <w:rPr>
          <w:rFonts w:hint="default" w:ascii="Times New Roman" w:hAnsi="Times New Roman" w:eastAsia="方正仿宋_GBK" w:cs="Times New Roman"/>
          <w:sz w:val="32"/>
          <w:szCs w:val="32"/>
          <w:shd w:val="clear" w:color="auto" w:fill="FFFFFF"/>
          <w:lang w:val="en-US" w:eastAsia="zh-CN"/>
        </w:rPr>
        <w:t>100</w:t>
      </w:r>
      <w:r>
        <w:rPr>
          <w:rFonts w:hint="default" w:ascii="Times New Roman" w:hAnsi="Times New Roman" w:eastAsia="方正仿宋_GBK" w:cs="Times New Roman"/>
          <w:sz w:val="32"/>
          <w:szCs w:val="32"/>
          <w:shd w:val="clear" w:color="auto" w:fill="FFFFFF"/>
        </w:rPr>
        <w:t>万元，评价得分</w:t>
      </w:r>
      <w:r>
        <w:rPr>
          <w:rFonts w:hint="default" w:ascii="Times New Roman" w:hAnsi="Times New Roman" w:eastAsia="方正仿宋_GBK" w:cs="Times New Roman"/>
          <w:sz w:val="32"/>
          <w:szCs w:val="32"/>
          <w:shd w:val="clear" w:color="auto" w:fill="FFFFFF"/>
          <w:lang w:val="en-US" w:eastAsia="zh-CN"/>
        </w:rPr>
        <w:t>98</w:t>
      </w:r>
      <w:r>
        <w:rPr>
          <w:rFonts w:hint="default" w:ascii="Times New Roman" w:hAnsi="Times New Roman" w:eastAsia="方正仿宋_GBK" w:cs="Times New Roman"/>
          <w:sz w:val="32"/>
          <w:szCs w:val="32"/>
          <w:shd w:val="clear" w:color="auto" w:fill="FFFFFF"/>
        </w:rPr>
        <w:t>分，评价等次为</w:t>
      </w:r>
      <w:r>
        <w:rPr>
          <w:rFonts w:hint="default" w:ascii="Times New Roman" w:hAnsi="Times New Roman" w:eastAsia="方正仿宋_GBK" w:cs="Times New Roman"/>
          <w:sz w:val="32"/>
          <w:szCs w:val="32"/>
          <w:shd w:val="clear" w:color="auto" w:fill="FFFFFF"/>
          <w:lang w:eastAsia="zh-CN"/>
        </w:rPr>
        <w:t>优。</w:t>
      </w:r>
    </w:p>
    <w:tbl>
      <w:tblPr>
        <w:tblStyle w:val="7"/>
        <w:tblW w:w="5000" w:type="pct"/>
        <w:tblInd w:w="0" w:type="dxa"/>
        <w:tblLayout w:type="autofit"/>
        <w:tblCellMar>
          <w:top w:w="0" w:type="dxa"/>
          <w:left w:w="108" w:type="dxa"/>
          <w:bottom w:w="0" w:type="dxa"/>
          <w:right w:w="108" w:type="dxa"/>
        </w:tblCellMar>
      </w:tblPr>
      <w:tblGrid>
        <w:gridCol w:w="687"/>
        <w:gridCol w:w="768"/>
        <w:gridCol w:w="1116"/>
        <w:gridCol w:w="1145"/>
        <w:gridCol w:w="1015"/>
        <w:gridCol w:w="1017"/>
        <w:gridCol w:w="572"/>
        <w:gridCol w:w="568"/>
        <w:gridCol w:w="1643"/>
      </w:tblGrid>
      <w:tr>
        <w:tblPrEx>
          <w:tblCellMar>
            <w:top w:w="0" w:type="dxa"/>
            <w:left w:w="108" w:type="dxa"/>
            <w:bottom w:w="0" w:type="dxa"/>
            <w:right w:w="108" w:type="dxa"/>
          </w:tblCellMar>
        </w:tblPrEx>
        <w:trPr>
          <w:trHeight w:val="444" w:hRule="atLeast"/>
        </w:trPr>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项目资金名称</w:t>
            </w:r>
          </w:p>
        </w:tc>
        <w:tc>
          <w:tcPr>
            <w:tcW w:w="192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石柱县新乐乡2023年黄山贡菊、皱皮木瓜等产业便道建设项目</w:t>
            </w:r>
          </w:p>
        </w:tc>
        <w:tc>
          <w:tcPr>
            <w:tcW w:w="931"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项目实施年度(时期)</w:t>
            </w:r>
          </w:p>
        </w:tc>
        <w:tc>
          <w:tcPr>
            <w:tcW w:w="1294"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rPr>
              <w:t>202</w:t>
            </w:r>
            <w:r>
              <w:rPr>
                <w:rFonts w:hint="default" w:ascii="Times New Roman" w:hAnsi="Times New Roman" w:cs="Times New Roman"/>
                <w:color w:val="000000"/>
                <w:kern w:val="0"/>
                <w:sz w:val="20"/>
                <w:lang w:val="en-US" w:eastAsia="zh-CN"/>
              </w:rPr>
              <w:t>3</w:t>
            </w:r>
            <w:r>
              <w:rPr>
                <w:rFonts w:hint="default" w:ascii="Times New Roman" w:hAnsi="Times New Roman" w:cs="Times New Roman"/>
                <w:color w:val="000000"/>
                <w:kern w:val="0"/>
                <w:sz w:val="20"/>
              </w:rPr>
              <w:t>年</w:t>
            </w:r>
            <w:r>
              <w:rPr>
                <w:rFonts w:hint="default" w:ascii="Times New Roman" w:hAnsi="Times New Roman" w:cs="Times New Roman"/>
                <w:color w:val="000000"/>
                <w:kern w:val="0"/>
                <w:sz w:val="20"/>
                <w:lang w:val="en-US" w:eastAsia="zh-CN"/>
              </w:rPr>
              <w:t>4月6日</w:t>
            </w:r>
          </w:p>
        </w:tc>
      </w:tr>
      <w:tr>
        <w:tblPrEx>
          <w:tblCellMar>
            <w:top w:w="0" w:type="dxa"/>
            <w:left w:w="108" w:type="dxa"/>
            <w:bottom w:w="0" w:type="dxa"/>
            <w:right w:w="108" w:type="dxa"/>
          </w:tblCellMar>
        </w:tblPrEx>
        <w:trPr>
          <w:trHeight w:val="408" w:hRule="atLeast"/>
        </w:trPr>
        <w:tc>
          <w:tcPr>
            <w:tcW w:w="853"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主管部门</w:t>
            </w:r>
          </w:p>
        </w:tc>
        <w:tc>
          <w:tcPr>
            <w:tcW w:w="1920"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sz w:val="20"/>
                <w:lang w:val="en-US" w:eastAsia="zh-CN"/>
              </w:rPr>
              <w:t>石柱土家族自治县民宗委</w:t>
            </w:r>
          </w:p>
        </w:tc>
        <w:tc>
          <w:tcPr>
            <w:tcW w:w="931"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实施单位</w:t>
            </w:r>
          </w:p>
        </w:tc>
        <w:tc>
          <w:tcPr>
            <w:tcW w:w="1294"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新乐乡人民政府</w:t>
            </w:r>
          </w:p>
        </w:tc>
      </w:tr>
      <w:tr>
        <w:tblPrEx>
          <w:tblCellMar>
            <w:top w:w="0" w:type="dxa"/>
            <w:left w:w="108" w:type="dxa"/>
            <w:bottom w:w="0" w:type="dxa"/>
            <w:right w:w="108" w:type="dxa"/>
          </w:tblCellMar>
        </w:tblPrEx>
        <w:trPr>
          <w:trHeight w:val="321" w:hRule="atLeast"/>
        </w:trPr>
        <w:tc>
          <w:tcPr>
            <w:tcW w:w="853" w:type="pct"/>
            <w:gridSpan w:val="2"/>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项目资金（万元）</w:t>
            </w:r>
          </w:p>
        </w:tc>
        <w:tc>
          <w:tcPr>
            <w:tcW w:w="1325"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全年预算数(A)</w:t>
            </w:r>
          </w:p>
        </w:tc>
        <w:tc>
          <w:tcPr>
            <w:tcW w:w="1859"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全年执行数（B）</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执行率（B/A,%)</w:t>
            </w:r>
          </w:p>
        </w:tc>
      </w:tr>
      <w:tr>
        <w:tblPrEx>
          <w:tblCellMar>
            <w:top w:w="0" w:type="dxa"/>
            <w:left w:w="108" w:type="dxa"/>
            <w:bottom w:w="0" w:type="dxa"/>
            <w:right w:w="108" w:type="dxa"/>
          </w:tblCellMar>
        </w:tblPrEx>
        <w:trPr>
          <w:trHeight w:val="321" w:hRule="atLeast"/>
        </w:trPr>
        <w:tc>
          <w:tcPr>
            <w:tcW w:w="853" w:type="pct"/>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总量</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100</w:t>
            </w:r>
          </w:p>
        </w:tc>
        <w:tc>
          <w:tcPr>
            <w:tcW w:w="1190"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总量</w:t>
            </w:r>
          </w:p>
        </w:tc>
        <w:tc>
          <w:tcPr>
            <w:tcW w:w="66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99.8901</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99.89</w:t>
            </w:r>
            <w:r>
              <w:rPr>
                <w:rFonts w:hint="default" w:ascii="Times New Roman" w:hAnsi="Times New Roman" w:cs="Times New Roman"/>
                <w:color w:val="000000"/>
                <w:kern w:val="0"/>
                <w:sz w:val="20"/>
              </w:rPr>
              <w:t>%</w:t>
            </w:r>
          </w:p>
        </w:tc>
      </w:tr>
      <w:tr>
        <w:tblPrEx>
          <w:tblCellMar>
            <w:top w:w="0" w:type="dxa"/>
            <w:left w:w="108" w:type="dxa"/>
            <w:bottom w:w="0" w:type="dxa"/>
            <w:right w:w="108" w:type="dxa"/>
          </w:tblCellMar>
        </w:tblPrEx>
        <w:trPr>
          <w:trHeight w:val="336" w:hRule="atLeast"/>
        </w:trPr>
        <w:tc>
          <w:tcPr>
            <w:tcW w:w="853" w:type="pct"/>
            <w:gridSpan w:val="2"/>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18"/>
              </w:rPr>
            </w:pPr>
            <w:r>
              <w:rPr>
                <w:rFonts w:hint="default" w:ascii="Times New Roman" w:hAnsi="Times New Roman" w:cs="Times New Roman"/>
                <w:color w:val="000000"/>
                <w:kern w:val="0"/>
                <w:sz w:val="18"/>
              </w:rPr>
              <w:t>其中：财政资金</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100</w:t>
            </w:r>
          </w:p>
        </w:tc>
        <w:tc>
          <w:tcPr>
            <w:tcW w:w="1190"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18"/>
              </w:rPr>
            </w:pPr>
            <w:r>
              <w:rPr>
                <w:rFonts w:hint="default" w:ascii="Times New Roman" w:hAnsi="Times New Roman" w:cs="Times New Roman"/>
                <w:color w:val="000000"/>
                <w:kern w:val="0"/>
                <w:sz w:val="18"/>
              </w:rPr>
              <w:t>其中：财政资金</w:t>
            </w:r>
          </w:p>
        </w:tc>
        <w:tc>
          <w:tcPr>
            <w:tcW w:w="668" w:type="pct"/>
            <w:gridSpan w:val="2"/>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99.8901</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99.89</w:t>
            </w:r>
            <w:r>
              <w:rPr>
                <w:rFonts w:hint="default" w:ascii="Times New Roman" w:hAnsi="Times New Roman" w:cs="Times New Roman"/>
                <w:color w:val="000000"/>
                <w:kern w:val="0"/>
                <w:sz w:val="20"/>
              </w:rPr>
              <w:t>%</w:t>
            </w:r>
          </w:p>
        </w:tc>
      </w:tr>
      <w:tr>
        <w:tblPrEx>
          <w:tblCellMar>
            <w:top w:w="0" w:type="dxa"/>
            <w:left w:w="108" w:type="dxa"/>
            <w:bottom w:w="0" w:type="dxa"/>
            <w:right w:w="108" w:type="dxa"/>
          </w:tblCellMar>
        </w:tblPrEx>
        <w:trPr>
          <w:trHeight w:val="321" w:hRule="atLeast"/>
        </w:trPr>
        <w:tc>
          <w:tcPr>
            <w:tcW w:w="403" w:type="pct"/>
            <w:vMerge w:val="restart"/>
            <w:tcBorders>
              <w:top w:val="single" w:color="000000" w:sz="4" w:space="0"/>
              <w:left w:val="single" w:color="000000" w:sz="4" w:space="0"/>
              <w:bottom w:val="single" w:color="000000" w:sz="4" w:space="0"/>
              <w:right w:val="nil"/>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年度总体目标</w:t>
            </w:r>
          </w:p>
        </w:tc>
        <w:tc>
          <w:tcPr>
            <w:tcW w:w="1775"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年初设定目标</w:t>
            </w:r>
          </w:p>
        </w:tc>
        <w:tc>
          <w:tcPr>
            <w:tcW w:w="1859"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全年目标实际完成情况</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自评等级(优良中差)</w:t>
            </w:r>
          </w:p>
        </w:tc>
      </w:tr>
      <w:tr>
        <w:tblPrEx>
          <w:tblCellMar>
            <w:top w:w="0" w:type="dxa"/>
            <w:left w:w="108" w:type="dxa"/>
            <w:bottom w:w="0" w:type="dxa"/>
            <w:right w:w="108" w:type="dxa"/>
          </w:tblCellMar>
        </w:tblPrEx>
        <w:trPr>
          <w:trHeight w:val="2280" w:hRule="atLeast"/>
        </w:trPr>
        <w:tc>
          <w:tcPr>
            <w:tcW w:w="403" w:type="pct"/>
            <w:vMerge w:val="continue"/>
            <w:tcBorders>
              <w:top w:val="single" w:color="000000" w:sz="4" w:space="0"/>
              <w:left w:val="single" w:color="000000" w:sz="4" w:space="0"/>
              <w:bottom w:val="single" w:color="000000" w:sz="4" w:space="0"/>
              <w:right w:val="nil"/>
              <w:tl2br w:val="nil"/>
              <w:tr2bl w:val="nil"/>
            </w:tcBorders>
            <w:vAlign w:val="center"/>
          </w:tcPr>
          <w:p>
            <w:pPr>
              <w:jc w:val="center"/>
              <w:rPr>
                <w:rFonts w:hint="default" w:ascii="Times New Roman" w:hAnsi="Times New Roman" w:cs="Times New Roman"/>
                <w:color w:val="000000"/>
                <w:sz w:val="20"/>
              </w:rPr>
            </w:pPr>
          </w:p>
        </w:tc>
        <w:tc>
          <w:tcPr>
            <w:tcW w:w="1775"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硬化红河村产业便道长2.2公里，宽3.5米，厚0.2米，C25砼，混凝土管涵2处共8米，围绕红河村发展黄山贡菊100亩，邹皮木瓜100亩，辛夷花360亩，黄精145亩。项目建成后可解决214户931人（其中脱贫户40户158人）的出现问题。</w:t>
            </w:r>
          </w:p>
        </w:tc>
        <w:tc>
          <w:tcPr>
            <w:tcW w:w="1859" w:type="pct"/>
            <w:gridSpan w:val="4"/>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已全面完成红河村产业便道硬化项目。长2.2公里，宽3.5米，厚0.2米，C25砼，混凝土管涵2处共8米。</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优</w:t>
            </w:r>
          </w:p>
        </w:tc>
      </w:tr>
      <w:tr>
        <w:tblPrEx>
          <w:tblCellMar>
            <w:top w:w="0" w:type="dxa"/>
            <w:left w:w="108" w:type="dxa"/>
            <w:bottom w:w="0" w:type="dxa"/>
            <w:right w:w="108" w:type="dxa"/>
          </w:tblCellMar>
        </w:tblPrEx>
        <w:trPr>
          <w:trHeight w:val="522" w:hRule="atLeast"/>
        </w:trPr>
        <w:tc>
          <w:tcPr>
            <w:tcW w:w="403" w:type="pct"/>
            <w:vMerge w:val="restart"/>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绩效指标</w:t>
            </w:r>
          </w:p>
        </w:tc>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一级指标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二级指标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三级指标</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年度指标值</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实际完成值</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设计</w:t>
            </w:r>
            <w:r>
              <w:rPr>
                <w:rFonts w:hint="default" w:ascii="Times New Roman" w:hAnsi="Times New Roman" w:cs="Times New Roman"/>
                <w:color w:val="000000"/>
                <w:kern w:val="0"/>
                <w:sz w:val="20"/>
              </w:rPr>
              <w:br w:type="textWrapping"/>
            </w:r>
            <w:r>
              <w:rPr>
                <w:rFonts w:hint="default" w:ascii="Times New Roman" w:hAnsi="Times New Roman" w:cs="Times New Roman"/>
                <w:color w:val="000000"/>
                <w:kern w:val="0"/>
                <w:sz w:val="20"/>
              </w:rPr>
              <w:t>分值</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评价</w:t>
            </w:r>
            <w:r>
              <w:rPr>
                <w:rFonts w:hint="default" w:ascii="Times New Roman" w:hAnsi="Times New Roman" w:cs="Times New Roman"/>
                <w:color w:val="000000"/>
                <w:kern w:val="0"/>
                <w:sz w:val="20"/>
              </w:rPr>
              <w:br w:type="textWrapping"/>
            </w:r>
            <w:r>
              <w:rPr>
                <w:rFonts w:hint="default" w:ascii="Times New Roman" w:hAnsi="Times New Roman" w:cs="Times New Roman"/>
                <w:color w:val="000000"/>
                <w:kern w:val="0"/>
                <w:sz w:val="20"/>
              </w:rPr>
              <w:t>得分</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未完成原因和改进措施</w:t>
            </w:r>
            <w:r>
              <w:rPr>
                <w:rFonts w:hint="default" w:ascii="Times New Roman" w:hAnsi="Times New Roman" w:cs="Times New Roman"/>
                <w:color w:val="000000"/>
                <w:kern w:val="0"/>
                <w:sz w:val="20"/>
              </w:rPr>
              <w:br w:type="textWrapping"/>
            </w:r>
            <w:r>
              <w:rPr>
                <w:rFonts w:hint="default" w:ascii="Times New Roman" w:hAnsi="Times New Roman" w:cs="Times New Roman"/>
                <w:color w:val="000000"/>
                <w:kern w:val="0"/>
                <w:sz w:val="20"/>
              </w:rPr>
              <w:t>及相关说明</w:t>
            </w:r>
          </w:p>
        </w:tc>
      </w:tr>
      <w:tr>
        <w:tblPrEx>
          <w:tblCellMar>
            <w:top w:w="0" w:type="dxa"/>
            <w:left w:w="108" w:type="dxa"/>
            <w:bottom w:w="0" w:type="dxa"/>
            <w:right w:w="108" w:type="dxa"/>
          </w:tblCellMar>
        </w:tblPrEx>
        <w:trPr>
          <w:trHeight w:val="1459"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产出指标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数量指标</w:t>
            </w:r>
          </w:p>
        </w:tc>
        <w:tc>
          <w:tcPr>
            <w:tcW w:w="1862" w:type="pct"/>
            <w:gridSpan w:val="3"/>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长2.2公里，宽3.5米，厚0.2米，C25砼，混凝土管涵2处共8米。</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680"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质量指标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项目（工程）竣工验收合格率100%</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时效指标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eastAsia="zh-CN"/>
              </w:rPr>
            </w:pPr>
            <w:r>
              <w:rPr>
                <w:rFonts w:hint="default" w:ascii="Times New Roman" w:hAnsi="Times New Roman" w:cs="Times New Roman"/>
                <w:color w:val="000000"/>
                <w:kern w:val="0"/>
                <w:sz w:val="20"/>
              </w:rPr>
              <w:t>项目工期</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90</w:t>
            </w:r>
            <w:r>
              <w:rPr>
                <w:rFonts w:hint="default" w:ascii="Times New Roman" w:hAnsi="Times New Roman" w:cs="Times New Roman"/>
                <w:color w:val="000000"/>
                <w:kern w:val="0"/>
                <w:sz w:val="20"/>
              </w:rPr>
              <w:t>天</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75</w:t>
            </w:r>
            <w:r>
              <w:rPr>
                <w:rFonts w:hint="default" w:ascii="Times New Roman" w:hAnsi="Times New Roman" w:cs="Times New Roman"/>
                <w:color w:val="000000"/>
                <w:kern w:val="0"/>
                <w:sz w:val="20"/>
              </w:rPr>
              <w:t>天</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15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天气影响</w:t>
            </w: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成本指标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道路补助标准</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50万元/公里</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lang w:val="en-US" w:eastAsia="zh-CN"/>
              </w:rPr>
              <w:t>50万元/公里</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740"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效果指标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经济效益指标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增加群众收入</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200元</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200元</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eastAsia="zh-CN"/>
              </w:rPr>
            </w:pPr>
            <w:r>
              <w:rPr>
                <w:rFonts w:hint="default" w:ascii="Times New Roman" w:hAnsi="Times New Roman" w:cs="Times New Roman"/>
                <w:color w:val="000000"/>
                <w:kern w:val="0"/>
                <w:sz w:val="20"/>
                <w:lang w:val="en-US" w:eastAsia="zh-CN"/>
              </w:rPr>
              <w:t>9</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社会效益指标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Fonts w:hint="default" w:ascii="Times New Roman" w:hAnsi="Times New Roman" w:cs="Times New Roman"/>
                <w:color w:val="000000"/>
                <w:kern w:val="0"/>
                <w:sz w:val="20"/>
                <w:lang w:val="en-US" w:eastAsia="zh-CN"/>
              </w:rPr>
              <w:t>贫困地区居民生产平均缩短时间</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lang w:val="en-US"/>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0.45小时</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eastAsia="宋体" w:cs="Times New Roman"/>
                <w:color w:val="000000"/>
                <w:kern w:val="0"/>
                <w:sz w:val="20"/>
              </w:rPr>
              <w:t>≧</w:t>
            </w:r>
            <w:r>
              <w:rPr>
                <w:rFonts w:hint="default" w:ascii="Times New Roman" w:hAnsi="Times New Roman" w:cs="Times New Roman"/>
                <w:color w:val="000000"/>
                <w:kern w:val="0"/>
                <w:sz w:val="20"/>
                <w:lang w:val="en-US" w:eastAsia="zh-CN"/>
              </w:rPr>
              <w:t>0.45小时</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eastAsia="宋体" w:cs="Times New Roman"/>
                <w:color w:val="000000"/>
                <w:sz w:val="20"/>
                <w:lang w:eastAsia="zh-CN"/>
              </w:rPr>
            </w:pPr>
            <w:r>
              <w:rPr>
                <w:rFonts w:hint="default" w:ascii="Times New Roman" w:hAnsi="Times New Roman" w:cs="Times New Roman"/>
                <w:color w:val="000000"/>
                <w:kern w:val="0"/>
                <w:sz w:val="20"/>
                <w:lang w:val="en-US" w:eastAsia="zh-CN"/>
              </w:rPr>
              <w:t>9</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可持续影响指标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工程设计使用年限</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Style w:val="16"/>
                <w:rFonts w:hint="default" w:ascii="Times New Roman" w:hAnsi="Times New Roman" w:cs="Times New Roman"/>
                <w:sz w:val="24"/>
              </w:rPr>
              <w:t>≥</w:t>
            </w:r>
            <w:r>
              <w:rPr>
                <w:rStyle w:val="17"/>
                <w:rFonts w:hint="default" w:ascii="Times New Roman" w:hAnsi="Times New Roman" w:cs="Times New Roman"/>
              </w:rPr>
              <w:t>10年</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Style w:val="16"/>
                <w:rFonts w:hint="default" w:ascii="Times New Roman" w:hAnsi="Times New Roman" w:cs="Times New Roman"/>
                <w:sz w:val="24"/>
              </w:rPr>
              <w:t>≥</w:t>
            </w:r>
            <w:r>
              <w:rPr>
                <w:rStyle w:val="17"/>
                <w:rFonts w:hint="default" w:ascii="Times New Roman" w:hAnsi="Times New Roman" w:cs="Times New Roman"/>
              </w:rPr>
              <w:t>10年</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管理指标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业务管理指标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项目管理制度</w:t>
            </w:r>
          </w:p>
        </w:tc>
        <w:tc>
          <w:tcPr>
            <w:tcW w:w="1015"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eastAsia="宋体" w:cs="Times New Roman"/>
                <w:color w:val="000000"/>
                <w:sz w:val="20"/>
                <w:lang w:val="en-US" w:eastAsia="zh-CN"/>
              </w:rPr>
            </w:pPr>
            <w:r>
              <w:rPr>
                <w:rStyle w:val="16"/>
                <w:rFonts w:hint="default" w:ascii="Times New Roman" w:hAnsi="Times New Roman" w:cs="Times New Roman"/>
                <w:sz w:val="24"/>
              </w:rPr>
              <w:t>≥</w:t>
            </w:r>
            <w:r>
              <w:rPr>
                <w:rStyle w:val="17"/>
                <w:rFonts w:hint="default" w:ascii="Times New Roman" w:hAnsi="Times New Roman" w:cs="Times New Roman"/>
                <w:lang w:val="en-US" w:eastAsia="zh-CN"/>
              </w:rPr>
              <w:t>100%</w:t>
            </w:r>
          </w:p>
        </w:tc>
        <w:tc>
          <w:tcPr>
            <w:tcW w:w="1017" w:type="dxa"/>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Style w:val="16"/>
                <w:rFonts w:hint="default" w:ascii="Times New Roman" w:hAnsi="Times New Roman" w:cs="Times New Roman"/>
                <w:sz w:val="24"/>
              </w:rPr>
              <w:t>≥</w:t>
            </w:r>
            <w:r>
              <w:rPr>
                <w:rStyle w:val="17"/>
                <w:rFonts w:hint="default" w:ascii="Times New Roman" w:hAnsi="Times New Roman" w:cs="Times New Roman"/>
                <w:lang w:val="en-US" w:eastAsia="zh-CN"/>
              </w:rPr>
              <w:t>100%</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1300"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vMerge w:val="continue"/>
            <w:tcBorders>
              <w:top w:val="single" w:color="000000" w:sz="4" w:space="0"/>
              <w:left w:val="single" w:color="000000" w:sz="4" w:space="0"/>
              <w:bottom w:val="single" w:color="000000" w:sz="4" w:space="0"/>
              <w:right w:val="single" w:color="000000" w:sz="4" w:space="0"/>
              <w:tl2br w:val="nil"/>
              <w:tr2bl w:val="nil"/>
            </w:tcBorders>
            <w:vAlign w:val="center"/>
          </w:tcPr>
          <w:p>
            <w:pPr>
              <w:jc w:val="center"/>
              <w:rPr>
                <w:rFonts w:hint="default" w:ascii="Times New Roman" w:hAnsi="Times New Roman" w:cs="Times New Roman"/>
                <w:color w:val="000000"/>
                <w:sz w:val="20"/>
              </w:rPr>
            </w:pP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财务管理指标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支付进度款</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项目开工支付进度款30%，完工支付进度款70%</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项目已支付完</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5</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403" w:type="pct"/>
            <w:vMerge w:val="continue"/>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rPr>
                <w:rFonts w:hint="default" w:ascii="Times New Roman" w:hAnsi="Times New Roman" w:cs="Times New Roman"/>
                <w:color w:val="000000"/>
                <w:sz w:val="20"/>
              </w:rPr>
            </w:pPr>
          </w:p>
        </w:tc>
        <w:tc>
          <w:tcPr>
            <w:tcW w:w="450"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满意度指标</w:t>
            </w:r>
          </w:p>
        </w:tc>
        <w:tc>
          <w:tcPr>
            <w:tcW w:w="654" w:type="pct"/>
            <w:tcBorders>
              <w:top w:val="single" w:color="000000" w:sz="4" w:space="0"/>
              <w:left w:val="single" w:color="000000" w:sz="4" w:space="0"/>
              <w:bottom w:val="single" w:color="000000" w:sz="4" w:space="0"/>
              <w:right w:val="single" w:color="000000" w:sz="4" w:space="0"/>
              <w:tl2br w:val="nil"/>
              <w:tr2bl w:val="nil"/>
            </w:tcBorders>
            <w:vAlign w:val="center"/>
          </w:tcPr>
          <w:p>
            <w:pPr>
              <w:jc w:val="lef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社会公众或服务对象满意度指标</w:t>
            </w: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群众满意度</w:t>
            </w: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435" w:hRule="atLeast"/>
        </w:trPr>
        <w:tc>
          <w:tcPr>
            <w:tcW w:w="853" w:type="pct"/>
            <w:gridSpan w:val="2"/>
            <w:tcBorders>
              <w:top w:val="single" w:color="000000" w:sz="4" w:space="0"/>
              <w:left w:val="single" w:color="000000" w:sz="4" w:space="0"/>
              <w:bottom w:val="single" w:color="000000" w:sz="4" w:space="0"/>
              <w:right w:val="single" w:color="000000" w:sz="4" w:space="0"/>
              <w:tl2br w:val="nil"/>
              <w:tr2bl w:val="nil"/>
            </w:tcBorders>
            <w:textDirection w:val="tbRlV"/>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合计</w:t>
            </w:r>
          </w:p>
        </w:tc>
        <w:tc>
          <w:tcPr>
            <w:tcW w:w="654" w:type="pct"/>
            <w:tcBorders>
              <w:top w:val="single" w:color="000000" w:sz="4" w:space="0"/>
              <w:left w:val="single" w:color="000000" w:sz="4" w:space="0"/>
              <w:bottom w:val="single" w:color="000000" w:sz="4" w:space="0"/>
              <w:right w:val="single" w:color="000000" w:sz="4" w:space="0"/>
              <w:tl2br w:val="nil"/>
              <w:tr2bl w:val="nil"/>
            </w:tcBorders>
            <w:noWrap/>
            <w:vAlign w:val="center"/>
          </w:tcPr>
          <w:p>
            <w:pPr>
              <w:rPr>
                <w:rFonts w:hint="default" w:ascii="Times New Roman" w:hAnsi="Times New Roman" w:cs="Times New Roman"/>
                <w:color w:val="000000"/>
                <w:sz w:val="20"/>
              </w:rPr>
            </w:pPr>
          </w:p>
        </w:tc>
        <w:tc>
          <w:tcPr>
            <w:tcW w:w="67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c>
          <w:tcPr>
            <w:tcW w:w="594"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c>
          <w:tcPr>
            <w:tcW w:w="596"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c>
          <w:tcPr>
            <w:tcW w:w="335"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100</w:t>
            </w:r>
          </w:p>
        </w:tc>
        <w:tc>
          <w:tcPr>
            <w:tcW w:w="332" w:type="pct"/>
            <w:tcBorders>
              <w:top w:val="single" w:color="000000" w:sz="4" w:space="0"/>
              <w:left w:val="single" w:color="000000" w:sz="4" w:space="0"/>
              <w:bottom w:val="single" w:color="000000" w:sz="4" w:space="0"/>
              <w:right w:val="single" w:color="000000" w:sz="4" w:space="0"/>
              <w:tl2br w:val="nil"/>
              <w:tr2bl w:val="nil"/>
            </w:tcBorders>
            <w:vAlign w:val="center"/>
          </w:tcPr>
          <w:p>
            <w:pPr>
              <w:jc w:val="right"/>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98</w:t>
            </w:r>
          </w:p>
        </w:tc>
        <w:tc>
          <w:tcPr>
            <w:tcW w:w="961" w:type="pct"/>
            <w:tcBorders>
              <w:top w:val="single" w:color="000000" w:sz="4" w:space="0"/>
              <w:left w:val="single" w:color="000000" w:sz="4" w:space="0"/>
              <w:bottom w:val="single" w:color="000000" w:sz="4" w:space="0"/>
              <w:right w:val="single" w:color="000000" w:sz="4" w:space="0"/>
              <w:tl2br w:val="nil"/>
              <w:tr2bl w:val="nil"/>
            </w:tcBorders>
            <w:vAlign w:val="center"/>
          </w:tcPr>
          <w:p>
            <w:pPr>
              <w:rPr>
                <w:rFonts w:hint="default" w:ascii="Times New Roman" w:hAnsi="Times New Roman" w:cs="Times New Roman"/>
                <w:color w:val="000000"/>
                <w:sz w:val="20"/>
              </w:rPr>
            </w:pPr>
          </w:p>
        </w:tc>
      </w:tr>
      <w:tr>
        <w:tblPrEx>
          <w:tblCellMar>
            <w:top w:w="0" w:type="dxa"/>
            <w:left w:w="108" w:type="dxa"/>
            <w:bottom w:w="0" w:type="dxa"/>
            <w:right w:w="108" w:type="dxa"/>
          </w:tblCellMar>
        </w:tblPrEx>
        <w:trPr>
          <w:trHeight w:val="678" w:hRule="atLeast"/>
        </w:trPr>
        <w:tc>
          <w:tcPr>
            <w:tcW w:w="403" w:type="pct"/>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说明</w:t>
            </w:r>
          </w:p>
        </w:tc>
        <w:tc>
          <w:tcPr>
            <w:tcW w:w="4596" w:type="pct"/>
            <w:gridSpan w:val="8"/>
            <w:tcBorders>
              <w:top w:val="single" w:color="000000" w:sz="4" w:space="0"/>
              <w:left w:val="single" w:color="000000" w:sz="4" w:space="0"/>
              <w:bottom w:val="single" w:color="000000" w:sz="4" w:space="0"/>
              <w:right w:val="single" w:color="000000" w:sz="4" w:space="0"/>
              <w:tl2br w:val="nil"/>
              <w:tr2bl w:val="nil"/>
            </w:tcBorders>
            <w:vAlign w:val="center"/>
          </w:tcPr>
          <w:p>
            <w:pPr>
              <w:jc w:val="center"/>
              <w:textAlignment w:val="center"/>
              <w:rPr>
                <w:rFonts w:hint="default" w:ascii="Times New Roman" w:hAnsi="Times New Roman" w:cs="Times New Roman"/>
                <w:color w:val="000000"/>
                <w:sz w:val="20"/>
              </w:rPr>
            </w:pPr>
            <w:r>
              <w:rPr>
                <w:rFonts w:hint="default" w:ascii="Times New Roman" w:hAnsi="Times New Roman" w:cs="Times New Roman"/>
                <w:color w:val="000000"/>
                <w:kern w:val="0"/>
                <w:sz w:val="20"/>
              </w:rPr>
              <w:t>无</w:t>
            </w:r>
          </w:p>
        </w:tc>
      </w:tr>
    </w:tbl>
    <w:p>
      <w:pPr>
        <w:pStyle w:val="14"/>
        <w:keepNext/>
        <w:keepLines w:val="0"/>
        <w:pageBreakBefore w:val="0"/>
        <w:widowControl w:val="0"/>
        <w:kinsoku/>
        <w:wordWrap/>
        <w:overflowPunct/>
        <w:topLinePunct w:val="0"/>
        <w:autoSpaceDE w:val="0"/>
        <w:autoSpaceDN/>
        <w:bidi w:val="0"/>
        <w:adjustRightInd/>
        <w:spacing w:beforeAutospacing="0" w:afterAutospacing="0" w:line="596" w:lineRule="exact"/>
        <w:ind w:left="0" w:leftChars="0" w:firstLine="640" w:firstLineChars="200"/>
        <w:jc w:val="both"/>
        <w:textAlignment w:val="auto"/>
        <w:rPr>
          <w:rFonts w:hint="default" w:ascii="Times New Roman" w:hAnsi="Times New Roman" w:eastAsia="方正仿宋_GBK" w:cs="Times New Roman"/>
          <w:sz w:val="32"/>
          <w:szCs w:val="32"/>
          <w:shd w:val="clear" w:color="auto" w:fill="FFFFFF"/>
          <w:lang w:eastAsia="zh-CN"/>
        </w:rPr>
      </w:pPr>
    </w:p>
    <w:p>
      <w:pPr>
        <w:pStyle w:val="11"/>
        <w:autoSpaceDE w:val="0"/>
        <w:ind w:firstLine="643"/>
        <w:rPr>
          <w:rFonts w:hint="default" w:ascii="Times New Roman" w:hAnsi="Times New Roman" w:eastAsia="楷体" w:cs="Times New Roman"/>
          <w:b/>
          <w:bCs/>
          <w:sz w:val="32"/>
          <w:szCs w:val="32"/>
          <w:shd w:val="clear" w:color="auto" w:fill="FFFFFF"/>
        </w:rPr>
      </w:pPr>
      <w:r>
        <w:rPr>
          <w:rFonts w:hint="default" w:ascii="Times New Roman" w:hAnsi="Times New Roman" w:eastAsia="楷体" w:cs="Times New Roman"/>
          <w:b/>
          <w:bCs/>
          <w:sz w:val="32"/>
          <w:szCs w:val="32"/>
          <w:shd w:val="clear" w:color="auto" w:fill="FFFFFF"/>
        </w:rPr>
        <w:t>（三）财政绩效评价情况</w:t>
      </w:r>
    </w:p>
    <w:p>
      <w:pPr>
        <w:pStyle w:val="6"/>
        <w:shd w:val="clear" w:color="auto" w:fill="FFFFFF"/>
        <w:rPr>
          <w:rFonts w:hint="default" w:ascii="Times New Roman" w:hAnsi="Times New Roman" w:eastAsia="方正仿宋_GBK" w:cs="Times New Roman"/>
          <w:sz w:val="32"/>
          <w:szCs w:val="32"/>
          <w:shd w:val="clear" w:color="auto" w:fill="FFFFFF"/>
          <w:lang w:val="en-US" w:eastAsia="zh-CN" w:bidi="ar-SA"/>
        </w:rPr>
      </w:pPr>
      <w:r>
        <w:rPr>
          <w:rFonts w:hint="default" w:ascii="Times New Roman" w:hAnsi="Times New Roman" w:eastAsia="方正仿宋_GBK" w:cs="Times New Roman"/>
          <w:sz w:val="32"/>
          <w:szCs w:val="32"/>
          <w:shd w:val="clear" w:color="auto" w:fill="FFFFFF"/>
          <w:lang w:val="en-US" w:eastAsia="zh-CN" w:bidi="ar-SA"/>
        </w:rPr>
        <w:t>市财政局未委托第三方对我部门开展绩效评价。</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六、专业名词解释</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shd w:val="clear" w:color="auto" w:fill="FFFFFF"/>
        </w:rPr>
        <w:t> </w:t>
      </w:r>
      <w:r>
        <w:rPr>
          <w:rFonts w:hint="default" w:ascii="Times New Roman" w:hAnsi="Times New Roman" w:eastAsia="楷体" w:cs="Times New Roman"/>
          <w:b/>
          <w:bCs/>
          <w:sz w:val="32"/>
          <w:szCs w:val="32"/>
          <w:shd w:val="clear" w:color="auto" w:fill="FFFFFF"/>
        </w:rPr>
        <w:t>（一）财政拨款收入：</w:t>
      </w:r>
      <w:r>
        <w:rPr>
          <w:rFonts w:hint="default" w:ascii="Times New Roman" w:hAnsi="Times New Roman" w:eastAsia="方正仿宋_GBK" w:cs="Times New Roman"/>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（二）事业收入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（三）经营收入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（四）其他收入</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（五）使用非财政拨款结余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（六）年初结转和结余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（七）结余分配</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（八）年末结转和结余</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（九）基本支出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（十）项目支出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（十一）经营支出</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（十二）“三公”经费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（十三）机关运行经费</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（十四）工资福利支出（支出经济分类科目类级）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（十五）商品和服务支出（支出经济分类科目类级）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楷体" w:cs="Times New Roman"/>
          <w:sz w:val="32"/>
          <w:szCs w:val="32"/>
          <w:shd w:val="clear" w:color="auto" w:fill="FFFFFF"/>
        </w:rPr>
        <w:t> （十六）对个人和家庭的补助（支出经济分类科目类级）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default" w:ascii="Times New Roman" w:hAnsi="Times New Roman" w:eastAsia="方正仿宋_GBK" w:cs="Times New Roman"/>
          <w:sz w:val="32"/>
          <w:szCs w:val="32"/>
        </w:rPr>
      </w:pPr>
      <w:r>
        <w:rPr>
          <w:rStyle w:val="10"/>
          <w:rFonts w:hint="default" w:ascii="Times New Roman" w:hAnsi="Times New Roman" w:eastAsia="方正仿宋_GBK" w:cs="Times New Roman"/>
          <w:sz w:val="32"/>
          <w:szCs w:val="32"/>
          <w:shd w:val="clear" w:color="auto" w:fill="FFFFFF"/>
        </w:rPr>
        <w:t> </w:t>
      </w:r>
      <w:r>
        <w:rPr>
          <w:rStyle w:val="10"/>
          <w:rFonts w:hint="default" w:ascii="Times New Roman" w:hAnsi="Times New Roman" w:eastAsia="楷体" w:cs="Times New Roman"/>
          <w:sz w:val="32"/>
          <w:szCs w:val="32"/>
          <w:shd w:val="clear" w:color="auto" w:fill="FFFFFF"/>
        </w:rPr>
        <w:t>（十七）其他资本性支出（支出经济分类科目类级）</w:t>
      </w:r>
      <w:r>
        <w:rPr>
          <w:rFonts w:hint="default" w:ascii="Times New Roman" w:hAnsi="Times New Roman" w:eastAsia="楷体" w:cs="Times New Roman"/>
          <w:sz w:val="32"/>
          <w:szCs w:val="32"/>
          <w:shd w:val="clear" w:color="auto" w:fill="FFFFFF"/>
        </w:rPr>
        <w:t>：</w:t>
      </w:r>
      <w:r>
        <w:rPr>
          <w:rFonts w:hint="default" w:ascii="Times New Roman" w:hAnsi="Times New Roman" w:eastAsia="方正仿宋_GBK" w:cs="Times New Roman"/>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shd w:val="clear" w:color="auto" w:fill="FFFFFF"/>
        <w:rPr>
          <w:rStyle w:val="10"/>
          <w:rFonts w:hint="default" w:ascii="Times New Roman" w:hAnsi="Times New Roman" w:eastAsia="方正仿宋_GBK" w:cs="Times New Roman"/>
          <w:sz w:val="32"/>
          <w:szCs w:val="32"/>
          <w:shd w:val="clear" w:color="auto" w:fill="FFFFFF"/>
        </w:rPr>
      </w:pPr>
      <w:r>
        <w:rPr>
          <w:rStyle w:val="10"/>
          <w:rFonts w:hint="default" w:ascii="Times New Roman" w:hAnsi="Times New Roman" w:eastAsia="方正仿宋_GBK" w:cs="Times New Roman"/>
          <w:sz w:val="32"/>
          <w:szCs w:val="32"/>
          <w:shd w:val="clear" w:color="auto" w:fill="FFFFFF"/>
        </w:rPr>
        <w:t xml:space="preserve">  </w:t>
      </w:r>
      <w:r>
        <w:rPr>
          <w:rStyle w:val="10"/>
          <w:rFonts w:hint="default" w:ascii="Times New Roman" w:hAnsi="Times New Roman" w:eastAsia="黑体" w:cs="Times New Roman"/>
          <w:sz w:val="32"/>
          <w:szCs w:val="32"/>
          <w:shd w:val="clear" w:color="auto" w:fill="FFFFFF"/>
        </w:rPr>
        <w:t>七、决算公开联系方式及信息反馈渠道</w:t>
      </w:r>
    </w:p>
    <w:p>
      <w:pPr>
        <w:pStyle w:val="6"/>
        <w:snapToGrid w:val="0"/>
        <w:spacing w:before="0" w:beforeAutospacing="0" w:after="0" w:afterAutospacing="0" w:line="600" w:lineRule="exact"/>
        <w:ind w:firstLine="640" w:firstLineChars="200"/>
        <w:jc w:val="both"/>
        <w:rPr>
          <w:rStyle w:val="10"/>
          <w:rFonts w:hint="default" w:ascii="Times New Roman" w:hAnsi="Times New Roman" w:eastAsia="方正仿宋_GBK" w:cs="Times New Roman"/>
          <w:sz w:val="32"/>
          <w:szCs w:val="32"/>
          <w:shd w:val="clear" w:color="auto" w:fill="FFFF00"/>
          <w:lang w:val="en-US" w:eastAsia="zh-CN"/>
        </w:rPr>
        <w:sectPr>
          <w:footerReference r:id="rId3" w:type="default"/>
          <w:pgSz w:w="11915" w:h="16840"/>
          <w:pgMar w:top="1440" w:right="1800" w:bottom="1440" w:left="1800" w:header="851" w:footer="992" w:gutter="0"/>
          <w:pgNumType w:fmt="numberInDash"/>
          <w:cols w:space="720" w:num="1"/>
          <w:docGrid w:type="lines" w:linePitch="312" w:charSpace="0"/>
        </w:sectPr>
      </w:pPr>
      <w:r>
        <w:rPr>
          <w:rFonts w:hint="default" w:ascii="Times New Roman" w:hAnsi="Times New Roman" w:eastAsia="方正仿宋_GBK" w:cs="Times New Roman"/>
          <w:sz w:val="32"/>
          <w:szCs w:val="32"/>
          <w:shd w:val="clear" w:color="auto" w:fill="FFFFFF"/>
        </w:rPr>
        <w:t>本单位决算公开信息反馈和联系方式：</w:t>
      </w:r>
      <w:r>
        <w:rPr>
          <w:rFonts w:hint="default" w:ascii="Times New Roman" w:hAnsi="Times New Roman" w:eastAsia="方正仿宋_GBK" w:cs="Times New Roman"/>
          <w:sz w:val="32"/>
          <w:szCs w:val="32"/>
          <w:shd w:val="clear" w:color="auto" w:fill="FFFFFF"/>
          <w:lang w:eastAsia="zh-CN"/>
        </w:rPr>
        <w:t>田清</w:t>
      </w:r>
      <w:r>
        <w:rPr>
          <w:rFonts w:hint="default" w:ascii="Times New Roman" w:hAnsi="Times New Roman" w:eastAsia="方正仿宋_GBK" w:cs="Times New Roman"/>
          <w:sz w:val="32"/>
          <w:szCs w:val="32"/>
          <w:shd w:val="clear" w:color="auto" w:fill="FFFFFF"/>
          <w:lang w:val="en-US" w:eastAsia="zh-CN"/>
        </w:rPr>
        <w:t xml:space="preserve"> 023-73304001。</w:t>
      </w:r>
    </w:p>
    <w:p>
      <w:pPr>
        <w:rPr>
          <w:rFonts w:hint="default" w:ascii="Times New Roman" w:hAnsi="Times New Roman" w:cs="Times New Roman"/>
          <w:sz w:val="21"/>
          <w:szCs w:val="21"/>
        </w:rPr>
      </w:pPr>
    </w:p>
    <w:tbl>
      <w:tblPr>
        <w:tblStyle w:val="7"/>
        <w:tblW w:w="5005" w:type="pct"/>
        <w:tblInd w:w="0" w:type="dxa"/>
        <w:tblLayout w:type="autofit"/>
        <w:tblCellMar>
          <w:top w:w="0" w:type="dxa"/>
          <w:left w:w="0" w:type="dxa"/>
          <w:bottom w:w="0" w:type="dxa"/>
          <w:right w:w="0" w:type="dxa"/>
        </w:tblCellMar>
      </w:tblPr>
      <w:tblGrid>
        <w:gridCol w:w="5104"/>
        <w:gridCol w:w="2012"/>
        <w:gridCol w:w="4791"/>
        <w:gridCol w:w="3430"/>
      </w:tblGrid>
      <w:tr>
        <w:tblPrEx>
          <w:tblCellMar>
            <w:top w:w="0" w:type="dxa"/>
            <w:left w:w="0" w:type="dxa"/>
            <w:bottom w:w="0" w:type="dxa"/>
            <w:right w:w="0" w:type="dxa"/>
          </w:tblCellMar>
        </w:tblPrEx>
        <w:trPr>
          <w:trHeight w:val="232" w:hRule="atLeast"/>
        </w:trPr>
        <w:tc>
          <w:tcPr>
            <w:tcW w:w="5000" w:type="pct"/>
            <w:gridSpan w:val="4"/>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收入支出决算总表</w:t>
            </w:r>
          </w:p>
        </w:tc>
      </w:tr>
      <w:tr>
        <w:tblPrEx>
          <w:tblCellMar>
            <w:top w:w="0" w:type="dxa"/>
            <w:left w:w="0" w:type="dxa"/>
            <w:bottom w:w="0" w:type="dxa"/>
            <w:right w:w="0" w:type="dxa"/>
          </w:tblCellMar>
        </w:tblPrEx>
        <w:trPr>
          <w:trHeight w:val="232" w:hRule="atLeast"/>
        </w:trPr>
        <w:tc>
          <w:tcPr>
            <w:tcW w:w="1664"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656" w:type="pct"/>
            <w:tcBorders>
              <w:top w:val="nil"/>
              <w:left w:val="nil"/>
              <w:bottom w:val="nil"/>
              <w:right w:val="nil"/>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sz w:val="20"/>
                <w:szCs w:val="20"/>
              </w:rPr>
            </w:pP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0"/>
                <w:szCs w:val="20"/>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公开01表</w:t>
            </w:r>
          </w:p>
        </w:tc>
      </w:tr>
      <w:tr>
        <w:tblPrEx>
          <w:tblCellMar>
            <w:top w:w="0" w:type="dxa"/>
            <w:left w:w="0" w:type="dxa"/>
            <w:bottom w:w="0" w:type="dxa"/>
            <w:right w:w="0" w:type="dxa"/>
          </w:tblCellMar>
        </w:tblPrEx>
        <w:trPr>
          <w:trHeight w:val="232" w:hRule="atLeast"/>
        </w:trPr>
        <w:tc>
          <w:tcPr>
            <w:tcW w:w="2320" w:type="pct"/>
            <w:gridSpan w:val="2"/>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重庆市石柱土家族自治县新乐乡人民政府</w:t>
            </w:r>
          </w:p>
        </w:tc>
        <w:tc>
          <w:tcPr>
            <w:tcW w:w="1562"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22"/>
                <w:szCs w:val="22"/>
              </w:rPr>
            </w:pPr>
          </w:p>
        </w:tc>
        <w:tc>
          <w:tcPr>
            <w:tcW w:w="1118"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243" w:hRule="atLeast"/>
        </w:trPr>
        <w:tc>
          <w:tcPr>
            <w:tcW w:w="2320"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收入</w:t>
            </w:r>
          </w:p>
        </w:tc>
        <w:tc>
          <w:tcPr>
            <w:tcW w:w="2680" w:type="pct"/>
            <w:gridSpan w:val="2"/>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支出</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656"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w:t>
            </w:r>
          </w:p>
        </w:tc>
        <w:tc>
          <w:tcPr>
            <w:tcW w:w="1118"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决算数</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1,133.42</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一、一般公共服务支出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318.95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二、政府性基金预算财政拨款收入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20.48</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二、外交支出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三、国有资本经营预算财政拨款收入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三、国防支出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四、上级补助收入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四、公共安全支出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五、事业收入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五、教育支出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六、经营收入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六、科学技术支出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七、附属单位上缴收入</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七、文化旅游体育与传媒支出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八、其他收入</w:t>
            </w:r>
          </w:p>
        </w:tc>
        <w:tc>
          <w:tcPr>
            <w:tcW w:w="656" w:type="pct"/>
            <w:tcBorders>
              <w:top w:val="nil"/>
              <w:left w:val="nil"/>
              <w:bottom w:val="nil"/>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八、社会保障和就业支出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166.75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九、卫生健康支出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27.96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十、节能环保支出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十一、城乡社区支出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16.48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十二、农林水支出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492.96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十三、交通运输支出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60.70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十四、资源勘探工业信息等支出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十五、商业服务业等支出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十六、金融支出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十七、援助其他地区支出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十八、自然资源海洋气象等支出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十九、住房保障支出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二十、粮油物资储备支出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二十一、国有资本经营预算支出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二十二、灾害防治及应急管理支出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14.80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二十三、其他支出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rPr>
                <w:rFonts w:hint="default" w:ascii="Times New Roman" w:hAnsi="Times New Roman" w:cs="Times New Roman"/>
                <w:b/>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二十四、债务还本支出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二十五、债务付息支出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rPr>
                <w:rFonts w:hint="default" w:ascii="Times New Roman" w:hAnsi="Times New Roman" w:cs="Times New Roman"/>
                <w:color w:val="000000"/>
                <w:sz w:val="20"/>
                <w:szCs w:val="20"/>
              </w:rPr>
            </w:pP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rPr>
                <w:rFonts w:hint="default" w:ascii="Times New Roman" w:hAnsi="Times New Roman" w:cs="Times New Roman"/>
                <w:color w:val="000000"/>
                <w:sz w:val="20"/>
                <w:szCs w:val="20"/>
              </w:rPr>
            </w:pP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二十六、抗疫特别国债安排的支出</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1,153.90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1,153.90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使用非财政拨款结余和专用结余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结余分配</w:t>
            </w:r>
          </w:p>
        </w:tc>
        <w:tc>
          <w:tcPr>
            <w:tcW w:w="111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4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年初结转和结余</w:t>
            </w:r>
          </w:p>
        </w:tc>
        <w:tc>
          <w:tcPr>
            <w:tcW w:w="65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年末结转和结余</w:t>
            </w:r>
          </w:p>
        </w:tc>
        <w:tc>
          <w:tcPr>
            <w:tcW w:w="1118" w:type="pct"/>
            <w:tcBorders>
              <w:top w:val="nil"/>
              <w:left w:val="nil"/>
              <w:bottom w:val="single" w:color="auto"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253" w:hRule="atLeast"/>
        </w:trPr>
        <w:tc>
          <w:tcPr>
            <w:tcW w:w="1664" w:type="pc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656"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1,153.90</w:t>
            </w:r>
            <w:r>
              <w:rPr>
                <w:rFonts w:hint="default" w:ascii="Times New Roman" w:hAnsi="Times New Roman" w:cs="Times New Roman"/>
                <w:color w:val="000000"/>
                <w:sz w:val="20"/>
                <w:u w:color="auto"/>
              </w:rPr>
              <w:t xml:space="preserve"> </w:t>
            </w:r>
          </w:p>
        </w:tc>
        <w:tc>
          <w:tcPr>
            <w:tcW w:w="1562" w:type="pct"/>
            <w:tcBorders>
              <w:top w:val="nil"/>
              <w:left w:val="nil"/>
              <w:bottom w:val="single" w:color="000000" w:sz="4" w:space="0"/>
              <w:right w:val="single" w:color="auto" w:sz="4" w:space="0"/>
            </w:tcBorders>
            <w:shd w:val="clear" w:color="FFFFFF" w:fill="C0C0C0"/>
            <w:noWrap/>
            <w:tcMar>
              <w:top w:w="15" w:type="dxa"/>
              <w:left w:w="15" w:type="dxa"/>
              <w:right w:w="15" w:type="dxa"/>
            </w:tcMar>
            <w:vAlign w:val="center"/>
          </w:tcPr>
          <w:p>
            <w:pPr>
              <w:spacing w:line="240" w:lineRule="exact"/>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总计</w:t>
            </w:r>
          </w:p>
        </w:tc>
        <w:tc>
          <w:tcPr>
            <w:tcW w:w="1118"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40" w:lineRule="exact"/>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1,153.90</w:t>
            </w:r>
            <w:r>
              <w:rPr>
                <w:rFonts w:hint="default" w:ascii="Times New Roman" w:hAnsi="Times New Roman" w:cs="Times New Roman"/>
                <w:color w:val="000000"/>
                <w:sz w:val="20"/>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tbl>
      <w:tblPr>
        <w:tblStyle w:val="7"/>
        <w:tblW w:w="5000" w:type="pct"/>
        <w:tblInd w:w="0" w:type="dxa"/>
        <w:tblLayout w:type="fixed"/>
        <w:tblCellMar>
          <w:top w:w="0" w:type="dxa"/>
          <w:left w:w="0" w:type="dxa"/>
          <w:bottom w:w="0" w:type="dxa"/>
          <w:right w:w="0" w:type="dxa"/>
        </w:tblCellMar>
      </w:tblPr>
      <w:tblGrid>
        <w:gridCol w:w="1694"/>
        <w:gridCol w:w="3159"/>
        <w:gridCol w:w="1229"/>
        <w:gridCol w:w="1229"/>
        <w:gridCol w:w="1229"/>
        <w:gridCol w:w="1229"/>
        <w:gridCol w:w="1361"/>
        <w:gridCol w:w="1302"/>
        <w:gridCol w:w="1434"/>
        <w:gridCol w:w="1456"/>
      </w:tblGrid>
      <w:tr>
        <w:tblPrEx>
          <w:tblCellMar>
            <w:top w:w="0" w:type="dxa"/>
            <w:left w:w="0" w:type="dxa"/>
            <w:bottom w:w="0" w:type="dxa"/>
            <w:right w:w="0" w:type="dxa"/>
          </w:tblCellMar>
        </w:tblPrEx>
        <w:trPr>
          <w:trHeight w:val="641" w:hRule="atLeast"/>
        </w:trPr>
        <w:tc>
          <w:tcPr>
            <w:tcW w:w="5000" w:type="pct"/>
            <w:gridSpan w:val="10"/>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收入决算表</w:t>
            </w:r>
          </w:p>
        </w:tc>
      </w:tr>
      <w:tr>
        <w:tblPrEx>
          <w:tblCellMar>
            <w:top w:w="0" w:type="dxa"/>
            <w:left w:w="0" w:type="dxa"/>
            <w:bottom w:w="0" w:type="dxa"/>
            <w:right w:w="0" w:type="dxa"/>
          </w:tblCellMar>
        </w:tblPrEx>
        <w:trPr>
          <w:trHeight w:val="328" w:hRule="atLeast"/>
        </w:trPr>
        <w:tc>
          <w:tcPr>
            <w:tcW w:w="1985"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sz w:val="20"/>
                <w:u w:color="auto"/>
              </w:rPr>
              <w:t>重庆市石柱土家族自治县新乐乡人民政府</w:t>
            </w: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公开02表</w:t>
            </w:r>
          </w:p>
        </w:tc>
      </w:tr>
      <w:tr>
        <w:tblPrEx>
          <w:tblCellMar>
            <w:top w:w="0" w:type="dxa"/>
            <w:left w:w="0" w:type="dxa"/>
            <w:bottom w:w="0" w:type="dxa"/>
            <w:right w:w="0" w:type="dxa"/>
          </w:tblCellMar>
        </w:tblPrEx>
        <w:trPr>
          <w:trHeight w:val="328" w:hRule="atLeast"/>
        </w:trPr>
        <w:tc>
          <w:tcPr>
            <w:tcW w:w="1985"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01"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44"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2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6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475"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31" w:hRule="atLeast"/>
        </w:trPr>
        <w:tc>
          <w:tcPr>
            <w:tcW w:w="1584" w:type="pct"/>
            <w:gridSpan w:val="2"/>
            <w:tcBorders>
              <w:top w:val="single" w:color="000000" w:sz="4" w:space="0"/>
              <w:left w:val="single" w:color="000000" w:sz="4" w:space="0"/>
              <w:bottom w:val="single" w:color="000000" w:sz="4" w:space="0"/>
              <w:right w:val="nil"/>
            </w:tcBorders>
            <w:shd w:val="clear" w:color="auto" w:fill="D0CECE"/>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本年收入合计</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财政拨款收入</w:t>
            </w: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上级补助收入</w:t>
            </w:r>
          </w:p>
        </w:tc>
        <w:tc>
          <w:tcPr>
            <w:tcW w:w="845"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事业收入</w:t>
            </w:r>
          </w:p>
        </w:tc>
        <w:tc>
          <w:tcPr>
            <w:tcW w:w="42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经营收入</w:t>
            </w:r>
          </w:p>
        </w:tc>
        <w:tc>
          <w:tcPr>
            <w:tcW w:w="4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附属单位上缴收入</w:t>
            </w:r>
          </w:p>
        </w:tc>
        <w:tc>
          <w:tcPr>
            <w:tcW w:w="47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其他收入</w:t>
            </w:r>
          </w:p>
        </w:tc>
      </w:tr>
      <w:tr>
        <w:tblPrEx>
          <w:tblCellMar>
            <w:top w:w="0" w:type="dxa"/>
            <w:left w:w="0" w:type="dxa"/>
            <w:bottom w:w="0" w:type="dxa"/>
            <w:right w:w="0" w:type="dxa"/>
          </w:tblCellMar>
        </w:tblPrEx>
        <w:trPr>
          <w:trHeight w:val="334" w:hRule="atLeast"/>
        </w:trPr>
        <w:tc>
          <w:tcPr>
            <w:tcW w:w="553"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3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小计</w:t>
            </w:r>
          </w:p>
        </w:tc>
        <w:tc>
          <w:tcPr>
            <w:tcW w:w="44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其中：教育收费</w:t>
            </w: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4" w:hRule="atLeast"/>
        </w:trPr>
        <w:tc>
          <w:tcPr>
            <w:tcW w:w="553"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3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0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4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2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47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1584"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1,153.90</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1,153.90</w:t>
            </w: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0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4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2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47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318.95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318.95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166.75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综合业务管理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103.28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103.28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2100717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计划生育服务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492.96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492.96</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64.66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执法监管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28.42</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8" w:hRule="atLeast"/>
        </w:trPr>
        <w:tc>
          <w:tcPr>
            <w:tcW w:w="55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3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01"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44"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2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47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ind w:left="600" w:hanging="600" w:hangingChars="300"/>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备注：1.本表反映部门本年度取得的各项收入情况。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0"/>
          <w:szCs w:val="20"/>
        </w:rPr>
      </w:pPr>
      <w:r>
        <w:rPr>
          <w:rFonts w:hint="default" w:ascii="Times New Roman" w:hAnsi="Times New Roman" w:cs="Times New Roman"/>
          <w:sz w:val="20"/>
          <w:szCs w:val="20"/>
        </w:rPr>
        <w:br w:type="page"/>
      </w:r>
    </w:p>
    <w:tbl>
      <w:tblPr>
        <w:tblStyle w:val="7"/>
        <w:tblW w:w="5000" w:type="pct"/>
        <w:tblInd w:w="0" w:type="dxa"/>
        <w:tblLayout w:type="autofit"/>
        <w:tblCellMar>
          <w:top w:w="0" w:type="dxa"/>
          <w:left w:w="0" w:type="dxa"/>
          <w:bottom w:w="0" w:type="dxa"/>
          <w:right w:w="0" w:type="dxa"/>
        </w:tblCellMar>
      </w:tblPr>
      <w:tblGrid>
        <w:gridCol w:w="1754"/>
        <w:gridCol w:w="3630"/>
        <w:gridCol w:w="1654"/>
        <w:gridCol w:w="1654"/>
        <w:gridCol w:w="1654"/>
        <w:gridCol w:w="1638"/>
        <w:gridCol w:w="1638"/>
        <w:gridCol w:w="1700"/>
      </w:tblGrid>
      <w:tr>
        <w:tblPrEx>
          <w:tblCellMar>
            <w:top w:w="0" w:type="dxa"/>
            <w:left w:w="0" w:type="dxa"/>
            <w:bottom w:w="0" w:type="dxa"/>
            <w:right w:w="0" w:type="dxa"/>
          </w:tblCellMar>
        </w:tblPrEx>
        <w:trPr>
          <w:trHeight w:val="65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支出决算表</w:t>
            </w:r>
          </w:p>
        </w:tc>
      </w:tr>
      <w:tr>
        <w:tblPrEx>
          <w:tblCellMar>
            <w:top w:w="0" w:type="dxa"/>
            <w:left w:w="0" w:type="dxa"/>
            <w:bottom w:w="0" w:type="dxa"/>
            <w:right w:w="0" w:type="dxa"/>
          </w:tblCellMar>
        </w:tblPrEx>
        <w:trPr>
          <w:trHeight w:val="342" w:hRule="atLeast"/>
        </w:trPr>
        <w:tc>
          <w:tcPr>
            <w:tcW w:w="2230"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 xml:space="preserve">重庆市石柱土家族自治县新乐乡人民政府 </w:t>
            </w: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公开03表</w:t>
            </w:r>
          </w:p>
        </w:tc>
      </w:tr>
      <w:tr>
        <w:tblPrEx>
          <w:tblCellMar>
            <w:top w:w="0" w:type="dxa"/>
            <w:left w:w="0" w:type="dxa"/>
            <w:bottom w:w="0" w:type="dxa"/>
            <w:right w:w="0" w:type="dxa"/>
          </w:tblCellMar>
        </w:tblPrEx>
        <w:trPr>
          <w:trHeight w:val="342" w:hRule="atLeast"/>
        </w:trPr>
        <w:tc>
          <w:tcPr>
            <w:tcW w:w="2230"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3"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48"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6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本年支出合计</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5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上缴上级支出</w:t>
            </w:r>
          </w:p>
        </w:tc>
        <w:tc>
          <w:tcPr>
            <w:tcW w:w="54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经营支出</w:t>
            </w:r>
          </w:p>
        </w:tc>
        <w:tc>
          <w:tcPr>
            <w:tcW w:w="56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对附属单位补助支出</w:t>
            </w:r>
          </w:p>
        </w:tc>
      </w:tr>
      <w:tr>
        <w:tblPrEx>
          <w:tblCellMar>
            <w:top w:w="0" w:type="dxa"/>
            <w:left w:w="0" w:type="dxa"/>
            <w:bottom w:w="0" w:type="dxa"/>
            <w:right w:w="0" w:type="dxa"/>
          </w:tblCellMar>
        </w:tblPrEx>
        <w:trPr>
          <w:trHeight w:val="338" w:hRule="atLeast"/>
        </w:trPr>
        <w:tc>
          <w:tcPr>
            <w:tcW w:w="586" w:type="pct"/>
            <w:vMerge w:val="restart"/>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91" w:type="pct"/>
            <w:vMerge w:val="restart"/>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8" w:hRule="atLeast"/>
        </w:trPr>
        <w:tc>
          <w:tcPr>
            <w:tcW w:w="586" w:type="pct"/>
            <w:vMerge w:val="continue"/>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91" w:type="pct"/>
            <w:vMerge w:val="continue"/>
            <w:tcBorders>
              <w:top w:val="nil"/>
              <w:left w:val="nil"/>
              <w:bottom w:val="single" w:color="000000" w:sz="4" w:space="0"/>
              <w:right w:val="nil"/>
            </w:tcBorders>
            <w:shd w:val="clear" w:color="FFFFFF" w:fill="C0C0C0"/>
            <w:noWrap/>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4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6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62" w:hRule="atLeast"/>
        </w:trPr>
        <w:tc>
          <w:tcPr>
            <w:tcW w:w="1677"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1,153.90</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544.82</w:t>
            </w:r>
            <w:r>
              <w:rPr>
                <w:rFonts w:hint="default" w:ascii="Times New Roman" w:hAnsi="Times New Roman" w:cs="Times New Roman"/>
                <w:b/>
                <w:color w:val="000000"/>
                <w:sz w:val="20"/>
                <w:u w:color="auto"/>
              </w:rPr>
              <w:t xml:space="preserve"> </w:t>
            </w:r>
          </w:p>
        </w:tc>
        <w:tc>
          <w:tcPr>
            <w:tcW w:w="553"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609.08</w:t>
            </w: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4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68"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318.95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266.13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52.82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312.00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266.13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45.88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166.75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7.53</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综合业务管理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25.66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103.28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103.28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46.13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27.96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2100717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计划生育服务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7.08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16.48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492.96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64.66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78.97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64.66</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64.66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执法监管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28.42</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82" w:hRule="atLeast"/>
        </w:trPr>
        <w:tc>
          <w:tcPr>
            <w:tcW w:w="586"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91"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53"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c>
          <w:tcPr>
            <w:tcW w:w="56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备注：1.本表反映部门本年度各项支出情况。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p>
      <w:pPr>
        <w:rPr>
          <w:rFonts w:hint="default" w:ascii="Times New Roman" w:hAnsi="Times New Roman" w:cs="Times New Roman"/>
          <w:sz w:val="21"/>
          <w:szCs w:val="21"/>
        </w:rPr>
      </w:pPr>
    </w:p>
    <w:tbl>
      <w:tblPr>
        <w:tblStyle w:val="7"/>
        <w:tblW w:w="4790" w:type="pct"/>
        <w:tblInd w:w="0" w:type="dxa"/>
        <w:tblLayout w:type="autofit"/>
        <w:tblCellMar>
          <w:top w:w="0" w:type="dxa"/>
          <w:left w:w="0" w:type="dxa"/>
          <w:bottom w:w="0" w:type="dxa"/>
          <w:right w:w="0" w:type="dxa"/>
        </w:tblCellMar>
      </w:tblPr>
      <w:tblGrid>
        <w:gridCol w:w="2967"/>
        <w:gridCol w:w="1521"/>
        <w:gridCol w:w="3179"/>
        <w:gridCol w:w="1694"/>
        <w:gridCol w:w="1694"/>
        <w:gridCol w:w="1694"/>
        <w:gridCol w:w="1929"/>
      </w:tblGrid>
      <w:tr>
        <w:tblPrEx>
          <w:tblCellMar>
            <w:top w:w="0" w:type="dxa"/>
            <w:left w:w="0" w:type="dxa"/>
            <w:bottom w:w="0" w:type="dxa"/>
            <w:right w:w="0" w:type="dxa"/>
          </w:tblCellMar>
        </w:tblPrEx>
        <w:trPr>
          <w:trHeight w:val="9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财政拨款收入支出决算总表</w:t>
            </w:r>
          </w:p>
        </w:tc>
      </w:tr>
      <w:tr>
        <w:tblPrEx>
          <w:tblCellMar>
            <w:top w:w="0" w:type="dxa"/>
            <w:left w:w="0" w:type="dxa"/>
            <w:bottom w:w="0" w:type="dxa"/>
            <w:right w:w="0" w:type="dxa"/>
          </w:tblCellMar>
        </w:tblPrEx>
        <w:trPr>
          <w:trHeight w:val="90" w:hRule="atLeast"/>
        </w:trPr>
        <w:tc>
          <w:tcPr>
            <w:tcW w:w="2612" w:type="pct"/>
            <w:gridSpan w:val="3"/>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w:t>
            </w: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4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公开04表</w:t>
            </w:r>
          </w:p>
        </w:tc>
      </w:tr>
      <w:tr>
        <w:tblPrEx>
          <w:tblCellMar>
            <w:top w:w="0" w:type="dxa"/>
            <w:left w:w="0" w:type="dxa"/>
            <w:bottom w:w="0" w:type="dxa"/>
            <w:right w:w="0" w:type="dxa"/>
          </w:tblCellMar>
        </w:tblPrEx>
        <w:trPr>
          <w:trHeight w:val="90" w:hRule="atLeast"/>
        </w:trPr>
        <w:tc>
          <w:tcPr>
            <w:tcW w:w="2612" w:type="pct"/>
            <w:gridSpan w:val="3"/>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29" w:type="pct"/>
            <w:gridSpan w:val="2"/>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收     入</w:t>
            </w:r>
          </w:p>
        </w:tc>
        <w:tc>
          <w:tcPr>
            <w:tcW w:w="3471" w:type="pct"/>
            <w:gridSpan w:val="5"/>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支     出</w:t>
            </w:r>
          </w:p>
        </w:tc>
      </w:tr>
      <w:tr>
        <w:tblPrEx>
          <w:tblCellMar>
            <w:top w:w="0" w:type="dxa"/>
            <w:left w:w="0" w:type="dxa"/>
            <w:bottom w:w="0" w:type="dxa"/>
            <w:right w:w="0" w:type="dxa"/>
          </w:tblCellMar>
        </w:tblPrEx>
        <w:trPr>
          <w:trHeight w:val="90" w:hRule="atLeast"/>
        </w:trPr>
        <w:tc>
          <w:tcPr>
            <w:tcW w:w="1011"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项目</w:t>
            </w:r>
          </w:p>
        </w:tc>
        <w:tc>
          <w:tcPr>
            <w:tcW w:w="518"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c>
          <w:tcPr>
            <w:tcW w:w="1083"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功能分类科目</w:t>
            </w:r>
          </w:p>
        </w:tc>
        <w:tc>
          <w:tcPr>
            <w:tcW w:w="2388" w:type="pct"/>
            <w:gridSpan w:val="4"/>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决算数</w:t>
            </w:r>
          </w:p>
        </w:tc>
      </w:tr>
      <w:tr>
        <w:tblPrEx>
          <w:tblCellMar>
            <w:top w:w="0" w:type="dxa"/>
            <w:left w:w="0" w:type="dxa"/>
            <w:bottom w:w="0" w:type="dxa"/>
            <w:right w:w="0" w:type="dxa"/>
          </w:tblCellMar>
        </w:tblPrEx>
        <w:trPr>
          <w:trHeight w:val="90" w:hRule="atLeast"/>
        </w:trPr>
        <w:tc>
          <w:tcPr>
            <w:tcW w:w="1011"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18"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083"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小计</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一般公共预算财政拨款</w:t>
            </w:r>
          </w:p>
        </w:tc>
        <w:tc>
          <w:tcPr>
            <w:tcW w:w="57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政府性基金预算财政拨款</w:t>
            </w:r>
          </w:p>
        </w:tc>
        <w:tc>
          <w:tcPr>
            <w:tcW w:w="657" w:type="pc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国有资本经营预算财政拨款</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1,133.42</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一、一般公共服务支出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318.95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20.48</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二、外交支出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三、国防支出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四、公共安全支出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五、教育支出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六、科学技术支出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七、文化旅游体育与传媒支出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八、社会保障和就业支出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166.75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166.75</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九、卫生健康支出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十、节能环保支出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十一、城乡社区支出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16.48</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16.00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0.48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十二、农林水支出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492.96</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十三、交通运输支出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60.70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十四、资源勘探工业信息等支出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十五、商业服务业等支出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十六、金融支出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十七、援助其他地区支出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十八、自然资源海洋气象等支出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十九、住房保障支出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二十、粮油物资储备支出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二十一、国有资本经营预算支出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二十二、灾害防治及应急管理支出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14.80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二十三、其他支出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20.00</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二十四、债务还本支出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二十五、债务付息支出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二十六、抗疫特别国债安排的支出</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本年收入合计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1,153.90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本年支出合计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1,153.90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1,133.42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年初财政拨款结转和结余</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年末财政拨款结转和结余</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一般公共预算财政拨款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政府性基金预算财政拨款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国有资本经营预算财政拨款</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11"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1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1,153.90</w:t>
            </w:r>
            <w:r>
              <w:rPr>
                <w:rFonts w:hint="default" w:ascii="Times New Roman" w:hAnsi="Times New Roman" w:cs="Times New Roman"/>
                <w:color w:val="000000"/>
                <w:sz w:val="18"/>
                <w:u w:color="auto"/>
              </w:rPr>
              <w:t xml:space="preserve"> </w:t>
            </w:r>
          </w:p>
        </w:tc>
        <w:tc>
          <w:tcPr>
            <w:tcW w:w="108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总计</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1,153.90</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1,133.42</w:t>
            </w:r>
            <w:r>
              <w:rPr>
                <w:rFonts w:hint="default" w:ascii="Times New Roman" w:hAnsi="Times New Roman" w:cs="Times New Roman"/>
                <w:color w:val="000000"/>
                <w:sz w:val="18"/>
                <w:u w:color="auto"/>
              </w:rPr>
              <w:t xml:space="preserve"> </w:t>
            </w:r>
          </w:p>
        </w:tc>
        <w:tc>
          <w:tcPr>
            <w:tcW w:w="57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20.48</w:t>
            </w:r>
            <w:r>
              <w:rPr>
                <w:rFonts w:hint="default" w:ascii="Times New Roman" w:hAnsi="Times New Roman" w:cs="Times New Roman"/>
                <w:color w:val="000000"/>
                <w:sz w:val="18"/>
                <w:u w:color="auto"/>
              </w:rPr>
              <w:t xml:space="preserve"> </w:t>
            </w:r>
          </w:p>
        </w:tc>
        <w:tc>
          <w:tcPr>
            <w:tcW w:w="657"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bl>
    <w:p>
      <w:pPr>
        <w:spacing w:line="24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备注：1.本表反映部门本年度一般公共预算财政拨款、政府性基金预算财政拨款及国有资本经营预算财政拨款的总收支和年末结转结余情况。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27"/>
        <w:gridCol w:w="3630"/>
        <w:gridCol w:w="3283"/>
        <w:gridCol w:w="3283"/>
        <w:gridCol w:w="3299"/>
      </w:tblGrid>
      <w:tr>
        <w:tblPrEx>
          <w:tblCellMar>
            <w:top w:w="0" w:type="dxa"/>
            <w:left w:w="0" w:type="dxa"/>
            <w:bottom w:w="0" w:type="dxa"/>
            <w:right w:w="0" w:type="dxa"/>
          </w:tblCellMar>
        </w:tblPrEx>
        <w:trPr>
          <w:trHeight w:val="510" w:hRule="atLeast"/>
        </w:trPr>
        <w:tc>
          <w:tcPr>
            <w:tcW w:w="5000" w:type="pct"/>
            <w:gridSpan w:val="5"/>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一般公共预算财政拨款支出决算表</w:t>
            </w:r>
          </w:p>
        </w:tc>
      </w:tr>
      <w:tr>
        <w:tblPrEx>
          <w:tblCellMar>
            <w:top w:w="0" w:type="dxa"/>
            <w:left w:w="0" w:type="dxa"/>
            <w:bottom w:w="0" w:type="dxa"/>
            <w:right w:w="0" w:type="dxa"/>
          </w:tblCellMar>
        </w:tblPrEx>
        <w:trPr>
          <w:trHeight w:val="255" w:hRule="atLeast"/>
        </w:trPr>
        <w:tc>
          <w:tcPr>
            <w:tcW w:w="2837"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w:t>
            </w: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公开05表</w:t>
            </w:r>
          </w:p>
        </w:tc>
      </w:tr>
      <w:tr>
        <w:tblPrEx>
          <w:tblCellMar>
            <w:top w:w="0" w:type="dxa"/>
            <w:left w:w="0" w:type="dxa"/>
            <w:bottom w:w="0" w:type="dxa"/>
            <w:right w:w="0" w:type="dxa"/>
          </w:tblCellMar>
        </w:tblPrEx>
        <w:trPr>
          <w:trHeight w:val="285" w:hRule="atLeast"/>
        </w:trPr>
        <w:tc>
          <w:tcPr>
            <w:tcW w:w="2837"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79"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084"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08" w:hRule="atLeast"/>
        </w:trPr>
        <w:tc>
          <w:tcPr>
            <w:tcW w:w="1758"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242"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26" w:hRule="atLeast"/>
        </w:trPr>
        <w:tc>
          <w:tcPr>
            <w:tcW w:w="604"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15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084"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26"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5" w:hRule="atLeast"/>
        </w:trPr>
        <w:tc>
          <w:tcPr>
            <w:tcW w:w="604"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5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7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84"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08" w:hRule="atLeast"/>
        </w:trPr>
        <w:tc>
          <w:tcPr>
            <w:tcW w:w="1758"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1,133.42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544.82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588.60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一般公共服务支出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318.95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266.13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52.82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人大事务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6.72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代表工作</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0.60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其他人大事务支出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6.12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政府办公厅（室）及相关机构事务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312.00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266.13</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45.88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245.35</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一般行政管理事务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45.88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2010350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20.78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20132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组织事务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0.23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2013299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其他组织事务支出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文化旅游体育与传媒支出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20701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文化和旅游</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2070109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群众文化</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社会保障和就业支出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166.75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159.22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7.53</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人力资源和社会保障管理事务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25.66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综合业务管理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25.66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25.66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民政管理事务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2080208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基层政权建设和社区治理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行政事业单位养老支出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103.28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103.28</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16.10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事业单位离退休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3.26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机关事业单位基本养老保险缴费支出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37.79</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机关事业单位职业年金缴费支出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46.13</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抚恤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2.05</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2080899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其他优抚支出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退役安置</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2080999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其他退役安置支出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20828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退役军人管理事务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30.27</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2082850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30.27</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卫生健康支出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27.96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公共卫生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2100410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突发公共卫生事件应急处理</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计划生育事务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0.06</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2100717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计划生育服务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0.06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21011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行政事业单位医疗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23.90</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行政单位医疗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10.42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事业单位医疗</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6.40</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2101199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其他行政事业单位医疗支出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7.08</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节能环保支出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自然生态保护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4.38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2110402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农村环境保护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4.38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16.00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2120501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城乡社区环境卫生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16.00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农林水支出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492.96</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64.66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428.30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农业农村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78.97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64.66</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14.32</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事业运行</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64.66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64.66</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病虫害控制</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2130110</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执法监管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2.16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2130119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防灾救灾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2130122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农业生产发展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2130152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对高校毕业生到基层任职补助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6.36</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林业和草原</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25.47</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2130209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森林生态效益补偿</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1.32</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2130299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其他林业和草原支出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24.15</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21303</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水利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2.40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2130399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其他水利支出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2.40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巩固脱贫攻坚成果衔接乡村振兴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259.44</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农村基础设施建设</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49.90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生产发展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201.91</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社会发展</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0.20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2130599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其他巩固脱贫攻坚成果衔接乡村振兴支出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7.43</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21307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农村综合改革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126.68</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2130705</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对村民委员会和村党支部的补助</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126.68</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交通运输支出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60.70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公路水路运输</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8.00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2140106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公路养护</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8.00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车辆购置税支出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52.70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车辆购置税用于公路等基础设施建设支出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52.70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住房保障支出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22102</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住房改革支出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28.42</w:t>
            </w:r>
            <w:r>
              <w:rPr>
                <w:rFonts w:hint="default" w:ascii="Times New Roman" w:hAnsi="Times New Roman" w:cs="Times New Roman"/>
                <w:b/>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2210201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住房公积金</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28.42</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28.42</w:t>
            </w: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灾害防治及应急管理支出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14.80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应急管理事务</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9.00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2240108</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应急救援</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9.00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22406</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3.80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2240601</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地质灾害防治</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3.80</w:t>
            </w: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22407</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w:t>
            </w: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08" w:hRule="atLeast"/>
        </w:trPr>
        <w:tc>
          <w:tcPr>
            <w:tcW w:w="604"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2240799</w:t>
            </w:r>
          </w:p>
        </w:tc>
        <w:tc>
          <w:tcPr>
            <w:tcW w:w="115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其他自然灾害救灾及恢复重建支出</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c>
          <w:tcPr>
            <w:tcW w:w="1079"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108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w:t>
            </w: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备注：1.本表反映部门本年度一般公共预算财政拨款支出情况。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ind w:firstLine="630" w:firstLineChars="300"/>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994" w:type="pct"/>
        <w:tblInd w:w="0" w:type="dxa"/>
        <w:tblLayout w:type="fixed"/>
        <w:tblCellMar>
          <w:top w:w="0" w:type="dxa"/>
          <w:left w:w="0" w:type="dxa"/>
          <w:bottom w:w="0" w:type="dxa"/>
          <w:right w:w="0" w:type="dxa"/>
        </w:tblCellMar>
      </w:tblPr>
      <w:tblGrid>
        <w:gridCol w:w="603"/>
        <w:gridCol w:w="2730"/>
        <w:gridCol w:w="1371"/>
        <w:gridCol w:w="833"/>
        <w:gridCol w:w="1916"/>
        <w:gridCol w:w="1650"/>
        <w:gridCol w:w="805"/>
        <w:gridCol w:w="3514"/>
        <w:gridCol w:w="1882"/>
      </w:tblGrid>
      <w:tr>
        <w:tblPrEx>
          <w:tblCellMar>
            <w:top w:w="0" w:type="dxa"/>
            <w:left w:w="0" w:type="dxa"/>
            <w:bottom w:w="0" w:type="dxa"/>
            <w:right w:w="0" w:type="dxa"/>
          </w:tblCellMar>
        </w:tblPrEx>
        <w:trPr>
          <w:trHeight w:val="90" w:hRule="atLeast"/>
        </w:trPr>
        <w:tc>
          <w:tcPr>
            <w:tcW w:w="5000" w:type="pct"/>
            <w:gridSpan w:val="9"/>
            <w:tcBorders>
              <w:top w:val="nil"/>
              <w:left w:val="nil"/>
              <w:bottom w:val="nil"/>
              <w:right w:val="nil"/>
            </w:tcBorders>
            <w:shd w:val="clear" w:color="auto" w:fill="auto"/>
            <w:noWrap/>
            <w:tcMar>
              <w:top w:w="15" w:type="dxa"/>
              <w:left w:w="15" w:type="dxa"/>
              <w:right w:w="15" w:type="dxa"/>
            </w:tcMar>
            <w:vAlign w:val="bottom"/>
          </w:tcPr>
          <w:p>
            <w:pPr>
              <w:spacing w:line="440" w:lineRule="exact"/>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一般公共预算财政拨款基本支出决算表</w:t>
            </w:r>
          </w:p>
        </w:tc>
      </w:tr>
      <w:tr>
        <w:tblPrEx>
          <w:tblCellMar>
            <w:top w:w="0" w:type="dxa"/>
            <w:left w:w="0" w:type="dxa"/>
            <w:bottom w:w="0" w:type="dxa"/>
            <w:right w:w="0" w:type="dxa"/>
          </w:tblCellMar>
        </w:tblPrEx>
        <w:trPr>
          <w:trHeight w:val="90" w:hRule="atLeast"/>
        </w:trPr>
        <w:tc>
          <w:tcPr>
            <w:tcW w:w="2435" w:type="pct"/>
            <w:gridSpan w:val="5"/>
            <w:vMerge w:val="restart"/>
            <w:tcBorders>
              <w:top w:val="nil"/>
              <w:left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w:t>
            </w: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公开06表</w:t>
            </w:r>
          </w:p>
        </w:tc>
      </w:tr>
      <w:tr>
        <w:tblPrEx>
          <w:tblCellMar>
            <w:top w:w="0" w:type="dxa"/>
            <w:left w:w="0" w:type="dxa"/>
            <w:bottom w:w="0" w:type="dxa"/>
            <w:right w:w="0" w:type="dxa"/>
          </w:tblCellMar>
        </w:tblPrEx>
        <w:trPr>
          <w:trHeight w:val="90" w:hRule="atLeast"/>
        </w:trPr>
        <w:tc>
          <w:tcPr>
            <w:tcW w:w="2435" w:type="pct"/>
            <w:gridSpan w:val="5"/>
            <w:vMerge w:val="continue"/>
            <w:tcBorders>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539"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63"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1148" w:type="pct"/>
            <w:tcBorders>
              <w:top w:val="nil"/>
              <w:left w:val="nil"/>
              <w:bottom w:val="nil"/>
              <w:right w:val="nil"/>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615" w:type="pct"/>
            <w:tcBorders>
              <w:top w:val="nil"/>
              <w:left w:val="nil"/>
              <w:bottom w:val="nil"/>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90" w:hRule="atLeast"/>
        </w:trPr>
        <w:tc>
          <w:tcPr>
            <w:tcW w:w="1537" w:type="pct"/>
            <w:gridSpan w:val="3"/>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w:t>
            </w:r>
          </w:p>
        </w:tc>
        <w:tc>
          <w:tcPr>
            <w:tcW w:w="3463" w:type="pct"/>
            <w:gridSpan w:val="6"/>
            <w:tcBorders>
              <w:top w:val="single" w:color="000000" w:sz="4" w:space="0"/>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w:t>
            </w:r>
          </w:p>
        </w:tc>
      </w:tr>
      <w:tr>
        <w:tblPrEx>
          <w:tblCellMar>
            <w:top w:w="0" w:type="dxa"/>
            <w:left w:w="0" w:type="dxa"/>
            <w:bottom w:w="0" w:type="dxa"/>
            <w:right w:w="0" w:type="dxa"/>
          </w:tblCellMar>
        </w:tblPrEx>
        <w:trPr>
          <w:trHeight w:val="312" w:hRule="atLeast"/>
        </w:trPr>
        <w:tc>
          <w:tcPr>
            <w:tcW w:w="197"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892"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4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7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62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539"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c>
          <w:tcPr>
            <w:tcW w:w="263"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经济分类科目编码</w:t>
            </w:r>
          </w:p>
        </w:tc>
        <w:tc>
          <w:tcPr>
            <w:tcW w:w="1148"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经济分类科目（按“款”级功能分类科目）</w:t>
            </w:r>
          </w:p>
        </w:tc>
        <w:tc>
          <w:tcPr>
            <w:tcW w:w="61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金额</w:t>
            </w:r>
          </w:p>
        </w:tc>
      </w:tr>
      <w:tr>
        <w:tblPrEx>
          <w:tblCellMar>
            <w:top w:w="0" w:type="dxa"/>
            <w:left w:w="0" w:type="dxa"/>
            <w:bottom w:w="0" w:type="dxa"/>
            <w:right w:w="0" w:type="dxa"/>
          </w:tblCellMar>
        </w:tblPrEx>
        <w:trPr>
          <w:trHeight w:val="312" w:hRule="atLeast"/>
        </w:trPr>
        <w:tc>
          <w:tcPr>
            <w:tcW w:w="197"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892"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4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7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2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539"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263"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1148"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c>
          <w:tcPr>
            <w:tcW w:w="61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spacing w:line="200" w:lineRule="exact"/>
              <w:jc w:val="center"/>
              <w:rPr>
                <w:rFonts w:hint="default" w:ascii="Times New Roman" w:hAnsi="Times New Roman" w:cs="Times New Roman"/>
                <w:b/>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438.84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84.37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基本工资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92.49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27.31</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房屋建筑物购建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津贴补贴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67.50</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印刷费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3.89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办公设备购置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72.65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咨询费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专用设备购置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伙食补助费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手续费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基础设施建设</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绩效工资</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70.02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水费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2.68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31006</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大型修缮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机关事业单位基本养老保险缴费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37.79</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5.19</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信息网络及软件购置更新</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职业年金缴费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46.13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邮电费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4.26</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物资储备</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职工基本医疗保险缴费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17.74</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取暖费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土地补偿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公务员医疗补助缴费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30209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物业管理费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安置补助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其他社会保障缴费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差旅费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6.37</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地上附着物和青苗补偿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住房公积金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28.42</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因公出国（境）费用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拆迁补偿</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30114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4.83</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维修（护）费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1.70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30199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其他工资福利支出</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租赁费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31019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其他交通工具购置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21.61</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会议费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0.83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文物和陈列品购置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离休费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培训费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31022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无形资产购置</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30302</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退休费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公务接待费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2.95</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31099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其他资本性支出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30303</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退职（役）费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30218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专用材料费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30304</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抚恤金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被装购置费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31201</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资本金注入</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30305</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生活补助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19.36</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30225</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专用燃料费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31203</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政府投资基金股权投资</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30306</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救济费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30226</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劳务费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1.38</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31204</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费用补贴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30307</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医疗费补助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2.25</w:t>
            </w: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委托业务费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31205</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利息补贴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30308</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助学金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30228</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工会经费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3.64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31299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其他对企业补助</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30309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奖励金</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30229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福利费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30310</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个人农业生产补贴</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公务用车运行维护费</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8.20</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39907</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国家赔偿费用支出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30311</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代缴社会保险费</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30239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其他交通费用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12.24</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39908</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对民间非营利组织和群众性自治组织补贴</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30399</w:t>
            </w: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其他对个人和家庭的补助</w:t>
            </w: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30240</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税金及附加费用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39909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经常性赠与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30299</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其他商品和服务支出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2.53</w:t>
            </w: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39910</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资本性赠与</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债务利息及费用支出</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39999</w:t>
            </w: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其他支出</w:t>
            </w: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30701</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30702</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国外债务付息</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30703</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国内债务发行费用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97"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89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448"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spacing w:line="200" w:lineRule="exact"/>
              <w:rPr>
                <w:rFonts w:hint="default" w:ascii="Times New Roman" w:hAnsi="Times New Roman" w:cs="Times New Roman"/>
                <w:color w:val="000000"/>
                <w:sz w:val="18"/>
                <w:szCs w:val="18"/>
              </w:rPr>
            </w:pPr>
          </w:p>
        </w:tc>
        <w:tc>
          <w:tcPr>
            <w:tcW w:w="272"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30704</w:t>
            </w:r>
          </w:p>
        </w:tc>
        <w:tc>
          <w:tcPr>
            <w:tcW w:w="626"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 xml:space="preserve">  国外债务发行费用</w:t>
            </w:r>
          </w:p>
        </w:tc>
        <w:tc>
          <w:tcPr>
            <w:tcW w:w="539"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u w:color="auto"/>
              </w:rPr>
              <w:t xml:space="preserve"> </w:t>
            </w:r>
          </w:p>
        </w:tc>
        <w:tc>
          <w:tcPr>
            <w:tcW w:w="263"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1148" w:type="pct"/>
            <w:tcBorders>
              <w:top w:val="single" w:color="000000" w:sz="4" w:space="0"/>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rPr>
                <w:rFonts w:hint="default" w:ascii="Times New Roman" w:hAnsi="Times New Roman" w:cs="Times New Roman"/>
                <w:color w:val="000000"/>
                <w:sz w:val="18"/>
                <w:szCs w:val="18"/>
              </w:rPr>
            </w:pPr>
          </w:p>
        </w:tc>
        <w:tc>
          <w:tcPr>
            <w:tcW w:w="615" w:type="pc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200" w:lineRule="exact"/>
              <w:jc w:val="right"/>
              <w:rPr>
                <w:rFonts w:hint="default" w:ascii="Times New Roman" w:hAnsi="Times New Roman" w:cs="Times New Roman"/>
                <w:color w:val="000000"/>
                <w:sz w:val="18"/>
                <w:szCs w:val="18"/>
              </w:rPr>
            </w:pPr>
          </w:p>
        </w:tc>
      </w:tr>
      <w:tr>
        <w:tblPrEx>
          <w:tblCellMar>
            <w:top w:w="0" w:type="dxa"/>
            <w:left w:w="0" w:type="dxa"/>
            <w:bottom w:w="0" w:type="dxa"/>
            <w:right w:w="0" w:type="dxa"/>
          </w:tblCellMar>
        </w:tblPrEx>
        <w:trPr>
          <w:trHeight w:val="90" w:hRule="atLeast"/>
        </w:trPr>
        <w:tc>
          <w:tcPr>
            <w:tcW w:w="1089" w:type="pct"/>
            <w:gridSpan w:val="2"/>
            <w:tcBorders>
              <w:top w:val="nil"/>
              <w:left w:val="single" w:color="000000" w:sz="4" w:space="0"/>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人员经费合计</w:t>
            </w:r>
          </w:p>
        </w:tc>
        <w:tc>
          <w:tcPr>
            <w:tcW w:w="448"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ordWrap w:val="0"/>
              <w:spacing w:line="200" w:lineRule="exact"/>
              <w:jc w:val="right"/>
              <w:textAlignment w:val="bottom"/>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460.45</w:t>
            </w:r>
            <w:r>
              <w:rPr>
                <w:rFonts w:hint="default" w:ascii="Times New Roman" w:hAnsi="Times New Roman" w:cs="Times New Roman"/>
                <w:color w:val="000000"/>
                <w:sz w:val="18"/>
                <w:u w:color="auto"/>
              </w:rPr>
              <w:t xml:space="preserve"> </w:t>
            </w:r>
          </w:p>
        </w:tc>
        <w:tc>
          <w:tcPr>
            <w:tcW w:w="2848" w:type="pct"/>
            <w:gridSpan w:val="5"/>
            <w:tcBorders>
              <w:top w:val="nil"/>
              <w:left w:val="nil"/>
              <w:bottom w:val="single" w:color="000000" w:sz="4" w:space="0"/>
              <w:right w:val="single" w:color="000000" w:sz="4" w:space="0"/>
            </w:tcBorders>
            <w:shd w:val="clear" w:color="FFFFFF"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sz w:val="18"/>
                <w:szCs w:val="18"/>
              </w:rPr>
            </w:pPr>
            <w:r>
              <w:rPr>
                <w:rFonts w:hint="default" w:ascii="Times New Roman" w:hAnsi="Times New Roman" w:cs="Times New Roman"/>
                <w:b/>
                <w:color w:val="000000"/>
                <w:sz w:val="18"/>
                <w:szCs w:val="18"/>
              </w:rPr>
              <w:t>公用经费合计</w:t>
            </w:r>
          </w:p>
        </w:tc>
        <w:tc>
          <w:tcPr>
            <w:tcW w:w="61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spacing w:line="200" w:lineRule="exact"/>
              <w:jc w:val="right"/>
              <w:textAlignment w:val="center"/>
              <w:rPr>
                <w:rFonts w:hint="default" w:ascii="Times New Roman" w:hAnsi="Times New Roman" w:cs="Times New Roman"/>
                <w:color w:val="000000"/>
                <w:sz w:val="18"/>
                <w:szCs w:val="18"/>
              </w:rPr>
            </w:pPr>
            <w:r>
              <w:rPr>
                <w:rFonts w:hint="default" w:ascii="Times New Roman" w:hAnsi="Times New Roman" w:cs="Times New Roman"/>
                <w:color w:val="000000"/>
                <w:sz w:val="18"/>
                <w:szCs w:val="18"/>
              </w:rPr>
              <w:t>84.37</w:t>
            </w:r>
            <w:r>
              <w:rPr>
                <w:rFonts w:hint="default" w:ascii="Times New Roman" w:hAnsi="Times New Roman" w:cs="Times New Roman"/>
                <w:color w:val="000000"/>
                <w:sz w:val="18"/>
                <w:u w:color="auto"/>
              </w:rPr>
              <w:t xml:space="preserve"> </w:t>
            </w:r>
          </w:p>
        </w:tc>
      </w:tr>
    </w:tbl>
    <w:p>
      <w:pPr>
        <w:spacing w:line="280" w:lineRule="exact"/>
        <w:rPr>
          <w:rFonts w:hint="default" w:ascii="Times New Roman" w:hAnsi="Times New Roman" w:cs="Times New Roman"/>
          <w:sz w:val="20"/>
          <w:szCs w:val="20"/>
        </w:rPr>
      </w:pPr>
      <w:r>
        <w:rPr>
          <w:rFonts w:hint="default" w:ascii="Times New Roman" w:hAnsi="Times New Roman" w:cs="Times New Roman"/>
          <w:sz w:val="20"/>
          <w:szCs w:val="20"/>
        </w:rPr>
        <w:t>备注：1.本表反映部门本年度一般公共预算财政拨款基本支出明细情况。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768"/>
        <w:gridCol w:w="3630"/>
        <w:gridCol w:w="1622"/>
        <w:gridCol w:w="1622"/>
        <w:gridCol w:w="1622"/>
        <w:gridCol w:w="1622"/>
        <w:gridCol w:w="1686"/>
        <w:gridCol w:w="1750"/>
      </w:tblGrid>
      <w:tr>
        <w:tblPrEx>
          <w:tblCellMar>
            <w:top w:w="0" w:type="dxa"/>
            <w:left w:w="0" w:type="dxa"/>
            <w:bottom w:w="0" w:type="dxa"/>
            <w:right w:w="0" w:type="dxa"/>
          </w:tblCellMar>
        </w:tblPrEx>
        <w:trPr>
          <w:trHeight w:val="644" w:hRule="atLeast"/>
        </w:trPr>
        <w:tc>
          <w:tcPr>
            <w:tcW w:w="5000" w:type="pct"/>
            <w:gridSpan w:val="8"/>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政府性基金预算财政拨款收入支出决算表</w:t>
            </w:r>
          </w:p>
        </w:tc>
      </w:tr>
      <w:tr>
        <w:tblPrEx>
          <w:tblCellMar>
            <w:top w:w="0" w:type="dxa"/>
            <w:left w:w="0" w:type="dxa"/>
            <w:bottom w:w="0" w:type="dxa"/>
            <w:right w:w="0" w:type="dxa"/>
          </w:tblCellMar>
        </w:tblPrEx>
        <w:trPr>
          <w:trHeight w:val="329" w:hRule="atLeast"/>
        </w:trPr>
        <w:tc>
          <w:tcPr>
            <w:tcW w:w="216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w:t>
            </w: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公开07表</w:t>
            </w:r>
          </w:p>
        </w:tc>
      </w:tr>
      <w:tr>
        <w:tblPrEx>
          <w:tblCellMar>
            <w:top w:w="0" w:type="dxa"/>
            <w:left w:w="0" w:type="dxa"/>
            <w:bottom w:w="0" w:type="dxa"/>
            <w:right w:w="0" w:type="dxa"/>
          </w:tblCellMar>
        </w:tblPrEx>
        <w:trPr>
          <w:trHeight w:val="329" w:hRule="atLeast"/>
        </w:trPr>
        <w:tc>
          <w:tcPr>
            <w:tcW w:w="216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55"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76" w:type="pct"/>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597"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339"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555" w:type="pct"/>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年初结转和结余</w:t>
            </w:r>
          </w:p>
        </w:tc>
        <w:tc>
          <w:tcPr>
            <w:tcW w:w="555"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本年收入</w:t>
            </w:r>
          </w:p>
        </w:tc>
        <w:tc>
          <w:tcPr>
            <w:tcW w:w="1686" w:type="pct"/>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c>
          <w:tcPr>
            <w:tcW w:w="597"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年末结转和结余</w:t>
            </w:r>
          </w:p>
        </w:tc>
      </w:tr>
      <w:tr>
        <w:tblPrEx>
          <w:tblCellMar>
            <w:top w:w="0" w:type="dxa"/>
            <w:left w:w="0" w:type="dxa"/>
            <w:bottom w:w="0" w:type="dxa"/>
            <w:right w:w="0" w:type="dxa"/>
          </w:tblCellMar>
        </w:tblPrEx>
        <w:trPr>
          <w:trHeight w:val="335" w:hRule="atLeast"/>
        </w:trPr>
        <w:tc>
          <w:tcPr>
            <w:tcW w:w="603"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1004" w:type="pct"/>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项目（按“项”级功能分类科目）</w:t>
            </w: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576"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45" w:hRule="atLeast"/>
        </w:trPr>
        <w:tc>
          <w:tcPr>
            <w:tcW w:w="603"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004"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5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76"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597" w:type="pct"/>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1607" w:type="pct"/>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bCs/>
                <w:color w:val="000000"/>
                <w:sz w:val="20"/>
                <w:szCs w:val="20"/>
              </w:rPr>
              <w:t>20.48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城乡社区支出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21208</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0.48</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2120899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其他国有土地使用权出让收入安排的支出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0.48</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其他支出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22960</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b/>
                <w:color w:val="000000"/>
                <w:sz w:val="20"/>
                <w:szCs w:val="20"/>
              </w:rPr>
              <w:t>彩票公益金安排的支出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20.00</w:t>
            </w:r>
            <w:r>
              <w:rPr>
                <w:rFonts w:hint="default" w:ascii="Times New Roman" w:hAnsi="Times New Roman" w:cs="Times New Roman"/>
                <w:b/>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r>
        <w:tblPrEx>
          <w:tblCellMar>
            <w:top w:w="0" w:type="dxa"/>
            <w:left w:w="0" w:type="dxa"/>
            <w:bottom w:w="0" w:type="dxa"/>
            <w:right w:w="0" w:type="dxa"/>
          </w:tblCellMar>
        </w:tblPrEx>
        <w:trPr>
          <w:trHeight w:val="349" w:hRule="atLeast"/>
        </w:trPr>
        <w:tc>
          <w:tcPr>
            <w:tcW w:w="603" w:type="pct"/>
            <w:tcBorders>
              <w:top w:val="nil"/>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2296002</w:t>
            </w:r>
          </w:p>
        </w:tc>
        <w:tc>
          <w:tcPr>
            <w:tcW w:w="1004"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both"/>
              <w:textAlignment w:val="center"/>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用于社会福利的彩票公益金支出</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55"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c>
          <w:tcPr>
            <w:tcW w:w="576"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szCs w:val="20"/>
              </w:rPr>
              <w:t>20.00</w:t>
            </w:r>
            <w:r>
              <w:rPr>
                <w:rFonts w:hint="default" w:ascii="Times New Roman" w:hAnsi="Times New Roman" w:cs="Times New Roman"/>
                <w:color w:val="000000"/>
                <w:sz w:val="20"/>
                <w:u w:color="auto"/>
              </w:rPr>
              <w:t xml:space="preserve"> </w:t>
            </w:r>
          </w:p>
        </w:tc>
        <w:tc>
          <w:tcPr>
            <w:tcW w:w="597"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备注：1.本表反映部门本年度政府性基金预算财政拨款收入支出及结转和结余情况。</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5000" w:type="pct"/>
        <w:tblInd w:w="0" w:type="dxa"/>
        <w:tblLayout w:type="autofit"/>
        <w:tblCellMar>
          <w:top w:w="0" w:type="dxa"/>
          <w:left w:w="0" w:type="dxa"/>
          <w:bottom w:w="0" w:type="dxa"/>
          <w:right w:w="0" w:type="dxa"/>
        </w:tblCellMar>
      </w:tblPr>
      <w:tblGrid>
        <w:gridCol w:w="1875"/>
        <w:gridCol w:w="3049"/>
        <w:gridCol w:w="3264"/>
        <w:gridCol w:w="199"/>
        <w:gridCol w:w="3463"/>
        <w:gridCol w:w="77"/>
        <w:gridCol w:w="3395"/>
      </w:tblGrid>
      <w:tr>
        <w:tblPrEx>
          <w:tblCellMar>
            <w:top w:w="0" w:type="dxa"/>
            <w:left w:w="0" w:type="dxa"/>
            <w:bottom w:w="0" w:type="dxa"/>
            <w:right w:w="0" w:type="dxa"/>
          </w:tblCellMar>
        </w:tblPrEx>
        <w:trPr>
          <w:trHeight w:val="650" w:hRule="atLeast"/>
        </w:trPr>
        <w:tc>
          <w:tcPr>
            <w:tcW w:w="5000" w:type="pct"/>
            <w:gridSpan w:val="7"/>
            <w:tcBorders>
              <w:top w:val="nil"/>
              <w:left w:val="nil"/>
              <w:bottom w:val="nil"/>
              <w:right w:val="nil"/>
            </w:tcBorders>
            <w:shd w:val="clear" w:color="auto" w:fill="auto"/>
            <w:noWrap/>
            <w:tcMar>
              <w:top w:w="15" w:type="dxa"/>
              <w:left w:w="15" w:type="dxa"/>
              <w:right w:w="15" w:type="dxa"/>
            </w:tcMar>
            <w:vAlign w:val="bottom"/>
          </w:tcPr>
          <w:p>
            <w:pPr>
              <w:jc w:val="center"/>
              <w:textAlignment w:val="bottom"/>
              <w:rPr>
                <w:rFonts w:hint="default" w:ascii="Times New Roman" w:hAnsi="Times New Roman" w:cs="Times New Roman"/>
                <w:b/>
                <w:color w:val="000000"/>
                <w:sz w:val="32"/>
                <w:szCs w:val="32"/>
              </w:rPr>
            </w:pPr>
            <w:r>
              <w:rPr>
                <w:rFonts w:hint="default" w:ascii="Times New Roman" w:hAnsi="Times New Roman" w:cs="Times New Roman"/>
                <w:b/>
                <w:color w:val="000000"/>
                <w:sz w:val="32"/>
                <w:szCs w:val="32"/>
              </w:rPr>
              <w:t>国有资本经营预算财政拨款支出决算表</w:t>
            </w:r>
          </w:p>
        </w:tc>
      </w:tr>
      <w:tr>
        <w:tblPrEx>
          <w:tblCellMar>
            <w:top w:w="0" w:type="dxa"/>
            <w:left w:w="0" w:type="dxa"/>
            <w:bottom w:w="0" w:type="dxa"/>
            <w:right w:w="0" w:type="dxa"/>
          </w:tblCellMar>
        </w:tblPrEx>
        <w:trPr>
          <w:trHeight w:val="332" w:hRule="atLeast"/>
        </w:trPr>
        <w:tc>
          <w:tcPr>
            <w:tcW w:w="2672" w:type="pct"/>
            <w:gridSpan w:val="3"/>
            <w:vMerge w:val="restart"/>
            <w:tcBorders>
              <w:top w:val="nil"/>
              <w:left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r>
              <w:rPr>
                <w:rFonts w:hint="default" w:ascii="Times New Roman" w:hAnsi="Times New Roman" w:cs="Times New Roman"/>
                <w:sz w:val="20"/>
                <w:szCs w:val="20"/>
              </w:rPr>
              <w:t>公开部门</w:t>
            </w:r>
            <w:r>
              <w:rPr>
                <w:rFonts w:hint="default" w:ascii="Times New Roman" w:hAnsi="Times New Roman" w:cs="Times New Roman"/>
                <w:color w:val="000000"/>
                <w:sz w:val="20"/>
                <w:szCs w:val="20"/>
              </w:rPr>
              <w:t xml:space="preserve">： </w:t>
            </w:r>
            <w:r>
              <w:rPr>
                <w:rFonts w:hint="default" w:ascii="Times New Roman" w:hAnsi="Times New Roman" w:cs="Times New Roman"/>
                <w:color w:val="000000"/>
                <w:sz w:val="20"/>
                <w:u w:color="auto"/>
              </w:rPr>
              <w:t>重庆市石柱土家族自治县新乐乡人民政府</w:t>
            </w: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公开08表</w:t>
            </w:r>
          </w:p>
        </w:tc>
      </w:tr>
      <w:tr>
        <w:tblPrEx>
          <w:tblCellMar>
            <w:top w:w="0" w:type="dxa"/>
            <w:left w:w="0" w:type="dxa"/>
            <w:bottom w:w="0" w:type="dxa"/>
            <w:right w:w="0" w:type="dxa"/>
          </w:tblCellMar>
        </w:tblPrEx>
        <w:trPr>
          <w:trHeight w:val="332" w:hRule="atLeast"/>
        </w:trPr>
        <w:tc>
          <w:tcPr>
            <w:tcW w:w="2672" w:type="pct"/>
            <w:gridSpan w:val="3"/>
            <w:vMerge w:val="continue"/>
            <w:tcBorders>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220" w:type="pct"/>
            <w:gridSpan w:val="3"/>
            <w:tcBorders>
              <w:top w:val="nil"/>
              <w:left w:val="nil"/>
              <w:bottom w:val="nil"/>
              <w:right w:val="nil"/>
            </w:tcBorders>
            <w:shd w:val="clear" w:color="auto" w:fill="auto"/>
            <w:noWrap/>
            <w:tcMar>
              <w:top w:w="15" w:type="dxa"/>
              <w:left w:w="15" w:type="dxa"/>
              <w:right w:w="15" w:type="dxa"/>
            </w:tcMar>
            <w:vAlign w:val="bottom"/>
          </w:tcPr>
          <w:p>
            <w:pPr>
              <w:rPr>
                <w:rFonts w:hint="default" w:ascii="Times New Roman" w:hAnsi="Times New Roman" w:cs="Times New Roman"/>
                <w:color w:val="000000"/>
                <w:sz w:val="20"/>
                <w:szCs w:val="20"/>
              </w:rPr>
            </w:pPr>
          </w:p>
        </w:tc>
        <w:tc>
          <w:tcPr>
            <w:tcW w:w="1108" w:type="pct"/>
            <w:tcBorders>
              <w:top w:val="nil"/>
              <w:left w:val="nil"/>
              <w:bottom w:val="nil"/>
              <w:right w:val="nil"/>
            </w:tcBorders>
            <w:shd w:val="clear" w:color="auto" w:fill="auto"/>
            <w:noWrap/>
            <w:tcMar>
              <w:top w:w="15" w:type="dxa"/>
              <w:left w:w="15" w:type="dxa"/>
              <w:right w:w="15" w:type="dxa"/>
            </w:tcMar>
            <w:vAlign w:val="bottom"/>
          </w:tcPr>
          <w:p>
            <w:pPr>
              <w:jc w:val="right"/>
              <w:textAlignment w:val="bottom"/>
              <w:rPr>
                <w:rFonts w:hint="default" w:ascii="Times New Roman" w:hAnsi="Times New Roman" w:cs="Times New Roman"/>
                <w:color w:val="000000"/>
                <w:sz w:val="20"/>
                <w:szCs w:val="20"/>
              </w:rPr>
            </w:pPr>
            <w:r>
              <w:rPr>
                <w:rFonts w:hint="default" w:ascii="Times New Roman" w:hAnsi="Times New Roman" w:cs="Times New Roman"/>
                <w:color w:val="000000"/>
                <w:sz w:val="20"/>
                <w:szCs w:val="20"/>
              </w:rPr>
              <w:t>单位：</w:t>
            </w:r>
            <w:r>
              <w:rPr>
                <w:rFonts w:hint="default" w:ascii="Times New Roman" w:hAnsi="Times New Roman" w:cs="Times New Roman"/>
                <w:sz w:val="20"/>
                <w:szCs w:val="20"/>
              </w:rPr>
              <w:t>万元</w:t>
            </w:r>
          </w:p>
        </w:tc>
      </w:tr>
      <w:tr>
        <w:tblPrEx>
          <w:tblCellMar>
            <w:top w:w="0" w:type="dxa"/>
            <w:left w:w="0" w:type="dxa"/>
            <w:bottom w:w="0" w:type="dxa"/>
            <w:right w:w="0" w:type="dxa"/>
          </w:tblCellMar>
        </w:tblPrEx>
        <w:trPr>
          <w:trHeight w:val="422"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w:t>
            </w:r>
          </w:p>
        </w:tc>
        <w:tc>
          <w:tcPr>
            <w:tcW w:w="3393" w:type="pct"/>
            <w:gridSpan w:val="5"/>
            <w:tcBorders>
              <w:top w:val="single" w:color="000000" w:sz="4" w:space="0"/>
              <w:left w:val="single" w:color="000000" w:sz="4" w:space="0"/>
              <w:bottom w:val="single" w:color="000000" w:sz="4" w:space="0"/>
              <w:right w:val="single" w:color="000000" w:sz="4" w:space="0"/>
            </w:tcBorders>
            <w:shd w:val="clear" w:color="auto" w:fill="C0C0C0"/>
            <w:noWrap/>
            <w:tcMar>
              <w:top w:w="15" w:type="dxa"/>
              <w:left w:w="15" w:type="dxa"/>
              <w:right w:w="15" w:type="dxa"/>
            </w:tcMar>
            <w:vAlign w:val="bottom"/>
          </w:tcPr>
          <w:p>
            <w:pPr>
              <w:jc w:val="center"/>
              <w:textAlignment w:val="bottom"/>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本年支出</w:t>
            </w:r>
          </w:p>
        </w:tc>
      </w:tr>
      <w:tr>
        <w:tblPrEx>
          <w:tblCellMar>
            <w:top w:w="0" w:type="dxa"/>
            <w:left w:w="0" w:type="dxa"/>
            <w:bottom w:w="0" w:type="dxa"/>
            <w:right w:w="0" w:type="dxa"/>
          </w:tblCellMar>
        </w:tblPrEx>
        <w:trPr>
          <w:trHeight w:val="339" w:hRule="atLeast"/>
        </w:trPr>
        <w:tc>
          <w:tcPr>
            <w:tcW w:w="612" w:type="pct"/>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功能分类科目编码</w:t>
            </w:r>
          </w:p>
        </w:tc>
        <w:tc>
          <w:tcPr>
            <w:tcW w:w="995"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科目名称</w:t>
            </w:r>
          </w:p>
        </w:tc>
        <w:tc>
          <w:tcPr>
            <w:tcW w:w="1130" w:type="pct"/>
            <w:gridSpan w:val="2"/>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基本支出</w:t>
            </w:r>
          </w:p>
        </w:tc>
        <w:tc>
          <w:tcPr>
            <w:tcW w:w="1133" w:type="pct"/>
            <w:gridSpan w:val="2"/>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项目支出</w:t>
            </w: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39"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326" w:hRule="atLeast"/>
        </w:trPr>
        <w:tc>
          <w:tcPr>
            <w:tcW w:w="612" w:type="pct"/>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995"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gridSpan w:val="2"/>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0" w:type="pct"/>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c>
          <w:tcPr>
            <w:tcW w:w="1133" w:type="pct"/>
            <w:gridSpan w:val="2"/>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default" w:ascii="Times New Roman" w:hAnsi="Times New Roman" w:cs="Times New Roman"/>
                <w:b/>
                <w:color w:val="000000"/>
                <w:sz w:val="20"/>
                <w:szCs w:val="20"/>
              </w:rPr>
            </w:pPr>
          </w:p>
        </w:tc>
      </w:tr>
      <w:tr>
        <w:tblPrEx>
          <w:tblCellMar>
            <w:top w:w="0" w:type="dxa"/>
            <w:left w:w="0" w:type="dxa"/>
            <w:bottom w:w="0" w:type="dxa"/>
            <w:right w:w="0" w:type="dxa"/>
          </w:tblCellMar>
        </w:tblPrEx>
        <w:trPr>
          <w:trHeight w:val="611" w:hRule="atLeast"/>
        </w:trPr>
        <w:tc>
          <w:tcPr>
            <w:tcW w:w="1607" w:type="pct"/>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szCs w:val="20"/>
              </w:rPr>
              <w:t>合计</w:t>
            </w:r>
          </w:p>
        </w:tc>
        <w:tc>
          <w:tcPr>
            <w:tcW w:w="1130"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c>
          <w:tcPr>
            <w:tcW w:w="1130" w:type="pct"/>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jc w:val="right"/>
              <w:rPr>
                <w:rFonts w:hint="default" w:ascii="Times New Roman" w:hAnsi="Times New Roman" w:cs="Times New Roman"/>
                <w:b/>
                <w:color w:val="000000"/>
                <w:sz w:val="20"/>
                <w:szCs w:val="20"/>
              </w:rPr>
            </w:pPr>
          </w:p>
        </w:tc>
        <w:tc>
          <w:tcPr>
            <w:tcW w:w="1133" w:type="pct"/>
            <w:gridSpan w:val="2"/>
            <w:tcBorders>
              <w:top w:val="nil"/>
              <w:left w:val="nil"/>
              <w:bottom w:val="single" w:color="000000" w:sz="4" w:space="0"/>
              <w:right w:val="single" w:color="000000" w:sz="4" w:space="0"/>
            </w:tcBorders>
            <w:shd w:val="clear" w:color="auto" w:fill="auto"/>
            <w:noWrap/>
            <w:tcMar>
              <w:top w:w="15" w:type="dxa"/>
              <w:left w:w="15" w:type="dxa"/>
              <w:right w:w="15" w:type="dxa"/>
            </w:tcMar>
            <w:vAlign w:val="center"/>
          </w:tcPr>
          <w:p>
            <w:pPr>
              <w:wordWrap w:val="0"/>
              <w:jc w:val="right"/>
              <w:textAlignment w:val="center"/>
              <w:rPr>
                <w:rFonts w:hint="default" w:ascii="Times New Roman" w:hAnsi="Times New Roman" w:cs="Times New Roman"/>
                <w:b/>
                <w:color w:val="000000"/>
                <w:sz w:val="20"/>
                <w:szCs w:val="20"/>
              </w:rPr>
            </w:pPr>
            <w:r>
              <w:rPr>
                <w:rFonts w:hint="default" w:ascii="Times New Roman" w:hAnsi="Times New Roman" w:cs="Times New Roman"/>
                <w:b/>
                <w:color w:val="000000"/>
                <w:sz w:val="20"/>
                <w:u w:color="auto"/>
              </w:rPr>
              <w:t xml:space="preserve"> </w:t>
            </w:r>
          </w:p>
        </w:tc>
      </w:tr>
    </w:tbl>
    <w:p>
      <w:pPr>
        <w:rPr>
          <w:rFonts w:hint="default" w:ascii="Times New Roman" w:hAnsi="Times New Roman" w:cs="Times New Roman"/>
          <w:sz w:val="21"/>
          <w:szCs w:val="21"/>
        </w:rPr>
      </w:pPr>
      <w:r>
        <w:rPr>
          <w:rFonts w:hint="default" w:ascii="Times New Roman" w:hAnsi="Times New Roman" w:cs="Times New Roman"/>
          <w:sz w:val="20"/>
          <w:szCs w:val="20"/>
        </w:rPr>
        <w:t>备注：本表反映部门本年度国有资本经营预算财政拨款支出情况。本部门无国有资本经营收支，故本表无数据。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p>
      <w:pPr>
        <w:rPr>
          <w:rFonts w:hint="default" w:ascii="Times New Roman" w:hAnsi="Times New Roman" w:cs="Times New Roman"/>
          <w:sz w:val="21"/>
          <w:szCs w:val="21"/>
        </w:rPr>
      </w:pPr>
      <w:r>
        <w:rPr>
          <w:rFonts w:hint="default" w:ascii="Times New Roman" w:hAnsi="Times New Roman" w:cs="Times New Roman"/>
          <w:sz w:val="21"/>
          <w:szCs w:val="21"/>
        </w:rPr>
        <w:br w:type="page"/>
      </w:r>
    </w:p>
    <w:tbl>
      <w:tblPr>
        <w:tblStyle w:val="7"/>
        <w:tblW w:w="4850" w:type="pct"/>
        <w:tblInd w:w="0" w:type="dxa"/>
        <w:tblLayout w:type="fixed"/>
        <w:tblCellMar>
          <w:top w:w="0" w:type="dxa"/>
          <w:left w:w="170" w:type="dxa"/>
          <w:bottom w:w="0" w:type="dxa"/>
          <w:right w:w="170" w:type="dxa"/>
        </w:tblCellMar>
      </w:tblPr>
      <w:tblGrid>
        <w:gridCol w:w="4004"/>
        <w:gridCol w:w="2146"/>
        <w:gridCol w:w="2093"/>
        <w:gridCol w:w="4482"/>
        <w:gridCol w:w="2137"/>
      </w:tblGrid>
      <w:tr>
        <w:tblPrEx>
          <w:tblCellMar>
            <w:top w:w="0" w:type="dxa"/>
            <w:left w:w="170" w:type="dxa"/>
            <w:bottom w:w="0" w:type="dxa"/>
            <w:right w:w="170" w:type="dxa"/>
          </w:tblCellMar>
        </w:tblPrEx>
        <w:trPr>
          <w:trHeight w:val="343" w:hRule="atLeast"/>
        </w:trPr>
        <w:tc>
          <w:tcPr>
            <w:tcW w:w="5000" w:type="pct"/>
            <w:gridSpan w:val="5"/>
            <w:shd w:val="clear" w:color="auto" w:fill="auto"/>
            <w:noWrap/>
            <w:tcMar>
              <w:top w:w="15" w:type="dxa"/>
              <w:left w:w="15" w:type="dxa"/>
              <w:right w:w="15" w:type="dxa"/>
            </w:tcMar>
            <w:vAlign w:val="bottom"/>
          </w:tcPr>
          <w:p>
            <w:pPr>
              <w:spacing w:line="400" w:lineRule="exact"/>
              <w:jc w:val="center"/>
              <w:textAlignment w:val="bottom"/>
              <w:rPr>
                <w:rFonts w:hint="default" w:ascii="Times New Roman" w:hAnsi="Times New Roman" w:cs="Times New Roman"/>
                <w:b/>
                <w:color w:val="000000"/>
                <w:kern w:val="2"/>
                <w:sz w:val="32"/>
                <w:szCs w:val="32"/>
              </w:rPr>
            </w:pPr>
            <w:r>
              <w:rPr>
                <w:rFonts w:hint="default" w:ascii="Times New Roman" w:hAnsi="Times New Roman" w:cs="Times New Roman"/>
                <w:b/>
                <w:color w:val="000000"/>
                <w:kern w:val="2"/>
                <w:sz w:val="32"/>
                <w:szCs w:val="32"/>
              </w:rPr>
              <w:t>机构运行信息表</w:t>
            </w:r>
          </w:p>
        </w:tc>
      </w:tr>
      <w:tr>
        <w:tblPrEx>
          <w:tblCellMar>
            <w:top w:w="0" w:type="dxa"/>
            <w:left w:w="170" w:type="dxa"/>
            <w:bottom w:w="0" w:type="dxa"/>
            <w:right w:w="170" w:type="dxa"/>
          </w:tblCellMar>
        </w:tblPrEx>
        <w:trPr>
          <w:trHeight w:val="244" w:hRule="atLeast"/>
        </w:trPr>
        <w:tc>
          <w:tcPr>
            <w:tcW w:w="1347"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22" w:type="pct"/>
            <w:shd w:val="clear" w:color="auto" w:fill="auto"/>
            <w:noWrap/>
            <w:tcMar>
              <w:top w:w="15" w:type="dxa"/>
              <w:left w:w="15" w:type="dxa"/>
              <w:right w:w="15" w:type="dxa"/>
            </w:tcMar>
            <w:vAlign w:val="bottom"/>
          </w:tcPr>
          <w:p>
            <w:pPr>
              <w:spacing w:line="280" w:lineRule="exact"/>
              <w:jc w:val="center"/>
              <w:rPr>
                <w:rFonts w:hint="default" w:ascii="Times New Roman" w:hAnsi="Times New Roman" w:cs="Times New Roman"/>
                <w:color w:val="000000"/>
                <w:kern w:val="2"/>
                <w:sz w:val="20"/>
                <w:szCs w:val="20"/>
              </w:rPr>
            </w:pPr>
          </w:p>
        </w:tc>
        <w:tc>
          <w:tcPr>
            <w:tcW w:w="704" w:type="pct"/>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508" w:type="pct"/>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19" w:type="pct"/>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公开09表</w:t>
            </w:r>
          </w:p>
        </w:tc>
      </w:tr>
      <w:tr>
        <w:tblPrEx>
          <w:tblCellMar>
            <w:top w:w="0" w:type="dxa"/>
            <w:left w:w="170" w:type="dxa"/>
            <w:bottom w:w="0" w:type="dxa"/>
            <w:right w:w="170" w:type="dxa"/>
          </w:tblCellMar>
        </w:tblPrEx>
        <w:trPr>
          <w:trHeight w:val="244" w:hRule="atLeast"/>
        </w:trPr>
        <w:tc>
          <w:tcPr>
            <w:tcW w:w="2069" w:type="pct"/>
            <w:gridSpan w:val="2"/>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r>
              <w:rPr>
                <w:rFonts w:hint="default" w:ascii="Times New Roman" w:hAnsi="Times New Roman" w:cs="Times New Roman"/>
                <w:kern w:val="2"/>
                <w:sz w:val="20"/>
                <w:szCs w:val="20"/>
              </w:rPr>
              <w:t>公开部门</w:t>
            </w:r>
            <w:r>
              <w:rPr>
                <w:rFonts w:hint="default" w:ascii="Times New Roman" w:hAnsi="Times New Roman" w:cs="Times New Roman"/>
                <w:color w:val="000000"/>
                <w:kern w:val="2"/>
                <w:sz w:val="20"/>
                <w:szCs w:val="20"/>
              </w:rPr>
              <w:t xml:space="preserve">： </w:t>
            </w:r>
            <w:r>
              <w:rPr>
                <w:rFonts w:hint="default" w:ascii="Times New Roman" w:hAnsi="Times New Roman" w:cs="Times New Roman"/>
                <w:color w:val="000000"/>
                <w:sz w:val="20"/>
                <w:u w:color="auto"/>
              </w:rPr>
              <w:t>重庆市石柱土家族自治县新乐乡人民政府</w:t>
            </w:r>
          </w:p>
        </w:tc>
        <w:tc>
          <w:tcPr>
            <w:tcW w:w="704"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rPr>
                <w:rFonts w:hint="default" w:ascii="Times New Roman" w:hAnsi="Times New Roman" w:cs="Times New Roman"/>
                <w:color w:val="000000"/>
                <w:kern w:val="2"/>
                <w:sz w:val="20"/>
                <w:szCs w:val="20"/>
              </w:rPr>
            </w:pPr>
          </w:p>
        </w:tc>
        <w:tc>
          <w:tcPr>
            <w:tcW w:w="1508"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rPr>
                <w:rFonts w:hint="default" w:ascii="Times New Roman" w:hAnsi="Times New Roman" w:cs="Times New Roman"/>
                <w:color w:val="000000"/>
                <w:kern w:val="2"/>
                <w:sz w:val="20"/>
                <w:szCs w:val="20"/>
              </w:rPr>
            </w:pPr>
          </w:p>
        </w:tc>
        <w:tc>
          <w:tcPr>
            <w:tcW w:w="719" w:type="pct"/>
            <w:tcBorders>
              <w:top w:val="nil"/>
              <w:left w:val="nil"/>
              <w:bottom w:val="single" w:color="auto" w:sz="4" w:space="0"/>
              <w:right w:val="nil"/>
            </w:tcBorders>
            <w:shd w:val="clear" w:color="auto" w:fill="auto"/>
            <w:noWrap/>
            <w:tcMar>
              <w:top w:w="15" w:type="dxa"/>
              <w:left w:w="15" w:type="dxa"/>
              <w:right w:w="15" w:type="dxa"/>
            </w:tcMar>
            <w:vAlign w:val="bottom"/>
          </w:tcPr>
          <w:p>
            <w:pPr>
              <w:spacing w:line="280" w:lineRule="exact"/>
              <w:jc w:val="right"/>
              <w:textAlignment w:val="bottom"/>
              <w:rPr>
                <w:rFonts w:hint="default" w:ascii="Times New Roman" w:hAnsi="Times New Roman" w:cs="Times New Roman"/>
                <w:color w:val="000000"/>
                <w:kern w:val="2"/>
                <w:sz w:val="20"/>
                <w:szCs w:val="20"/>
              </w:rPr>
            </w:pPr>
            <w:r>
              <w:rPr>
                <w:rFonts w:hint="default" w:ascii="Times New Roman" w:hAnsi="Times New Roman" w:cs="Times New Roman"/>
                <w:color w:val="000000"/>
                <w:kern w:val="2"/>
                <w:sz w:val="20"/>
                <w:szCs w:val="20"/>
              </w:rPr>
              <w:t>单位：</w:t>
            </w:r>
            <w:r>
              <w:rPr>
                <w:rFonts w:hint="default" w:ascii="Times New Roman" w:hAnsi="Times New Roman" w:cs="Times New Roman"/>
                <w:kern w:val="2"/>
                <w:sz w:val="20"/>
                <w:szCs w:val="20"/>
              </w:rPr>
              <w:t>万元</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22"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预算数</w:t>
            </w:r>
          </w:p>
        </w:tc>
        <w:tc>
          <w:tcPr>
            <w:tcW w:w="704"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项  目</w:t>
            </w:r>
          </w:p>
        </w:tc>
        <w:tc>
          <w:tcPr>
            <w:tcW w:w="719"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b/>
                <w:color w:val="000000"/>
                <w:kern w:val="2"/>
                <w:sz w:val="16"/>
                <w:szCs w:val="16"/>
              </w:rPr>
            </w:pPr>
            <w:r>
              <w:rPr>
                <w:rFonts w:hint="default" w:ascii="Times New Roman" w:hAnsi="Times New Roman" w:cs="Times New Roman"/>
                <w:b/>
                <w:color w:val="000000"/>
                <w:kern w:val="2"/>
                <w:sz w:val="16"/>
                <w:szCs w:val="16"/>
              </w:rPr>
              <w:t>决算数</w:t>
            </w:r>
          </w:p>
        </w:tc>
      </w:tr>
      <w:tr>
        <w:tblPrEx>
          <w:tblCellMar>
            <w:top w:w="0" w:type="dxa"/>
            <w:left w:w="170" w:type="dxa"/>
            <w:bottom w:w="0" w:type="dxa"/>
            <w:right w:w="170" w:type="dxa"/>
          </w:tblCellMar>
        </w:tblPrEx>
        <w:trPr>
          <w:trHeight w:val="28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一、“三公”经费支出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四、机关运行经费</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53.08</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（一）支出合计</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11.15</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11.15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（一）行政单位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53.08</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（二）参照公务员法管理事业单位</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2．公务用车购置及运行维护费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8.20</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8.20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五、资产信息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（1）公务用车购置费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（一）车辆数合计（辆）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（2）公务用车运行维护费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8.20</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8.20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1．副部（省）级及以上领导用车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2.95</w:t>
            </w:r>
            <w:r>
              <w:rPr>
                <w:rFonts w:hint="default" w:ascii="Times New Roman" w:hAnsi="Times New Roman" w:cs="Times New Roman"/>
                <w:color w:val="000000"/>
                <w:sz w:val="16"/>
                <w:u w:color="auto"/>
              </w:rPr>
              <w:t xml:space="preserve"> </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2.95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2．主要领导干部用车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（1）国内接待费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2.95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3．机要通信用车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4．应急保障用车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（2）国（境）外接待费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5．执法执勤用车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（二）相关统计数</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6．特种专业技术用车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1．因公出国（境）团组数（个）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7．离退休干部用车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2．因公出国（境）人次数（人）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8．其他用车</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3．公务用车购置数（辆）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（二）单价100万元（含）以上设备（不含车辆）</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4．公务用车保有量（辆）</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六、政府采购支出信息</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5．国内公务接待批次（个）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145</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（一）政府采购支出合计</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2.39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1．政府采购货物支出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2.39</w:t>
            </w: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6．国内公务接待人次（人）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800</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2．政府采购工程支出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其中：外事接待人次（人）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3．政府采购服务支出</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7．国（境）外公务接待批次（个）</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（二）政府采购授予中小企业合同金额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92" w:hRule="atLeast"/>
        </w:trPr>
        <w:tc>
          <w:tcPr>
            <w:tcW w:w="1347" w:type="pct"/>
            <w:tcBorders>
              <w:top w:val="single" w:color="auto" w:sz="4" w:space="0"/>
              <w:left w:val="single" w:color="auto" w:sz="4" w:space="0"/>
              <w:bottom w:val="single" w:color="auto" w:sz="4" w:space="0"/>
              <w:right w:val="single" w:color="auto" w:sz="4" w:space="0"/>
            </w:tcBorders>
            <w:shd w:val="clear" w:color="auto" w:fill="BFBFBF"/>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8．国（境）外公务接待人次（人）</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FFFFFF"/>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 xml:space="preserve">        其中：授予小微企业合同金额</w:t>
            </w: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sz w:val="16"/>
                <w:u w:color="auto"/>
              </w:rPr>
              <w:t xml:space="preserve"> </w:t>
            </w:r>
          </w:p>
        </w:tc>
      </w:tr>
      <w:tr>
        <w:tblPrEx>
          <w:tblCellMar>
            <w:top w:w="0" w:type="dxa"/>
            <w:left w:w="170" w:type="dxa"/>
            <w:bottom w:w="0" w:type="dxa"/>
            <w:right w:w="170" w:type="dxa"/>
          </w:tblCellMar>
        </w:tblPrEx>
        <w:trPr>
          <w:trHeight w:val="286"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二、会议费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0.83</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r>
        <w:tblPrEx>
          <w:tblCellMar>
            <w:top w:w="0" w:type="dxa"/>
            <w:left w:w="170" w:type="dxa"/>
            <w:bottom w:w="0" w:type="dxa"/>
            <w:right w:w="170" w:type="dxa"/>
          </w:tblCellMar>
        </w:tblPrEx>
        <w:trPr>
          <w:trHeight w:val="389" w:hRule="atLeast"/>
        </w:trPr>
        <w:tc>
          <w:tcPr>
            <w:tcW w:w="1347"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三、培训费</w:t>
            </w:r>
          </w:p>
        </w:tc>
        <w:tc>
          <w:tcPr>
            <w:tcW w:w="722"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spacing w:line="200" w:lineRule="exact"/>
              <w:jc w:val="center"/>
              <w:textAlignment w:val="center"/>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w:t>
            </w:r>
          </w:p>
        </w:tc>
        <w:tc>
          <w:tcPr>
            <w:tcW w:w="704"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textAlignment w:val="bottom"/>
              <w:rPr>
                <w:rFonts w:hint="default" w:ascii="Times New Roman" w:hAnsi="Times New Roman" w:cs="Times New Roman"/>
                <w:color w:val="000000"/>
                <w:kern w:val="2"/>
                <w:sz w:val="16"/>
                <w:szCs w:val="16"/>
              </w:rPr>
            </w:pPr>
            <w:r>
              <w:rPr>
                <w:rFonts w:hint="default" w:ascii="Times New Roman" w:hAnsi="Times New Roman" w:cs="Times New Roman"/>
                <w:color w:val="000000"/>
                <w:kern w:val="2"/>
                <w:sz w:val="16"/>
                <w:szCs w:val="16"/>
              </w:rPr>
              <w:t>1.22</w:t>
            </w:r>
            <w:r>
              <w:rPr>
                <w:rFonts w:hint="default" w:ascii="Times New Roman" w:hAnsi="Times New Roman" w:cs="Times New Roman"/>
                <w:color w:val="000000"/>
                <w:sz w:val="16"/>
                <w:u w:color="auto"/>
              </w:rPr>
              <w:t xml:space="preserve"> </w:t>
            </w:r>
          </w:p>
        </w:tc>
        <w:tc>
          <w:tcPr>
            <w:tcW w:w="1508" w:type="pct"/>
            <w:tcBorders>
              <w:top w:val="single" w:color="auto" w:sz="4" w:space="0"/>
              <w:left w:val="single" w:color="auto" w:sz="4" w:space="0"/>
              <w:bottom w:val="single" w:color="auto" w:sz="4" w:space="0"/>
              <w:right w:val="single" w:color="auto" w:sz="4" w:space="0"/>
            </w:tcBorders>
            <w:shd w:val="clear" w:color="auto" w:fill="C0C0C0"/>
            <w:noWrap/>
            <w:tcMar>
              <w:top w:w="15" w:type="dxa"/>
              <w:left w:w="15" w:type="dxa"/>
              <w:right w:w="15" w:type="dxa"/>
            </w:tcMar>
            <w:vAlign w:val="center"/>
          </w:tcPr>
          <w:p>
            <w:pPr>
              <w:spacing w:line="200" w:lineRule="exact"/>
              <w:rPr>
                <w:rFonts w:hint="default" w:ascii="Times New Roman" w:hAnsi="Times New Roman" w:cs="Times New Roman"/>
                <w:color w:val="000000"/>
                <w:kern w:val="2"/>
                <w:sz w:val="16"/>
                <w:szCs w:val="16"/>
              </w:rPr>
            </w:pPr>
          </w:p>
        </w:tc>
        <w:tc>
          <w:tcPr>
            <w:tcW w:w="719" w:type="pct"/>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spacing w:line="200" w:lineRule="exact"/>
              <w:jc w:val="right"/>
              <w:rPr>
                <w:rFonts w:hint="default" w:ascii="Times New Roman" w:hAnsi="Times New Roman" w:cs="Times New Roman"/>
                <w:color w:val="000000"/>
                <w:kern w:val="2"/>
                <w:sz w:val="16"/>
                <w:szCs w:val="16"/>
              </w:rPr>
            </w:pPr>
          </w:p>
        </w:tc>
      </w:tr>
    </w:tbl>
    <w:p>
      <w:pPr>
        <w:rPr>
          <w:rFonts w:hint="default" w:ascii="Times New Roman" w:hAnsi="Times New Roman" w:cs="Times New Roman"/>
        </w:rPr>
      </w:pPr>
      <w:r>
        <w:rPr>
          <w:rFonts w:hint="default" w:ascii="Times New Roman" w:hAnsi="Times New Roman" w:cs="Times New Roman"/>
          <w:sz w:val="20"/>
          <w:szCs w:val="20"/>
        </w:rPr>
        <w:t>备注：1.本表反映部门本年度财政拨款“三公”经费支出预决算情况。其中，预算数为“三公”经费全年预算数，反映按规定程序调整后的预算数；决算数为包括本年度财政拨款和以前年度结转资金安排的实际支出。</w:t>
      </w:r>
      <w:r>
        <w:rPr>
          <w:rFonts w:hint="default" w:ascii="Times New Roman" w:hAnsi="Times New Roman" w:cs="Times New Roman"/>
          <w:sz w:val="20"/>
          <w:szCs w:val="20"/>
        </w:rPr>
        <w:br w:type="textWrapping"/>
      </w:r>
      <w:r>
        <w:rPr>
          <w:rFonts w:hint="default" w:ascii="Times New Roman" w:hAnsi="Times New Roman" w:cs="Times New Roman"/>
          <w:sz w:val="20"/>
          <w:szCs w:val="20"/>
        </w:rPr>
        <w:t xml:space="preserve">      2.本套报表金额单位转换时可能存在尾数误差。</w:t>
      </w:r>
      <w:r>
        <w:rPr>
          <w:rFonts w:hint="default" w:ascii="Times New Roman" w:hAnsi="Times New Roman" w:cs="Times New Roman"/>
          <w:sz w:val="20"/>
          <w:szCs w:val="20"/>
        </w:rPr>
        <w:br w:type="textWrapping"/>
      </w:r>
      <w:r>
        <w:rPr>
          <w:rFonts w:hint="default" w:ascii="Times New Roman" w:hAnsi="Times New Roman" w:cs="Times New Roman"/>
          <w:sz w:val="20"/>
          <w:szCs w:val="20"/>
        </w:rPr>
        <w:br w:type="textWrapping"/>
      </w:r>
    </w:p>
    <w:sectPr>
      <w:headerReference r:id="rId4" w:type="default"/>
      <w:footerReference r:id="rId5" w:type="default"/>
      <w:pgSz w:w="16783" w:h="11850" w:orient="landscape"/>
      <w:pgMar w:top="567" w:right="454" w:bottom="567" w:left="1037" w:header="0" w:footer="283" w:gutter="0"/>
      <w:pgNumType w:fmt="numberInDash"/>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default"/>
      </w:rPr>
    </w:pPr>
    <w:r>
      <w:rPr>
        <w:rFonts w:hint="default"/>
      </w:rPr>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3"/>
                  <w:rPr>
                    <w:rFonts w:hint="default"/>
                  </w:rPr>
                </w:pPr>
                <w:r>
                  <w:fldChar w:fldCharType="begin"/>
                </w:r>
                <w:r>
                  <w:instrText xml:space="preserve"> PAGE  \* MERGEFORMAT </w:instrText>
                </w:r>
                <w:r>
                  <w:fldChar w:fldCharType="separate"/>
                </w:r>
                <w:r>
                  <w:rPr>
                    <w:rFonts w:hint="default"/>
                  </w:rPr>
                  <w:t>- 24 -</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w:rPr>
        <w:rFonts w:hint="default"/>
      </w:rPr>
      <w:pict>
        <v:shape id="_x0000_s1028" o:spid="_x0000_s1028"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KOYorozAgAAZwQAAA4AAAAAAAAAAQAgAAAAHwEAAGRycy9lMm9Eb2MueG1sUEsF&#10;BgAAAAAGAAYAWQEAAMQFAAAAAA==&#10;">
          <v:path/>
          <v:fill on="f" focussize="0,0"/>
          <v:stroke on="f" weight="0.5pt" joinstyle="miter"/>
          <v:imagedata o:title=""/>
          <o:lock v:ext="edit"/>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w:t>
                </w:r>
                <w:r>
                  <w:rPr>
                    <w:rFonts w:hint="default"/>
                  </w:rPr>
                  <w:t xml:space="preserve"> 25 -</w:t>
                </w:r>
                <w:r>
                  <w:fldChar w:fldCharType="end"/>
                </w:r>
                <w:r>
                  <w:t xml:space="preserve"> </w:t>
                </w:r>
              </w:p>
            </w:txbxContent>
          </v:textbox>
        </v:shape>
      </w:pict>
    </w:r>
    <w:r>
      <w:rPr>
        <w:rFonts w:hint="default"/>
      </w:rPr>
      <w:pict>
        <v:shape id="_x0000_s1027" o:spid="_x0000_s1027"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eA1UVNgAAAAKAQAADwAAAAAAAAABACAAAAAiAAAAZHJzL2Rvd25y&#10;ZXYueG1sUEsBAhQAFAAAAAgAh07iQALFEI03AgAAZgQAAA4AAAAAAAAAAQAgAAAAJwEAAGRycy9l&#10;Mm9Eb2MueG1sUEsFBgAAAAAGAAYAWQEAANAFAAAAAA==&#10;">
          <v:path/>
          <v:fill on="f" focussize="0,0"/>
          <v:stroke on="f" weight="0.5pt" joinstyle="miter"/>
          <v:imagedata o:title=""/>
          <o:lock v:ext="edit"/>
          <v:textbox inset="0mm,0mm,0mm,0mm">
            <w:txbxContent>
              <w:p>
                <w:pPr>
                  <w:pStyle w:val="3"/>
                  <w:jc w:val="both"/>
                  <w:rPr>
                    <w:rFonts w:hint="default" w:cs="宋体"/>
                  </w:rPr>
                </w:pPr>
                <w:r>
                  <w:rPr>
                    <w:rFonts w:cs="宋体"/>
                  </w:rPr>
                  <w:t>— 27.1 —</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2607D4"/>
    <w:multiLevelType w:val="singleLevel"/>
    <w:tmpl w:val="D42607D4"/>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MmM0YmI0NGI5NTBjODRiODE1ZTJiNjZkMTE2Y2I0MGUifQ=="/>
    <w:docVar w:name="KSO_WPS_MARK_KEY" w:val="15f9d12c-100c-4ad5-bcca-6a4b922ca982"/>
  </w:docVars>
  <w:rsids>
    <w:rsidRoot w:val="00B03CCD"/>
    <w:rsid w:val="000C01CC"/>
    <w:rsid w:val="000D7702"/>
    <w:rsid w:val="002D0E5A"/>
    <w:rsid w:val="002E5443"/>
    <w:rsid w:val="004C12FF"/>
    <w:rsid w:val="00550ABE"/>
    <w:rsid w:val="005B023C"/>
    <w:rsid w:val="006137D7"/>
    <w:rsid w:val="00634FA8"/>
    <w:rsid w:val="0063613A"/>
    <w:rsid w:val="00792285"/>
    <w:rsid w:val="007A0D2E"/>
    <w:rsid w:val="007A3314"/>
    <w:rsid w:val="007B419D"/>
    <w:rsid w:val="00810F13"/>
    <w:rsid w:val="00944711"/>
    <w:rsid w:val="00984852"/>
    <w:rsid w:val="009B67B8"/>
    <w:rsid w:val="00A03B1E"/>
    <w:rsid w:val="00A67739"/>
    <w:rsid w:val="00A820B7"/>
    <w:rsid w:val="00AC5566"/>
    <w:rsid w:val="00B03CCD"/>
    <w:rsid w:val="00B40138"/>
    <w:rsid w:val="00BF5A85"/>
    <w:rsid w:val="00C307F6"/>
    <w:rsid w:val="00C96B11"/>
    <w:rsid w:val="00CC6B99"/>
    <w:rsid w:val="00DF7706"/>
    <w:rsid w:val="00E05175"/>
    <w:rsid w:val="00E654E2"/>
    <w:rsid w:val="00E76362"/>
    <w:rsid w:val="00F137D3"/>
    <w:rsid w:val="00F13C36"/>
    <w:rsid w:val="00F23C68"/>
    <w:rsid w:val="00F32C53"/>
    <w:rsid w:val="00F73F90"/>
    <w:rsid w:val="00F7623D"/>
    <w:rsid w:val="00F8598B"/>
    <w:rsid w:val="01474EBF"/>
    <w:rsid w:val="01F3521E"/>
    <w:rsid w:val="02ED1009"/>
    <w:rsid w:val="03B87EA0"/>
    <w:rsid w:val="03E3214F"/>
    <w:rsid w:val="044C50BA"/>
    <w:rsid w:val="05BC6D49"/>
    <w:rsid w:val="06194FF1"/>
    <w:rsid w:val="06A2550B"/>
    <w:rsid w:val="06F80EE2"/>
    <w:rsid w:val="07001CCA"/>
    <w:rsid w:val="075678DB"/>
    <w:rsid w:val="079D7CC7"/>
    <w:rsid w:val="08051BCA"/>
    <w:rsid w:val="086C12F4"/>
    <w:rsid w:val="08BA052C"/>
    <w:rsid w:val="08DB07BA"/>
    <w:rsid w:val="0969353F"/>
    <w:rsid w:val="098305D0"/>
    <w:rsid w:val="098A0877"/>
    <w:rsid w:val="0A5C4B69"/>
    <w:rsid w:val="0A86124A"/>
    <w:rsid w:val="0AB54CC0"/>
    <w:rsid w:val="0B9335CE"/>
    <w:rsid w:val="0C7927C4"/>
    <w:rsid w:val="0C9B098C"/>
    <w:rsid w:val="0CBD6014"/>
    <w:rsid w:val="0D673E11"/>
    <w:rsid w:val="0DDA54E4"/>
    <w:rsid w:val="0E3A5F83"/>
    <w:rsid w:val="0E74421A"/>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9079DC"/>
    <w:rsid w:val="189B0D0B"/>
    <w:rsid w:val="18B43F7C"/>
    <w:rsid w:val="194A1770"/>
    <w:rsid w:val="19B906A4"/>
    <w:rsid w:val="1B6F15B6"/>
    <w:rsid w:val="1BAA2EDC"/>
    <w:rsid w:val="1C5C0973"/>
    <w:rsid w:val="1CA55E64"/>
    <w:rsid w:val="1D014A01"/>
    <w:rsid w:val="1D022362"/>
    <w:rsid w:val="1D1B04B0"/>
    <w:rsid w:val="1DBD6767"/>
    <w:rsid w:val="1DC52125"/>
    <w:rsid w:val="1DD26311"/>
    <w:rsid w:val="1E374ACB"/>
    <w:rsid w:val="1E5E27E3"/>
    <w:rsid w:val="1ECF0A66"/>
    <w:rsid w:val="1EF67CA4"/>
    <w:rsid w:val="1F020D3A"/>
    <w:rsid w:val="1F2C5189"/>
    <w:rsid w:val="1F4B0B02"/>
    <w:rsid w:val="1FBB35CD"/>
    <w:rsid w:val="1FCD26AF"/>
    <w:rsid w:val="20642787"/>
    <w:rsid w:val="21556F04"/>
    <w:rsid w:val="22403BD3"/>
    <w:rsid w:val="23DA37D9"/>
    <w:rsid w:val="24B92327"/>
    <w:rsid w:val="24C14514"/>
    <w:rsid w:val="2533755C"/>
    <w:rsid w:val="25791755"/>
    <w:rsid w:val="26396DF4"/>
    <w:rsid w:val="27167136"/>
    <w:rsid w:val="27B23302"/>
    <w:rsid w:val="28736387"/>
    <w:rsid w:val="29310A5F"/>
    <w:rsid w:val="29C37A35"/>
    <w:rsid w:val="2A076083"/>
    <w:rsid w:val="2A73162E"/>
    <w:rsid w:val="2B167953"/>
    <w:rsid w:val="2B200583"/>
    <w:rsid w:val="2B8209DE"/>
    <w:rsid w:val="2C6762A3"/>
    <w:rsid w:val="2EBF7B3E"/>
    <w:rsid w:val="2EDE1934"/>
    <w:rsid w:val="2FCA4B37"/>
    <w:rsid w:val="2FE029D7"/>
    <w:rsid w:val="2FF06E00"/>
    <w:rsid w:val="30562E26"/>
    <w:rsid w:val="30586FEC"/>
    <w:rsid w:val="30EC7046"/>
    <w:rsid w:val="315F0B22"/>
    <w:rsid w:val="319D022C"/>
    <w:rsid w:val="31C90022"/>
    <w:rsid w:val="31D84415"/>
    <w:rsid w:val="32285F6F"/>
    <w:rsid w:val="32770556"/>
    <w:rsid w:val="329C0913"/>
    <w:rsid w:val="32AA0460"/>
    <w:rsid w:val="3337290D"/>
    <w:rsid w:val="33E31118"/>
    <w:rsid w:val="33EF7674"/>
    <w:rsid w:val="342D7BC6"/>
    <w:rsid w:val="352930DB"/>
    <w:rsid w:val="35573069"/>
    <w:rsid w:val="355F6038"/>
    <w:rsid w:val="358C217E"/>
    <w:rsid w:val="35937598"/>
    <w:rsid w:val="36C9128A"/>
    <w:rsid w:val="372E3953"/>
    <w:rsid w:val="37841E99"/>
    <w:rsid w:val="37BF1123"/>
    <w:rsid w:val="383C3F15"/>
    <w:rsid w:val="38BE4696"/>
    <w:rsid w:val="3939115E"/>
    <w:rsid w:val="39B82A39"/>
    <w:rsid w:val="39C42CA8"/>
    <w:rsid w:val="39DC4FD6"/>
    <w:rsid w:val="39F03D7A"/>
    <w:rsid w:val="39F33306"/>
    <w:rsid w:val="3A2C1C67"/>
    <w:rsid w:val="3B1705E5"/>
    <w:rsid w:val="3B18334B"/>
    <w:rsid w:val="3B36794F"/>
    <w:rsid w:val="3C566AD6"/>
    <w:rsid w:val="3C6A5B02"/>
    <w:rsid w:val="3D2757A1"/>
    <w:rsid w:val="3D3D4FC4"/>
    <w:rsid w:val="3DDF3AB1"/>
    <w:rsid w:val="3E1D0952"/>
    <w:rsid w:val="3E42660A"/>
    <w:rsid w:val="3E7555B1"/>
    <w:rsid w:val="3E787ED9"/>
    <w:rsid w:val="3EEC37F3"/>
    <w:rsid w:val="3F032E93"/>
    <w:rsid w:val="3F0527E5"/>
    <w:rsid w:val="3F694D83"/>
    <w:rsid w:val="3F885DCC"/>
    <w:rsid w:val="3FCD675E"/>
    <w:rsid w:val="4004000C"/>
    <w:rsid w:val="411B6CE5"/>
    <w:rsid w:val="412070D7"/>
    <w:rsid w:val="41314E40"/>
    <w:rsid w:val="41E0734B"/>
    <w:rsid w:val="426554D0"/>
    <w:rsid w:val="426C1EA8"/>
    <w:rsid w:val="42736402"/>
    <w:rsid w:val="42E86A87"/>
    <w:rsid w:val="43307B09"/>
    <w:rsid w:val="438D0E97"/>
    <w:rsid w:val="43BB152F"/>
    <w:rsid w:val="44C37687"/>
    <w:rsid w:val="45CB699A"/>
    <w:rsid w:val="465B470D"/>
    <w:rsid w:val="469D6AD4"/>
    <w:rsid w:val="471E6C84"/>
    <w:rsid w:val="4748792B"/>
    <w:rsid w:val="475D719D"/>
    <w:rsid w:val="47674801"/>
    <w:rsid w:val="48225EF7"/>
    <w:rsid w:val="488F422B"/>
    <w:rsid w:val="48E36915"/>
    <w:rsid w:val="495C4A24"/>
    <w:rsid w:val="497135DF"/>
    <w:rsid w:val="4A263DF2"/>
    <w:rsid w:val="4A6F6675"/>
    <w:rsid w:val="4B0502DF"/>
    <w:rsid w:val="4B135857"/>
    <w:rsid w:val="4B7951CB"/>
    <w:rsid w:val="4B7C315C"/>
    <w:rsid w:val="4DAC4ACA"/>
    <w:rsid w:val="4DBE01D2"/>
    <w:rsid w:val="4EFC6D10"/>
    <w:rsid w:val="4F0C6BA3"/>
    <w:rsid w:val="4F10477D"/>
    <w:rsid w:val="4F186D58"/>
    <w:rsid w:val="4FEA65B7"/>
    <w:rsid w:val="50F06B6E"/>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3B59D6"/>
    <w:rsid w:val="5AD134D8"/>
    <w:rsid w:val="5B6503B1"/>
    <w:rsid w:val="5C263CE4"/>
    <w:rsid w:val="5C5D2777"/>
    <w:rsid w:val="5CF66BF3"/>
    <w:rsid w:val="5D290C69"/>
    <w:rsid w:val="5F2D4A41"/>
    <w:rsid w:val="60C74F6C"/>
    <w:rsid w:val="61025A59"/>
    <w:rsid w:val="613D5BBC"/>
    <w:rsid w:val="61536C39"/>
    <w:rsid w:val="62944DD7"/>
    <w:rsid w:val="6319381F"/>
    <w:rsid w:val="63236436"/>
    <w:rsid w:val="63C25DC5"/>
    <w:rsid w:val="63C62057"/>
    <w:rsid w:val="64571EF5"/>
    <w:rsid w:val="64FB113D"/>
    <w:rsid w:val="656152C6"/>
    <w:rsid w:val="6587477F"/>
    <w:rsid w:val="658C3A08"/>
    <w:rsid w:val="65C031CA"/>
    <w:rsid w:val="65CE6852"/>
    <w:rsid w:val="66267C04"/>
    <w:rsid w:val="663F505A"/>
    <w:rsid w:val="66967186"/>
    <w:rsid w:val="66EE5541"/>
    <w:rsid w:val="67924660"/>
    <w:rsid w:val="68407834"/>
    <w:rsid w:val="6883293E"/>
    <w:rsid w:val="688412AD"/>
    <w:rsid w:val="68EB1B71"/>
    <w:rsid w:val="69475C96"/>
    <w:rsid w:val="6AAD2300"/>
    <w:rsid w:val="6B474EF5"/>
    <w:rsid w:val="6BBF53FD"/>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6650B0"/>
    <w:rsid w:val="73934AD2"/>
    <w:rsid w:val="750837F0"/>
    <w:rsid w:val="754758CF"/>
    <w:rsid w:val="764F62AB"/>
    <w:rsid w:val="765C45EC"/>
    <w:rsid w:val="768A7619"/>
    <w:rsid w:val="772E1EBA"/>
    <w:rsid w:val="77EB79F7"/>
    <w:rsid w:val="796D60A4"/>
    <w:rsid w:val="79A031D5"/>
    <w:rsid w:val="7A1525F7"/>
    <w:rsid w:val="7B420052"/>
    <w:rsid w:val="7B861484"/>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Strong"/>
    <w:qFormat/>
    <w:uiPriority w:val="0"/>
    <w:rPr>
      <w:b/>
    </w:r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列出段落2"/>
    <w:qFormat/>
    <w:uiPriority w:val="99"/>
    <w:pPr>
      <w:ind w:firstLine="420" w:firstLineChars="200"/>
    </w:pPr>
    <w:rPr>
      <w:rFonts w:ascii="宋体" w:hAnsi="宋体" w:eastAsia="宋体" w:cs="Times New Roman"/>
      <w:sz w:val="24"/>
      <w:szCs w:val="24"/>
      <w:lang w:val="en-US" w:eastAsia="zh-CN" w:bidi="ar-SA"/>
    </w:rPr>
  </w:style>
  <w:style w:type="character" w:customStyle="1" w:styleId="15">
    <w:name w:val="批注框文本 Char"/>
    <w:basedOn w:val="9"/>
    <w:link w:val="2"/>
    <w:qFormat/>
    <w:uiPriority w:val="0"/>
    <w:rPr>
      <w:rFonts w:ascii="宋体" w:hAnsi="宋体"/>
      <w:sz w:val="18"/>
      <w:szCs w:val="18"/>
    </w:rPr>
  </w:style>
  <w:style w:type="character" w:customStyle="1" w:styleId="16">
    <w:name w:val="font112"/>
    <w:basedOn w:val="9"/>
    <w:unhideWhenUsed/>
    <w:qFormat/>
    <w:uiPriority w:val="0"/>
    <w:rPr>
      <w:rFonts w:hint="default" w:ascii="Arial" w:hAnsi="Arial" w:eastAsia="宋体"/>
      <w:color w:val="000000"/>
      <w:sz w:val="20"/>
      <w:szCs w:val="24"/>
    </w:rPr>
  </w:style>
  <w:style w:type="character" w:customStyle="1" w:styleId="17">
    <w:name w:val="font121"/>
    <w:basedOn w:val="9"/>
    <w:unhideWhenUsed/>
    <w:qFormat/>
    <w:uiPriority w:val="0"/>
    <w:rPr>
      <w:rFonts w:hint="eastAsia" w:ascii="宋体" w:hAnsi="宋体" w:eastAsia="宋体"/>
      <w:color w:val="000000"/>
      <w:sz w:val="20"/>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4095</Words>
  <Characters>23348</Characters>
  <Lines>194</Lines>
  <Paragraphs>54</Paragraphs>
  <TotalTime>2</TotalTime>
  <ScaleCrop>false</ScaleCrop>
  <LinksUpToDate>false</LinksUpToDate>
  <CharactersWithSpaces>27389</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Administrator</cp:lastModifiedBy>
  <dcterms:modified xsi:type="dcterms:W3CDTF">2024-10-11T02:38:30Z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BB46EABDBB2749749395447164B066B3_12</vt:lpwstr>
  </property>
</Properties>
</file>