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重庆市石柱土家族自治县新乐乡退役军人服务站</w:t>
      </w:r>
      <w:r>
        <w:rPr>
          <w:rFonts w:hint="default" w:ascii="Times New Roman" w:hAnsi="Times New Roman" w:eastAsia="方正小标宋_GBK" w:cs="Times New Roman"/>
          <w:sz w:val="36"/>
          <w:szCs w:val="36"/>
          <w:shd w:val="clear" w:color="auto" w:fill="FFFFFF"/>
        </w:rPr>
        <w:t>2023年度决算公开说明</w:t>
      </w:r>
    </w:p>
    <w:p>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shd w:val="clear" w:color="auto" w:fill="FFFFFF"/>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textAlignment w:val="baseline"/>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i w:val="0"/>
          <w:iCs w:val="0"/>
          <w:caps w:val="0"/>
          <w:color w:val="000000"/>
          <w:spacing w:val="0"/>
          <w:sz w:val="32"/>
          <w:szCs w:val="32"/>
          <w:vertAlign w:val="baseline"/>
        </w:rPr>
        <w:t>宗旨：</w:t>
      </w:r>
      <w:r>
        <w:rPr>
          <w:rFonts w:hint="default" w:ascii="Times New Roman" w:hAnsi="Times New Roman" w:eastAsia="方正仿宋_GBK" w:cs="Times New Roman"/>
          <w:sz w:val="32"/>
          <w:szCs w:val="32"/>
          <w:shd w:val="clear" w:color="auto" w:fill="FFFFFF"/>
        </w:rPr>
        <w:t>为退役军人及其他优抚对象服务。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i w:val="0"/>
          <w:iCs w:val="0"/>
          <w:caps w:val="0"/>
          <w:color w:val="000000"/>
          <w:spacing w:val="0"/>
          <w:sz w:val="32"/>
          <w:szCs w:val="32"/>
          <w:vertAlign w:val="baseline"/>
        </w:rPr>
        <w:t>主要职责任务：</w:t>
      </w:r>
      <w:r>
        <w:rPr>
          <w:rFonts w:hint="default" w:ascii="Times New Roman" w:hAnsi="Times New Roman" w:eastAsia="方正仿宋_GBK" w:cs="Times New Roman"/>
          <w:sz w:val="32"/>
          <w:szCs w:val="32"/>
          <w:shd w:val="clear" w:color="auto" w:fill="FFFFFF"/>
        </w:rPr>
        <w:t>承担辖区内退役军人及其他优抚对象关系转接、信息采集、情况反映、慰问帮扶等保障服务工作。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Style w:val="10"/>
          <w:rFonts w:hint="default" w:ascii="Times New Roman" w:hAnsi="Times New Roman" w:eastAsia="方正仿宋_GBK" w:cs="Times New Roman"/>
          <w:i w:val="0"/>
          <w:iCs w:val="0"/>
          <w:caps w:val="0"/>
          <w:color w:val="000000"/>
          <w:spacing w:val="0"/>
          <w:sz w:val="32"/>
          <w:szCs w:val="32"/>
          <w:vertAlign w:val="baseline"/>
        </w:rPr>
        <w:t>具体职责任务：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vertAlign w:val="baseline"/>
        </w:rPr>
        <w:t>（1）</w:t>
      </w:r>
      <w:r>
        <w:rPr>
          <w:rFonts w:hint="default" w:ascii="Times New Roman" w:hAnsi="Times New Roman" w:eastAsia="方正仿宋_GBK" w:cs="Times New Roman"/>
          <w:i w:val="0"/>
          <w:iCs w:val="0"/>
          <w:caps w:val="0"/>
          <w:color w:val="000000"/>
          <w:spacing w:val="0"/>
          <w:sz w:val="32"/>
          <w:szCs w:val="32"/>
          <w:vertAlign w:val="baseline"/>
        </w:rPr>
        <w:t>负责退役军人相关法律法规及优抚政策宣传、咨询工作。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vertAlign w:val="baseline"/>
        </w:rPr>
        <w:t>（2）</w:t>
      </w:r>
      <w:r>
        <w:rPr>
          <w:rFonts w:hint="default" w:ascii="Times New Roman" w:hAnsi="Times New Roman" w:eastAsia="方正仿宋_GBK" w:cs="Times New Roman"/>
          <w:i w:val="0"/>
          <w:iCs w:val="0"/>
          <w:caps w:val="0"/>
          <w:color w:val="000000"/>
          <w:spacing w:val="0"/>
          <w:sz w:val="32"/>
          <w:szCs w:val="32"/>
          <w:vertAlign w:val="baseline"/>
        </w:rPr>
        <w:t>协助开展退役军人及其他优抚对象关系转接、联络接待、来信来访等工作。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cs="Times New Roman"/>
          <w:i w:val="0"/>
          <w:iCs w:val="0"/>
          <w:caps w:val="0"/>
          <w:color w:val="000000"/>
          <w:spacing w:val="0"/>
          <w:sz w:val="32"/>
          <w:szCs w:val="32"/>
          <w:vertAlign w:val="baseline"/>
        </w:rPr>
        <w:t>3</w:t>
      </w:r>
      <w:r>
        <w:rPr>
          <w:rFonts w:hint="default" w:ascii="Times New Roman" w:hAnsi="Times New Roman" w:eastAsia="方正仿宋_GBK" w:cs="Times New Roman"/>
          <w:i w:val="0"/>
          <w:iCs w:val="0"/>
          <w:caps w:val="0"/>
          <w:color w:val="000000"/>
          <w:spacing w:val="0"/>
          <w:sz w:val="32"/>
          <w:szCs w:val="32"/>
          <w:vertAlign w:val="baseline"/>
        </w:rPr>
        <w:t>）协助开展退役军人信息采集、情况反映等工作。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cs="Times New Roman"/>
          <w:i w:val="0"/>
          <w:iCs w:val="0"/>
          <w:caps w:val="0"/>
          <w:color w:val="000000"/>
          <w:spacing w:val="0"/>
          <w:sz w:val="32"/>
          <w:szCs w:val="32"/>
          <w:vertAlign w:val="baseline"/>
        </w:rPr>
        <w:t>4</w:t>
      </w:r>
      <w:r>
        <w:rPr>
          <w:rFonts w:hint="default" w:ascii="Times New Roman" w:hAnsi="Times New Roman" w:eastAsia="方正仿宋_GBK" w:cs="Times New Roman"/>
          <w:i w:val="0"/>
          <w:iCs w:val="0"/>
          <w:caps w:val="0"/>
          <w:color w:val="000000"/>
          <w:spacing w:val="0"/>
          <w:sz w:val="32"/>
          <w:szCs w:val="32"/>
          <w:vertAlign w:val="baseline"/>
        </w:rPr>
        <w:t>）协助开展退役军人心理疏导、权益维护、法律服务及相关舆情收集、引导等工作。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cs="Times New Roman"/>
          <w:i w:val="0"/>
          <w:iCs w:val="0"/>
          <w:caps w:val="0"/>
          <w:color w:val="000000"/>
          <w:spacing w:val="0"/>
          <w:sz w:val="32"/>
          <w:szCs w:val="32"/>
          <w:vertAlign w:val="baseline"/>
        </w:rPr>
        <w:t>5</w:t>
      </w:r>
      <w:r>
        <w:rPr>
          <w:rFonts w:hint="default" w:ascii="Times New Roman" w:hAnsi="Times New Roman" w:eastAsia="方正仿宋_GBK" w:cs="Times New Roman"/>
          <w:i w:val="0"/>
          <w:iCs w:val="0"/>
          <w:caps w:val="0"/>
          <w:color w:val="000000"/>
          <w:spacing w:val="0"/>
          <w:sz w:val="32"/>
          <w:szCs w:val="32"/>
          <w:vertAlign w:val="baseline"/>
        </w:rPr>
        <w:t>）配合开展军属、烈属、伤病残疾军人、带病回乡退役军人服务等工作。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cs="Times New Roman"/>
          <w:i w:val="0"/>
          <w:iCs w:val="0"/>
          <w:caps w:val="0"/>
          <w:color w:val="000000"/>
          <w:spacing w:val="0"/>
          <w:sz w:val="32"/>
          <w:szCs w:val="32"/>
          <w:vertAlign w:val="baseline"/>
        </w:rPr>
        <w:t>6</w:t>
      </w:r>
      <w:r>
        <w:rPr>
          <w:rFonts w:hint="default" w:ascii="Times New Roman" w:hAnsi="Times New Roman" w:eastAsia="方正仿宋_GBK" w:cs="Times New Roman"/>
          <w:i w:val="0"/>
          <w:iCs w:val="0"/>
          <w:caps w:val="0"/>
          <w:color w:val="000000"/>
          <w:spacing w:val="0"/>
          <w:sz w:val="32"/>
          <w:szCs w:val="32"/>
          <w:vertAlign w:val="baseline"/>
        </w:rPr>
        <w:t>）协助开展退役军人就业创业、困难帮扶等工作。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cs="Times New Roman"/>
          <w:i w:val="0"/>
          <w:iCs w:val="0"/>
          <w:caps w:val="0"/>
          <w:color w:val="000000"/>
          <w:spacing w:val="0"/>
          <w:sz w:val="32"/>
          <w:szCs w:val="32"/>
          <w:vertAlign w:val="baseline"/>
        </w:rPr>
        <w:t>7</w:t>
      </w:r>
      <w:r>
        <w:rPr>
          <w:rFonts w:hint="default" w:ascii="Times New Roman" w:hAnsi="Times New Roman" w:eastAsia="方正仿宋_GBK" w:cs="Times New Roman"/>
          <w:i w:val="0"/>
          <w:iCs w:val="0"/>
          <w:caps w:val="0"/>
          <w:color w:val="000000"/>
          <w:spacing w:val="0"/>
          <w:sz w:val="32"/>
          <w:szCs w:val="32"/>
          <w:vertAlign w:val="baseline"/>
        </w:rPr>
        <w:t>）承办乡党委、乡政府交办的其他工作任务。</w:t>
      </w:r>
    </w:p>
    <w:p>
      <w:pPr>
        <w:pStyle w:val="6"/>
        <w:shd w:val="clear" w:color="auto" w:fill="FFFFFF"/>
        <w:ind w:firstLine="420"/>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eastAsia="方正仿宋_GBK" w:cs="Times New Roman"/>
          <w:i w:val="0"/>
          <w:iCs w:val="0"/>
          <w:caps w:val="0"/>
          <w:color w:val="000000"/>
          <w:spacing w:val="0"/>
          <w:sz w:val="32"/>
          <w:szCs w:val="32"/>
          <w:vertAlign w:val="baseline"/>
        </w:rPr>
      </w:pPr>
      <w:r>
        <w:rPr>
          <w:rFonts w:hint="default" w:ascii="Times New Roman" w:hAnsi="Times New Roman" w:eastAsia="方正仿宋_GBK" w:cs="Times New Roman"/>
          <w:i w:val="0"/>
          <w:iCs w:val="0"/>
          <w:caps w:val="0"/>
          <w:color w:val="000000"/>
          <w:spacing w:val="0"/>
          <w:sz w:val="32"/>
          <w:szCs w:val="32"/>
          <w:vertAlign w:val="baseline"/>
        </w:rPr>
        <w:t>石柱县新乐乡退役军人服务站为石柱土家族自治县新乐乡人民政府管理的财政全额拨款公益一类副科级事业单位。</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2023年度收入总计37.18万元，支出总计</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万元。收支较上年决算数减少1.85万元，下降4.74%，主要原因是事业人员工资改革，人员经费减少，本年收入减少。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2023年度收入合计37.18万元，较上年决算数减少1.85万元，下降4.74%，主要原因是事业人员工资改革，人员经费减少，本年收入减少。其中：财政拨款收入</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万元，较上年决算数减少1.85万元，下降4.74%，事业人员工资改革，人员经费减少，本年</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减少。其中：基本支出</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2023年度财政拨款收、支总计37.18万元。与2022年相比，财政拨款收、支总计各减少1.85万元，下降4.74%。主要原因是事业人员工资改革，人员经费减少，本年收入减少。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万元，较上年决算数减少1.85万元，下降4.74%。主要原因是事业人员工资改革，人员经费减少，本年收入减少。较年初预算数增加3.19万元，增长9.39%。主要原因是</w:t>
      </w:r>
      <w:r>
        <w:rPr>
          <w:rFonts w:hint="default" w:ascii="Times New Roman" w:hAnsi="Times New Roman" w:eastAsia="方正仿宋_GBK" w:cs="Times New Roman"/>
          <w:color w:val="auto"/>
          <w:sz w:val="32"/>
          <w:szCs w:val="32"/>
          <w:shd w:val="clear" w:color="auto" w:fill="FFFFFF"/>
        </w:rPr>
        <w:t>根据文件石人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27号、渝财预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16号、石财</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23号、石财</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48号追加在职人员基本工资、绩效工资、津补贴、保险、住房公积金等人员经费。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万元，较上年决算数减少1.85万元，下降4.74%。主要原因是事业人员工资改革，人员经费减少，本年</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减少。较年初预算数增加3.19万元，增长9.39%。主要原因是</w:t>
      </w:r>
      <w:r>
        <w:rPr>
          <w:rFonts w:hint="default" w:ascii="Times New Roman" w:hAnsi="Times New Roman" w:eastAsia="方正仿宋_GBK" w:cs="Times New Roman"/>
          <w:color w:val="auto"/>
          <w:sz w:val="32"/>
          <w:szCs w:val="32"/>
          <w:shd w:val="clear" w:color="auto" w:fill="FFFFFF"/>
        </w:rPr>
        <w:t>根据文件石人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27号、渝财预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16号、石财</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23号、石财</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48号追加在职人员基本工资、绩效工资、津补贴、保险、住房公积金等人员经费。</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90.63</w:t>
      </w:r>
      <w:r>
        <w:rPr>
          <w:rFonts w:hint="default" w:ascii="Times New Roman" w:hAnsi="Times New Roman" w:eastAsia="方正仿宋_GBK" w:cs="Times New Roman"/>
          <w:sz w:val="32"/>
          <w:szCs w:val="32"/>
          <w:shd w:val="clear" w:color="auto" w:fill="FFFFFF"/>
        </w:rPr>
        <w:t>%，较年初预算数增加3.04万元，增长9.92%，主要原因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一</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补发艰苦边远地区津补贴、超额绩效；二是在职人员待遇调整，追加基本工资、养老保险、职业年金</w:t>
      </w:r>
      <w:r>
        <w:rPr>
          <w:rFonts w:hint="default" w:ascii="Times New Roman" w:hAnsi="Times New Roman" w:eastAsia="方正仿宋_GBK" w:cs="Times New Roman"/>
          <w:color w:val="auto"/>
          <w:sz w:val="32"/>
          <w:szCs w:val="32"/>
          <w:shd w:val="clear" w:color="auto" w:fill="FFFFFF"/>
        </w:rPr>
        <w:t>。</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4.76</w:t>
      </w:r>
      <w:r>
        <w:rPr>
          <w:rFonts w:hint="default" w:ascii="Times New Roman" w:hAnsi="Times New Roman" w:eastAsia="方正仿宋_GBK" w:cs="Times New Roman"/>
          <w:sz w:val="32"/>
          <w:szCs w:val="32"/>
          <w:shd w:val="clear" w:color="auto" w:fill="FFFFFF"/>
        </w:rPr>
        <w:t>%，较年初预算数增加0.06万元，增长3.51%，主要原因是</w:t>
      </w:r>
      <w:r>
        <w:rPr>
          <w:rFonts w:hint="default" w:ascii="Times New Roman" w:hAnsi="Times New Roman" w:eastAsia="方正仿宋_GBK" w:cs="Times New Roman"/>
          <w:color w:val="auto"/>
          <w:sz w:val="32"/>
          <w:szCs w:val="32"/>
          <w:shd w:val="clear" w:color="auto" w:fill="FFFFFF"/>
        </w:rPr>
        <w:t>在职人员待遇调整，追加职工基本医疗保险。</w:t>
      </w:r>
    </w:p>
    <w:p>
      <w:pPr>
        <w:keepNext/>
        <w:keepLines w:val="0"/>
        <w:pageBreakBefore w:val="0"/>
        <w:kinsoku/>
        <w:wordWrap/>
        <w:overflowPunct/>
        <w:topLinePunct w:val="0"/>
        <w:autoSpaceDN/>
        <w:bidi w:val="0"/>
        <w:adjustRightInd/>
        <w:spacing w:beforeAutospacing="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4.60</w:t>
      </w:r>
      <w:r>
        <w:rPr>
          <w:rFonts w:hint="default" w:ascii="Times New Roman" w:hAnsi="Times New Roman" w:eastAsia="方正仿宋_GBK" w:cs="Times New Roman"/>
          <w:sz w:val="32"/>
          <w:szCs w:val="32"/>
          <w:shd w:val="clear" w:color="auto" w:fill="FFFFFF"/>
        </w:rPr>
        <w:t>%，较年初预算数增加0.08万元，增长4.91%，主要原因是</w:t>
      </w:r>
      <w:r>
        <w:rPr>
          <w:rFonts w:hint="default" w:ascii="Times New Roman" w:hAnsi="Times New Roman" w:eastAsia="方正仿宋_GBK" w:cs="Times New Roman"/>
          <w:color w:val="auto"/>
          <w:sz w:val="32"/>
          <w:szCs w:val="32"/>
          <w:shd w:val="clear" w:color="auto" w:fill="FFFFFF"/>
        </w:rPr>
        <w:t>在职人员待遇调整，追加</w:t>
      </w:r>
      <w:r>
        <w:rPr>
          <w:rFonts w:hint="default" w:ascii="Times New Roman" w:hAnsi="Times New Roman" w:eastAsia="方正仿宋_GBK" w:cs="Times New Roman"/>
          <w:color w:val="auto"/>
          <w:sz w:val="32"/>
          <w:szCs w:val="32"/>
          <w:shd w:val="clear" w:color="auto" w:fill="FFFFFF"/>
          <w:lang w:eastAsia="zh-CN"/>
        </w:rPr>
        <w:t>住房公积金</w:t>
      </w:r>
      <w:r>
        <w:rPr>
          <w:rFonts w:hint="default" w:ascii="Times New Roman" w:hAnsi="Times New Roman" w:eastAsia="方正仿宋_GBK" w:cs="Times New Roman"/>
          <w:color w:val="auto"/>
          <w:sz w:val="32"/>
          <w:szCs w:val="32"/>
          <w:shd w:val="clear" w:color="auto" w:fill="FFFFFF"/>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37.18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31.90</w:t>
      </w:r>
      <w:r>
        <w:rPr>
          <w:rFonts w:hint="default" w:ascii="Times New Roman" w:hAnsi="Times New Roman" w:eastAsia="方正仿宋_GBK" w:cs="Times New Roman"/>
          <w:sz w:val="32"/>
          <w:szCs w:val="32"/>
          <w:shd w:val="clear" w:color="auto" w:fill="FFFFFF"/>
        </w:rPr>
        <w:t>万元，较上年决算数减少2.40万元，下降7.00%，主要原因是事业人员工资改革，人员经费减少。人员经费用途主要包括</w:t>
      </w:r>
      <w:r>
        <w:rPr>
          <w:rFonts w:hint="default" w:ascii="Times New Roman" w:hAnsi="Times New Roman" w:eastAsia="方正仿宋_GBK" w:cs="Times New Roman"/>
          <w:color w:val="auto"/>
          <w:sz w:val="32"/>
          <w:szCs w:val="32"/>
          <w:shd w:val="clear" w:color="auto" w:fill="FFFFFF"/>
        </w:rPr>
        <w:t>基本工资、津贴补贴、社会保障缴费、住房公积金、绩效工资。</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5.27</w:t>
      </w:r>
      <w:r>
        <w:rPr>
          <w:rFonts w:hint="default" w:ascii="Times New Roman" w:hAnsi="Times New Roman" w:eastAsia="方正仿宋_GBK" w:cs="Times New Roman"/>
          <w:sz w:val="32"/>
          <w:szCs w:val="32"/>
          <w:shd w:val="clear" w:color="auto" w:fill="FFFFFF"/>
        </w:rPr>
        <w:t>万元，较上年决算数增加0.55万元，增长11.65%，</w:t>
      </w:r>
      <w:r>
        <w:rPr>
          <w:rFonts w:hint="default" w:ascii="Times New Roman" w:hAnsi="Times New Roman" w:eastAsia="方正仿宋_GBK" w:cs="Times New Roman"/>
          <w:color w:val="auto"/>
          <w:sz w:val="32"/>
          <w:szCs w:val="32"/>
          <w:shd w:val="clear" w:color="auto" w:fill="FFFFFF"/>
        </w:rPr>
        <w:t>主要原因是人员待遇调整，工会经费较上年增加。公用经费用途主要包括办公费、印刷费、水费、电费、邮电费、差旅费、劳务费、工会经费、其他商品和服务支出。</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11"/>
        <w:keepNext/>
        <w:keepLines w:val="0"/>
        <w:pageBreakBefore w:val="0"/>
        <w:widowControl w:val="0"/>
        <w:kinsoku/>
        <w:wordWrap/>
        <w:overflowPunct/>
        <w:topLinePunct w:val="0"/>
        <w:autoSpaceDE/>
        <w:autoSpaceDN/>
        <w:bidi w:val="0"/>
        <w:adjustRightInd/>
        <w:snapToGrid/>
        <w:spacing w:beforeAutospacing="0" w:afterAutospacing="0" w:line="596" w:lineRule="exact"/>
        <w:ind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万元，较年初预算数减少2.00万元，下降100.00%，主要原因是</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经费纳入本级核算。</w:t>
      </w:r>
      <w:r>
        <w:rPr>
          <w:rFonts w:hint="default" w:ascii="Times New Roman" w:hAnsi="Times New Roman" w:eastAsia="方正仿宋_GBK" w:cs="Times New Roman"/>
          <w:sz w:val="32"/>
          <w:szCs w:val="32"/>
          <w:shd w:val="clear" w:color="auto" w:fill="FFFFFF"/>
        </w:rPr>
        <w:t>较上年支出数无增减，主要原因是本单位2023年度未发生“三公”经费支出</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本单位2023年度未发生因公出国（境）费用支出。</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本单位2023年度未发生公务车购置费支出。</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本单位2023年度未发生公务车运行维护费支出。</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本单位2023年度未发生公务接待费支出。</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keepNext/>
        <w:keepLines w:val="0"/>
        <w:pageBreakBefore w:val="0"/>
        <w:widowControl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0.00万元，较上年决算数无增减，主要原因是下属事业单位分离核算，但会议费在政府本级反应未分离。本年度培训费支出0.00万元，较上年决算数无变化，主要原因是下属事业单位分离核算，但培训费在政府本级反应未分离。</w:t>
      </w:r>
    </w:p>
    <w:p>
      <w:pPr>
        <w:pStyle w:val="6"/>
        <w:snapToGrid w:val="0"/>
        <w:spacing w:before="0" w:beforeAutospacing="0" w:after="0" w:afterAutospacing="0" w:line="600" w:lineRule="exact"/>
        <w:ind w:firstLine="1280" w:firstLineChars="400"/>
        <w:jc w:val="both"/>
        <w:rPr>
          <w:rFonts w:hint="default" w:ascii="Times New Roman" w:hAnsi="Times New Roman" w:eastAsia="方正仿宋_GBK" w:cs="Times New Roman"/>
          <w:sz w:val="32"/>
          <w:szCs w:val="32"/>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keepLines w:val="0"/>
        <w:pageBreakBefore w:val="0"/>
        <w:widowControl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keepLines w:val="0"/>
        <w:pageBreakBefore w:val="0"/>
        <w:widowControl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keepLines w:val="0"/>
        <w:pageBreakBefore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keepLines w:val="0"/>
        <w:pageBreakBefore w:val="0"/>
        <w:widowControl w:val="0"/>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主要原因是根据预算要求，下属事业单位分离核算，但项目在本级反应未分离。</w:t>
      </w:r>
    </w:p>
    <w:p>
      <w:pPr>
        <w:pStyle w:val="11"/>
        <w:keepNext/>
        <w:keepLines w:val="0"/>
        <w:pageBreakBefore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keepLines w:val="0"/>
        <w:pageBreakBefore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1"/>
        <w:keepNext/>
        <w:keepLines w:val="0"/>
        <w:pageBreakBefore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keepLines w:val="0"/>
        <w:pageBreakBefore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keepLines w:val="0"/>
        <w:pageBreakBefore w:val="0"/>
        <w:widowControl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田清</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73304001</w:t>
      </w:r>
      <w:r>
        <w:rPr>
          <w:rFonts w:hint="default" w:ascii="Times New Roman" w:hAnsi="Times New Roman" w:eastAsia="方正仿宋_GBK" w:cs="Times New Roman"/>
          <w:color w:val="auto"/>
          <w:sz w:val="32"/>
          <w:szCs w:val="32"/>
          <w:shd w:val="clear" w:color="auto" w:fill="FFFFFF"/>
        </w:rPr>
        <w:t>。</w:t>
      </w:r>
    </w:p>
    <w:p>
      <w:pPr>
        <w:pStyle w:val="11"/>
        <w:autoSpaceDE w:val="0"/>
        <w:ind w:left="0" w:leftChars="0" w:firstLine="0" w:firstLineChars="0"/>
        <w:rPr>
          <w:rFonts w:hint="default" w:ascii="Times New Roman" w:hAnsi="Times New Roman" w:eastAsia="方正仿宋_GBK" w:cs="Times New Roman"/>
          <w:color w:val="FF0000"/>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重庆市石柱土家族自治县新乐乡退役军人服务站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重庆市石柱土家族自治县新乐乡退役军人服务站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重庆市石柱土家族自治县新乐乡退役军人服务站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15.56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31.90</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ZjZTQ2ZGI1NGQ3ZGYzMmVmZDZhYzZiYTc1ODExOTYifQ=="/>
    <w:docVar w:name="KSO_WPS_MARK_KEY" w:val="7f6cf760-1f71-4a52-8762-659ed88e96e3"/>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4F26C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271AED"/>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4043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10343</Words>
  <Characters>12242</Characters>
  <Lines>190</Lines>
  <Paragraphs>53</Paragraphs>
  <TotalTime>1</TotalTime>
  <ScaleCrop>false</ScaleCrop>
  <LinksUpToDate>false</LinksUpToDate>
  <CharactersWithSpaces>13291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2024-10-11T02:02:39Z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