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75" w:rsidRDefault="00EF6561">
      <w:pPr>
        <w:pStyle w:val="a7"/>
        <w:widowControl w:val="0"/>
        <w:spacing w:before="0" w:beforeAutospacing="0" w:after="0" w:afterAutospacing="0" w:line="596" w:lineRule="exact"/>
        <w:jc w:val="center"/>
        <w:rPr>
          <w:rFonts w:ascii="方正小标宋_GBK" w:eastAsia="方正小标宋_GBK" w:hAnsi="方正小标宋_GBK" w:cs="方正小标宋_GBK" w:hint="default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>石柱土家族自治县王家乡人民政府</w:t>
      </w:r>
      <w:r>
        <w:rPr>
          <w:rFonts w:ascii="Times New Roman" w:eastAsia="方正小标宋_GBK" w:hAnsi="Times New Roman" w:hint="default"/>
          <w:sz w:val="36"/>
          <w:szCs w:val="36"/>
          <w:shd w:val="clear" w:color="auto" w:fill="FFFFFF"/>
        </w:rPr>
        <w:t>202</w:t>
      </w:r>
      <w:r>
        <w:rPr>
          <w:rFonts w:ascii="Times New Roman" w:eastAsia="方正小标宋_GBK" w:hAnsi="Times New Roman" w:hint="default"/>
          <w:sz w:val="36"/>
          <w:szCs w:val="36"/>
          <w:shd w:val="clear" w:color="auto" w:fill="FFFFFF"/>
        </w:rPr>
        <w:t>4</w:t>
      </w:r>
      <w:r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  <w:t>年度决算说明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rPr>
          <w:rStyle w:val="a8"/>
          <w:rFonts w:ascii="黑体" w:eastAsia="黑体" w:hAnsi="黑体" w:cs="黑体" w:hint="default"/>
          <w:sz w:val="32"/>
          <w:szCs w:val="32"/>
          <w:shd w:val="clear" w:color="auto" w:fill="FFFFFF"/>
        </w:rPr>
      </w:pP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一、部门基本情况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Style w:val="a8"/>
          <w:rFonts w:ascii="楷体" w:eastAsia="楷体" w:hAnsi="楷体" w:cs="楷体"/>
          <w:sz w:val="32"/>
          <w:szCs w:val="32"/>
          <w:shd w:val="clear" w:color="auto" w:fill="FFFFFF"/>
        </w:rPr>
        <w:t>（一）职能职责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坚持乡镇促进经济发展、增加农民收入，强化公共服务、着力改善民生，加强社会管理、维护农村稳定，推进基层民主、促进农村和谐的基本职能，坚持党要管党、全面从严治党，切实加强党的政治建设、思想建设、组织建设、作风建设、纪律建设，把制度建设贯穿其中，</w:t>
      </w:r>
      <w:bookmarkStart w:id="0" w:name="_GoBack"/>
      <w:bookmarkEnd w:id="0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深入推进反腐败斗争，推动全面从严治党向基层延伸，强化经济发展职能。正确处理好政府与市场、政府与社会的关系，规范市场秩序，为各类市场主体创造统一开放、公平竞争的发展环境，激发市场、社会的创造活力。强化产业引导，科学编制发展规划，构建新型农业经营体系。落实强农惠农政策，推进扶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贫开发，促进农民持续增收。加快义务教育、学前教育、劳动就业、基本医疗卫生、公共文化体育、计划生育等社会事业发展，完善社会保险、社会救助、社会福利、优抚安置、扶贫济困、法律服务等社会保障体系。创新公共服务供给方式，优化基本公共服务资源配置，统筹基本公共服务设施的空间布局，实现基本公共服务全覆盖。强村镇规划建设和环境保护，强化城镇和村容村貌管理。健全重大社情、疫情、险情等公共突发事件的预防和应急处理机制。推进社会治安综合治理，完善社会治安防控体系。加强信访工作，建立调处化解矛盾纠纷综合机制，确保农村社会和谐稳定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。加强安全生产、食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lastRenderedPageBreak/>
        <w:t>品药品、生态建设、农产品质</w:t>
      </w:r>
      <w:proofErr w:type="gramStart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量安全</w:t>
      </w:r>
      <w:proofErr w:type="gramEnd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等监督管理，建立健全隐患排查治理体系和安全预防控制体系。推进基层行政执法体制改革，完善执法保障机制，增强执法监管能力。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rPr>
          <w:rFonts w:ascii="楷体" w:eastAsia="楷体" w:hAnsi="楷体" w:cs="楷体" w:hint="default"/>
          <w:sz w:val="32"/>
          <w:szCs w:val="32"/>
        </w:rPr>
      </w:pPr>
      <w:r>
        <w:rPr>
          <w:rStyle w:val="a8"/>
          <w:rFonts w:ascii="楷体" w:eastAsia="楷体" w:hAnsi="楷体" w:cs="楷体"/>
          <w:sz w:val="32"/>
          <w:szCs w:val="32"/>
          <w:shd w:val="clear" w:color="auto" w:fill="FFFFFF"/>
        </w:rPr>
        <w:t>（二）机构设置</w:t>
      </w:r>
    </w:p>
    <w:p w:rsidR="00653175" w:rsidRDefault="00EF6561">
      <w:pPr>
        <w:widowControl w:val="0"/>
        <w:tabs>
          <w:tab w:val="left" w:pos="5340"/>
        </w:tabs>
        <w:spacing w:line="594" w:lineRule="exact"/>
        <w:ind w:firstLineChars="200" w:firstLine="640"/>
        <w:rPr>
          <w:rFonts w:ascii="Times New Roman" w:eastAsia="方正仿宋_GBK" w:hAnsi="Times New Roman" w:hint="default"/>
          <w:kern w:val="2"/>
          <w:sz w:val="32"/>
          <w:szCs w:val="32"/>
        </w:rPr>
      </w:pPr>
      <w:r>
        <w:rPr>
          <w:rFonts w:ascii="Times New Roman" w:eastAsia="方正仿宋_GBK" w:hAnsi="Times New Roman" w:hint="default"/>
          <w:kern w:val="2"/>
          <w:sz w:val="32"/>
          <w:szCs w:val="32"/>
        </w:rPr>
        <w:t>据上述职责，石柱县王家乡设置综合办事机构</w:t>
      </w:r>
      <w:r>
        <w:rPr>
          <w:rFonts w:ascii="Times New Roman" w:eastAsia="方正仿宋_GBK" w:hAnsi="Times New Roman" w:hint="default"/>
          <w:kern w:val="2"/>
          <w:sz w:val="32"/>
          <w:szCs w:val="32"/>
        </w:rPr>
        <w:t>5</w:t>
      </w:r>
      <w:r>
        <w:rPr>
          <w:rFonts w:ascii="Times New Roman" w:eastAsia="方正仿宋_GBK" w:hAnsi="Times New Roman" w:hint="default"/>
          <w:kern w:val="2"/>
          <w:sz w:val="32"/>
          <w:szCs w:val="32"/>
        </w:rPr>
        <w:t>个，即基层治理综合指挥室、党的建设办公室、经济发展办公室、民生服务办公室、平安法治办公室，人大、纪委、武装部按</w:t>
      </w:r>
      <w:r>
        <w:rPr>
          <w:rFonts w:ascii="Times New Roman" w:eastAsia="方正仿宋_GBK" w:hAnsi="Times New Roman" w:hint="default"/>
          <w:sz w:val="32"/>
          <w:szCs w:val="32"/>
        </w:rPr>
        <w:t>照有关规定设置。工会、团委、妇联、残联等群团按章程设置，具体工作由党的建设办公室明确群团工作综合岗位承担。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rPr>
          <w:rStyle w:val="a8"/>
          <w:rFonts w:ascii="黑体" w:eastAsia="黑体" w:hAnsi="黑体" w:cs="黑体" w:hint="default"/>
          <w:sz w:val="32"/>
          <w:szCs w:val="32"/>
          <w:shd w:val="clear" w:color="auto" w:fill="FFFFFF"/>
        </w:rPr>
      </w:pP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二、部门决算</w:t>
      </w: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收支</w:t>
      </w: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情况说明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color w:val="FF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年度收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、支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总计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均为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1917.48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收、支与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247.36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11.4%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</w:rPr>
        <w:t>主要原因是本年在编人员未达到编制人数，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仿宋_GBK" w:hAnsi="Times New Roman"/>
          <w:sz w:val="32"/>
          <w:szCs w:val="32"/>
          <w:shd w:val="clear" w:color="auto" w:fill="FFFFFF"/>
        </w:rPr>
        <w:t>1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.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收入情况。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1917.48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247.36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11.4%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lastRenderedPageBreak/>
        <w:t>元。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1917.48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.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支出情况。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1917.48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247.36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11.4%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650.53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33.9%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1266.94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66.1%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ascii="Times New Roman" w:eastAsia="方正仿宋_GBK" w:hAnsi="Times New Roman" w:hint="default"/>
          <w:sz w:val="32"/>
          <w:szCs w:val="32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3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Style w:val="a8"/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.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结转结余情况。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年度相比，无增减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1917.48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度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相比，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财政拨款收、支总计各减少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247.36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11.4%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Style w:val="a8"/>
          <w:rFonts w:ascii="Times New Roman" w:eastAsia="方正仿宋_GBK" w:hAnsi="Times New Roman" w:hint="default"/>
          <w:sz w:val="32"/>
          <w:szCs w:val="32"/>
          <w:shd w:val="clear" w:color="auto" w:fill="FFFFFF"/>
        </w:rPr>
        <w:t>1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.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收入情况。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lastRenderedPageBreak/>
        <w:t>1225.37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723.15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37.1%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382.01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45.3%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jc w:val="both"/>
        <w:rPr>
          <w:rFonts w:ascii="方正仿宋_GBK" w:eastAsia="方正仿宋_GBK" w:hAnsi="方正仿宋_GBK" w:cs="方正仿宋_GBK" w:hint="default"/>
          <w:color w:val="FF0000"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仿宋_GBK" w:hAnsi="Times New Roman" w:hint="default"/>
          <w:sz w:val="32"/>
          <w:szCs w:val="32"/>
          <w:shd w:val="clear" w:color="auto" w:fill="FFFFFF"/>
        </w:rPr>
        <w:t>2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.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支出情况。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1225.37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723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.15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37.1%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382.01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45.3%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。主要</w:t>
      </w:r>
      <w:r w:rsidR="004852AC"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原因是</w:t>
      </w:r>
      <w:r>
        <w:rPr>
          <w:rFonts w:ascii="Times New Roman" w:eastAsia="方正仿宋_GBK" w:hAnsi="Times New Roman"/>
          <w:sz w:val="32"/>
          <w:szCs w:val="32"/>
        </w:rPr>
        <w:t>本年在编人员未达到编制人数，</w:t>
      </w:r>
      <w:r>
        <w:rPr>
          <w:rFonts w:eastAsia="方正仿宋_GBK"/>
          <w:sz w:val="32"/>
          <w:szCs w:val="32"/>
        </w:rPr>
        <w:t>人员减少，</w:t>
      </w:r>
      <w:r>
        <w:rPr>
          <w:rFonts w:ascii="Times New Roman" w:eastAsia="方正仿宋_GBK" w:hAnsi="Times New Roman"/>
          <w:sz w:val="32"/>
          <w:szCs w:val="32"/>
        </w:rPr>
        <w:t>故基本支出减少；本年项目减少，例如减少非基建项目深调木瓜产业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eastAsia="方正仿宋_GBK"/>
          <w:sz w:val="32"/>
          <w:szCs w:val="32"/>
        </w:rPr>
        <w:t>.</w:t>
      </w:r>
      <w:r>
        <w:rPr>
          <w:rFonts w:ascii="Times New Roman" w:eastAsia="方正仿宋_GBK" w:hAnsi="Times New Roman"/>
          <w:sz w:val="32"/>
          <w:szCs w:val="32"/>
        </w:rPr>
        <w:t>56</w:t>
      </w:r>
      <w:r>
        <w:rPr>
          <w:rFonts w:eastAsia="方正仿宋_GBK"/>
          <w:sz w:val="32"/>
          <w:szCs w:val="32"/>
        </w:rPr>
        <w:t>万</w:t>
      </w:r>
      <w:r>
        <w:rPr>
          <w:rFonts w:ascii="Times New Roman" w:eastAsia="方正仿宋_GBK" w:hAnsi="Times New Roman"/>
          <w:sz w:val="32"/>
          <w:szCs w:val="32"/>
        </w:rPr>
        <w:t>元，减少基建项目光华村张二山至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扩宽工程</w:t>
      </w:r>
      <w:r>
        <w:rPr>
          <w:rFonts w:ascii="Times New Roman" w:eastAsia="方正仿宋_GBK" w:hAnsi="Times New Roman"/>
          <w:sz w:val="32"/>
          <w:szCs w:val="32"/>
        </w:rPr>
        <w:t>162</w:t>
      </w:r>
      <w:r>
        <w:rPr>
          <w:rFonts w:ascii="Times New Roman" w:eastAsia="方正仿宋_GBK" w:hAnsi="Times New Roman"/>
          <w:sz w:val="32"/>
          <w:szCs w:val="32"/>
        </w:rPr>
        <w:t>万元。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一般公共预算财政拨款支出主要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用途如下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：</w:t>
      </w:r>
    </w:p>
    <w:p w:rsidR="00653175" w:rsidRDefault="00EF6561">
      <w:pPr>
        <w:pStyle w:val="a7"/>
        <w:widowControl w:val="0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eastAsia="方正仿宋_GBK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一般公共服务支出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369.90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30.2%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20.05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5.7%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ascii="Times New Roman" w:eastAsia="方正仿宋_GBK" w:hAnsi="Times New Roman"/>
          <w:sz w:val="32"/>
          <w:szCs w:val="32"/>
        </w:rPr>
        <w:t>是</w:t>
      </w:r>
      <w:r>
        <w:rPr>
          <w:rFonts w:eastAsia="方正仿宋_GBK"/>
          <w:sz w:val="32"/>
          <w:szCs w:val="32"/>
        </w:rPr>
        <w:t>工资调标，</w:t>
      </w:r>
      <w:r>
        <w:rPr>
          <w:rFonts w:ascii="Times New Roman" w:eastAsia="方正仿宋_GBK" w:hAnsi="Times New Roman" w:hint="default"/>
          <w:sz w:val="32"/>
          <w:szCs w:val="32"/>
        </w:rPr>
        <w:lastRenderedPageBreak/>
        <w:t>人员经费支出增加</w:t>
      </w:r>
      <w:r>
        <w:rPr>
          <w:rFonts w:eastAsia="方正仿宋_GBK"/>
          <w:sz w:val="32"/>
          <w:szCs w:val="32"/>
        </w:rPr>
        <w:t>及日常公用经费增加等原因。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16.79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1.4%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3.60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27.3%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</w:p>
    <w:p w:rsidR="00653175" w:rsidRDefault="00EF6561">
      <w:pPr>
        <w:widowControl w:val="0"/>
        <w:spacing w:line="594" w:lineRule="exact"/>
        <w:ind w:firstLineChars="200" w:firstLine="640"/>
        <w:contextualSpacing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和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158.00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12.9%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53.07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50.6%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</w:rPr>
        <w:t>主要原因是</w:t>
      </w:r>
      <w:r>
        <w:rPr>
          <w:rFonts w:eastAsia="方正仿宋_GBK"/>
          <w:sz w:val="32"/>
          <w:szCs w:val="32"/>
        </w:rPr>
        <w:t>养老保险和职业年金补缴等。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35.76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1.24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3.6%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</w:t>
      </w:r>
    </w:p>
    <w:p w:rsidR="00653175" w:rsidRDefault="00EF6561">
      <w:pPr>
        <w:widowControl w:val="0"/>
        <w:spacing w:line="560" w:lineRule="exact"/>
        <w:ind w:firstLineChars="200" w:firstLine="640"/>
        <w:contextualSpacing/>
        <w:rPr>
          <w:rFonts w:eastAsia="方正仿宋_GBK" w:hint="default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）节能环保支出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35.00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35.00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</w:rPr>
        <w:t>主要原因是增加</w:t>
      </w:r>
      <w:r>
        <w:rPr>
          <w:rFonts w:ascii="Times New Roman" w:eastAsia="方正仿宋_GBK" w:hAnsi="Times New Roman" w:hint="default"/>
          <w:sz w:val="32"/>
          <w:szCs w:val="32"/>
        </w:rPr>
        <w:t>农村环境整治和增设垃圾收运点项目</w:t>
      </w:r>
      <w:r>
        <w:rPr>
          <w:rFonts w:eastAsia="方正仿宋_GBK"/>
          <w:sz w:val="32"/>
          <w:szCs w:val="32"/>
        </w:rPr>
        <w:t>及场镇运转等项目。</w:t>
      </w:r>
    </w:p>
    <w:p w:rsidR="00653175" w:rsidRDefault="00EF6561">
      <w:pPr>
        <w:widowControl w:val="0"/>
        <w:spacing w:line="560" w:lineRule="exact"/>
        <w:ind w:firstLineChars="200" w:firstLine="640"/>
        <w:contextualSpacing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6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）城乡社区支出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22.76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22.76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</w:rPr>
        <w:t>主要原因是光华村罗田大院传统村落保护发展等项目增加。</w:t>
      </w:r>
    </w:p>
    <w:p w:rsidR="00653175" w:rsidRDefault="00EF6561">
      <w:pPr>
        <w:widowControl w:val="0"/>
        <w:spacing w:line="560" w:lineRule="exact"/>
        <w:ind w:firstLineChars="200" w:firstLine="640"/>
        <w:contextualSpacing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7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442.66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36.1%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141.92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47.2%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</w:rPr>
        <w:t>主要原因是</w:t>
      </w:r>
      <w:r>
        <w:rPr>
          <w:rFonts w:eastAsia="方正仿宋_GBK"/>
          <w:sz w:val="32"/>
          <w:szCs w:val="32"/>
        </w:rPr>
        <w:t>净</w:t>
      </w:r>
      <w:proofErr w:type="gramStart"/>
      <w:r>
        <w:rPr>
          <w:rFonts w:eastAsia="方正仿宋_GBK"/>
          <w:sz w:val="32"/>
          <w:szCs w:val="32"/>
        </w:rPr>
        <w:t>美责任员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、王家乡</w:t>
      </w:r>
      <w:r>
        <w:rPr>
          <w:rFonts w:ascii="Times New Roman" w:eastAsia="方正仿宋_GBK" w:hAnsi="Times New Roman"/>
          <w:sz w:val="32"/>
          <w:szCs w:val="32"/>
        </w:rPr>
        <w:t>2023</w:t>
      </w:r>
      <w:r>
        <w:rPr>
          <w:rFonts w:ascii="Times New Roman" w:eastAsia="方正仿宋_GBK" w:hAnsi="Times New Roman"/>
          <w:sz w:val="32"/>
          <w:szCs w:val="32"/>
        </w:rPr>
        <w:t>年户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厕改造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项目、</w:t>
      </w:r>
      <w:r>
        <w:rPr>
          <w:rFonts w:ascii="Times New Roman" w:eastAsia="方正仿宋_GBK" w:hAnsi="Times New Roman" w:hint="default"/>
          <w:sz w:val="32"/>
          <w:szCs w:val="32"/>
        </w:rPr>
        <w:t>王家乡低收入人群一户一策等托管带动项目</w:t>
      </w:r>
      <w:r>
        <w:rPr>
          <w:rFonts w:ascii="Times New Roman" w:eastAsia="方正仿宋_GBK" w:hAnsi="Times New Roman"/>
          <w:sz w:val="32"/>
          <w:szCs w:val="32"/>
        </w:rPr>
        <w:t>、松材线虫病防治</w:t>
      </w:r>
      <w:r>
        <w:rPr>
          <w:rFonts w:ascii="Times New Roman" w:eastAsia="方正仿宋_GBK" w:hAnsi="Times New Roman" w:hint="default"/>
          <w:sz w:val="32"/>
          <w:szCs w:val="32"/>
        </w:rPr>
        <w:t>等项目支出增</w:t>
      </w:r>
      <w:r>
        <w:rPr>
          <w:rFonts w:ascii="Times New Roman" w:eastAsia="方正仿宋_GBK" w:hAnsi="Times New Roman"/>
          <w:sz w:val="32"/>
          <w:szCs w:val="32"/>
        </w:rPr>
        <w:t>加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653175" w:rsidRDefault="00EF6561">
      <w:pPr>
        <w:widowControl w:val="0"/>
        <w:spacing w:line="560" w:lineRule="exact"/>
        <w:ind w:firstLineChars="200" w:firstLine="640"/>
        <w:contextualSpacing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）交通运输支出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94.17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7.7%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92.47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5439.4%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</w:rPr>
        <w:t>主要原因是光华村张二山</w:t>
      </w:r>
      <w:r>
        <w:rPr>
          <w:rFonts w:ascii="Times New Roman" w:eastAsia="方正仿宋_GBK" w:hAnsi="Times New Roman" w:hint="default"/>
          <w:sz w:val="32"/>
          <w:szCs w:val="32"/>
        </w:rPr>
        <w:t>—</w:t>
      </w:r>
      <w:proofErr w:type="gramStart"/>
      <w:r>
        <w:rPr>
          <w:rFonts w:ascii="Times New Roman" w:eastAsia="方正仿宋_GBK" w:hAnsi="Times New Roman" w:hint="default"/>
          <w:sz w:val="32"/>
          <w:szCs w:val="32"/>
        </w:rPr>
        <w:t>菱角塘窄路面</w:t>
      </w:r>
      <w:proofErr w:type="gramEnd"/>
      <w:r>
        <w:rPr>
          <w:rFonts w:ascii="Times New Roman" w:eastAsia="方正仿宋_GBK" w:hAnsi="Times New Roman" w:hint="default"/>
          <w:sz w:val="32"/>
          <w:szCs w:val="32"/>
        </w:rPr>
        <w:t>扩宽工程项目</w:t>
      </w:r>
      <w:r>
        <w:rPr>
          <w:rFonts w:ascii="Times New Roman" w:eastAsia="方正仿宋_GBK" w:hAnsi="Times New Roman"/>
          <w:sz w:val="32"/>
          <w:szCs w:val="32"/>
        </w:rPr>
        <w:t>、花</w:t>
      </w:r>
      <w:r>
        <w:rPr>
          <w:rFonts w:ascii="Times New Roman" w:eastAsia="方正仿宋_GBK" w:hAnsi="Times New Roman" w:hint="default"/>
          <w:sz w:val="32"/>
          <w:szCs w:val="32"/>
        </w:rPr>
        <w:t>源村田坝组烂坝</w:t>
      </w:r>
      <w:r>
        <w:rPr>
          <w:rFonts w:ascii="Times New Roman" w:eastAsia="方正仿宋_GBK" w:hAnsi="Times New Roman" w:hint="default"/>
          <w:sz w:val="32"/>
          <w:szCs w:val="32"/>
        </w:rPr>
        <w:t>—</w:t>
      </w:r>
      <w:r>
        <w:rPr>
          <w:rFonts w:ascii="Times New Roman" w:eastAsia="方正仿宋_GBK" w:hAnsi="Times New Roman" w:hint="default"/>
          <w:sz w:val="32"/>
          <w:szCs w:val="32"/>
        </w:rPr>
        <w:t>塝上通畅工程</w:t>
      </w:r>
      <w:r>
        <w:rPr>
          <w:rFonts w:ascii="Times New Roman" w:eastAsia="方正仿宋_GBK" w:hAnsi="Times New Roman"/>
          <w:sz w:val="32"/>
          <w:szCs w:val="32"/>
        </w:rPr>
        <w:t>等项目增加。</w:t>
      </w:r>
    </w:p>
    <w:p w:rsidR="00653175" w:rsidRDefault="00EF6561">
      <w:pPr>
        <w:widowControl w:val="0"/>
        <w:spacing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eastAsia="方正仿宋_GBK" w:hAnsi="方正仿宋_GBK" w:cs="方正仿宋_GBK"/>
          <w:sz w:val="32"/>
          <w:szCs w:val="32"/>
        </w:rPr>
        <w:t>住房保障支出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36.85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0.81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2.3%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</w:t>
      </w:r>
    </w:p>
    <w:p w:rsidR="00653175" w:rsidRDefault="00EF6561">
      <w:pPr>
        <w:widowControl w:val="0"/>
        <w:spacing w:line="560" w:lineRule="exact"/>
        <w:ind w:firstLineChars="200" w:firstLine="640"/>
        <w:contextualSpacing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lastRenderedPageBreak/>
        <w:t>（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eastAsia="方正仿宋_GBK" w:hAnsi="方正仿宋_GBK" w:cs="方正仿宋_GBK"/>
          <w:sz w:val="32"/>
          <w:szCs w:val="32"/>
        </w:rPr>
        <w:t>灾害防治及应急管理支出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13.48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1.1%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较年初预算数增加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13.48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</w:rPr>
        <w:t>主要原因是增加</w:t>
      </w:r>
      <w:r>
        <w:rPr>
          <w:rFonts w:ascii="Times New Roman" w:eastAsia="方正仿宋_GBK" w:hAnsi="Times New Roman" w:hint="default"/>
          <w:sz w:val="32"/>
          <w:szCs w:val="32"/>
        </w:rPr>
        <w:t>2023</w:t>
      </w:r>
      <w:r>
        <w:rPr>
          <w:rFonts w:ascii="Times New Roman" w:eastAsia="方正仿宋_GBK" w:hAnsi="Times New Roman" w:hint="default"/>
          <w:sz w:val="32"/>
          <w:szCs w:val="32"/>
        </w:rPr>
        <w:t>年地灾</w:t>
      </w:r>
      <w:proofErr w:type="gramStart"/>
      <w:r>
        <w:rPr>
          <w:rFonts w:ascii="Times New Roman" w:eastAsia="方正仿宋_GBK" w:hAnsi="Times New Roman" w:hint="default"/>
          <w:sz w:val="32"/>
          <w:szCs w:val="32"/>
        </w:rPr>
        <w:t>防治员</w:t>
      </w:r>
      <w:proofErr w:type="gramEnd"/>
      <w:r>
        <w:rPr>
          <w:rFonts w:ascii="Times New Roman" w:eastAsia="方正仿宋_GBK" w:hAnsi="Times New Roman" w:hint="default"/>
          <w:sz w:val="32"/>
          <w:szCs w:val="32"/>
        </w:rPr>
        <w:t>工资</w:t>
      </w:r>
      <w:r>
        <w:rPr>
          <w:rFonts w:ascii="Times New Roman" w:eastAsia="方正仿宋_GBK" w:hAnsi="Times New Roman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hint="default"/>
          <w:sz w:val="32"/>
          <w:szCs w:val="32"/>
        </w:rPr>
        <w:t>密园村</w:t>
      </w:r>
      <w:proofErr w:type="gramEnd"/>
      <w:r>
        <w:rPr>
          <w:rFonts w:ascii="Times New Roman" w:eastAsia="方正仿宋_GBK" w:hAnsi="Times New Roman" w:hint="default"/>
          <w:sz w:val="32"/>
          <w:szCs w:val="32"/>
        </w:rPr>
        <w:t>河堤修复项目费用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 w:hint="default"/>
          <w:sz w:val="32"/>
          <w:szCs w:val="32"/>
        </w:rPr>
        <w:t>自然灾害应急救援资金</w:t>
      </w:r>
      <w:r>
        <w:rPr>
          <w:rFonts w:ascii="Times New Roman" w:eastAsia="方正仿宋_GBK" w:hAnsi="Times New Roman"/>
          <w:sz w:val="32"/>
          <w:szCs w:val="32"/>
        </w:rPr>
        <w:t>的支出。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3"/>
        <w:jc w:val="both"/>
        <w:rPr>
          <w:rFonts w:ascii="方正仿宋_GBK" w:eastAsia="方正仿宋_GBK" w:hAnsi="方正仿宋_GBK" w:cs="方正仿宋_GBK" w:hint="default"/>
          <w:color w:val="FF0000"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仿宋_GBK" w:hAnsi="Times New Roman" w:hint="default"/>
          <w:sz w:val="32"/>
          <w:szCs w:val="32"/>
          <w:shd w:val="clear" w:color="auto" w:fill="FFFFFF"/>
        </w:rPr>
        <w:t>3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.</w:t>
      </w:r>
      <w:r>
        <w:rPr>
          <w:rStyle w:val="a8"/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结转结余情况。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年度相比，无增减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650.53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jc w:val="both"/>
        <w:rPr>
          <w:rFonts w:ascii="方正仿宋_GBK" w:eastAsia="方正仿宋_GBK" w:hAnsi="方正仿宋_GBK" w:cs="方正仿宋_GBK" w:hint="default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其中：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Times New Roman" w:eastAsia="方正仿宋_GBK" w:hAnsi="Times New Roman" w:hint="default"/>
          <w:color w:val="FF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556.07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40.91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本年因在编人员未达到编制人数，故基本支出减少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40.91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万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元。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人员经费用途主要包括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基本工资、津贴补贴、奖金、社会保障缴费、其他工资福利支出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。</w:t>
      </w:r>
    </w:p>
    <w:p w:rsidR="00653175" w:rsidRDefault="00EF6561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94.47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6.28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7.1%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厉行节约，严格压缩开支。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公用经费用途主要包括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办公费、印刷费、咨询费、手续费、公务接待费、公务车辆运行费、差旅费等。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color w:val="FF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692.11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475.79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220.0%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本年基础设施建设类项目增加，如光华村红色文化产业园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lastRenderedPageBreak/>
        <w:t>一二三大队遗址修缮保护项目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176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万，四川工农红军第三路游击队东</w:t>
      </w:r>
      <w:proofErr w:type="gramStart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进路线</w:t>
      </w:r>
      <w:proofErr w:type="gramEnd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—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王家乡光华村段综合修复项目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144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692.11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475.79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220.0%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本年基础设施建设类项目增加，如光华村红色文化产业园一二三大队遗址修缮保护项目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176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万，四川工农红军第三路游击队东</w:t>
      </w:r>
      <w:proofErr w:type="gramStart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进路线</w:t>
      </w:r>
      <w:proofErr w:type="gramEnd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—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王家乡光华村段综合修复项目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144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本部门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年度无国有资本经营预算财政拨款支出。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rPr>
          <w:rStyle w:val="a8"/>
          <w:rFonts w:ascii="黑体" w:eastAsia="黑体" w:hAnsi="黑体" w:cs="黑体" w:hint="default"/>
          <w:sz w:val="32"/>
          <w:szCs w:val="32"/>
          <w:shd w:val="clear" w:color="auto" w:fill="FFFFFF"/>
        </w:rPr>
      </w:pP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三、</w:t>
      </w: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财政拨款</w:t>
      </w: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“三公”经费情况说明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0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年度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三公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经费支出共计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5.97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万元，较年初预算数减少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0.53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8.2%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严格落实过紧日子要求，厉行节约。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较上年支出数减少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0.03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0.5%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严格落实过紧日子要求，厉行节约。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:rsidR="00653175" w:rsidRDefault="00EF6561">
      <w:pPr>
        <w:pStyle w:val="a7"/>
        <w:spacing w:before="0" w:beforeAutospacing="0" w:after="0" w:afterAutospacing="0" w:line="560" w:lineRule="exact"/>
        <w:ind w:firstLineChars="200" w:firstLine="640"/>
        <w:textAlignment w:val="baseline"/>
        <w:rPr>
          <w:rFonts w:ascii="Times New Roman" w:eastAsia="微软雅黑" w:hAnsi="Times New Roman" w:hint="default"/>
          <w:color w:val="000000"/>
          <w:sz w:val="32"/>
          <w:szCs w:val="32"/>
        </w:rPr>
      </w:pP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本单位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年度未发生因公出国费用支出。</w:t>
      </w:r>
    </w:p>
    <w:p w:rsidR="00653175" w:rsidRDefault="00EF6561">
      <w:pPr>
        <w:pStyle w:val="a7"/>
        <w:spacing w:before="0" w:beforeAutospacing="0" w:after="0" w:afterAutospacing="0" w:line="560" w:lineRule="exact"/>
        <w:ind w:firstLineChars="200" w:firstLine="640"/>
        <w:textAlignment w:val="baseline"/>
        <w:rPr>
          <w:rFonts w:ascii="Times New Roman" w:eastAsia="微软雅黑" w:hAnsi="Times New Roman" w:hint="default"/>
          <w:color w:val="000000"/>
          <w:sz w:val="32"/>
          <w:szCs w:val="32"/>
        </w:rPr>
      </w:pP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本单位</w:t>
      </w:r>
      <w:r>
        <w:rPr>
          <w:rFonts w:ascii="Times New Roman" w:eastAsia="微软雅黑" w:hAnsi="Times New Roman"/>
          <w:color w:val="000000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年度未发生公务车购置费用支出。</w:t>
      </w:r>
    </w:p>
    <w:p w:rsidR="00653175" w:rsidRDefault="00EF6561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公务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用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车运行维护费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5.97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主要用于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主要领导到县城参加会议、各业务分管领导到辖区内各村指导检查工作所需车辆的燃料费、维修费、过桥过路费、保险费等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。费用支出较年初</w:t>
      </w:r>
      <w:proofErr w:type="gramStart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预算数无增减</w:t>
      </w:r>
      <w:proofErr w:type="gramEnd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严格按照预算执行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。较上年支出数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减少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0.03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减少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0.55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%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.</w:t>
      </w:r>
    </w:p>
    <w:p w:rsidR="00653175" w:rsidRDefault="00EF6561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lastRenderedPageBreak/>
        <w:t>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公务接待费</w:t>
      </w:r>
      <w:r>
        <w:rPr>
          <w:rFonts w:ascii="Times New Roman" w:eastAsia="方正仿宋_GBK" w:hAnsi="Times New Roman" w:hint="default"/>
          <w:sz w:val="32"/>
          <w:szCs w:val="32"/>
        </w:rPr>
        <w:t>0.00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万元，主要用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于接待乡村振兴、各科室对接县级部门到乡镇检查指导工作发生的接待支出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。费用支出较年初</w:t>
      </w:r>
      <w:proofErr w:type="gramStart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预算数无增减</w:t>
      </w:r>
      <w:proofErr w:type="gramEnd"/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严格按照预算执行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较上年支出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无变化。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（三）“三公”经费实物量情况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批次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批次，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批次，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人。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2.98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rPr>
          <w:rStyle w:val="a8"/>
          <w:rFonts w:ascii="黑体" w:eastAsia="黑体" w:hAnsi="黑体" w:cs="黑体" w:hint="default"/>
          <w:sz w:val="32"/>
          <w:szCs w:val="32"/>
          <w:shd w:val="clear" w:color="auto" w:fill="FFFFFF"/>
        </w:rPr>
      </w:pPr>
      <w:r>
        <w:rPr>
          <w:rStyle w:val="a8"/>
          <w:rFonts w:ascii="黑体" w:eastAsia="黑体" w:hAnsi="黑体" w:cs="黑体"/>
          <w:sz w:val="32"/>
          <w:szCs w:val="32"/>
          <w:shd w:val="clear" w:color="auto" w:fill="FFFFFF"/>
        </w:rPr>
        <w:t>四、其他需要说明的事项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96" w:lineRule="exact"/>
        <w:ind w:firstLineChars="200" w:firstLine="643"/>
        <w:jc w:val="both"/>
        <w:rPr>
          <w:rFonts w:ascii="楷体" w:eastAsia="楷体" w:hAnsi="楷体" w:cs="楷体" w:hint="default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Times New Roman" w:eastAsia="方正仿宋_GBK" w:hAnsi="Times New Roman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0.50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/>
          <w:sz w:val="32"/>
          <w:szCs w:val="32"/>
        </w:rPr>
        <w:t>厉行节约，严格控制支出，减少不必要开支。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0.12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Times New Roman" w:eastAsia="方正仿宋_GBK" w:hAnsi="Times New Roman"/>
          <w:sz w:val="32"/>
          <w:szCs w:val="32"/>
        </w:rPr>
        <w:t>厉行节约，严格控制支出，减少不必要开支。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20.30</w:t>
      </w:r>
      <w:r>
        <w:rPr>
          <w:rFonts w:ascii="方正仿宋_GBK" w:eastAsia="方正仿宋_GBK" w:hAnsi="方正仿宋_GBK" w:cs="方正仿宋_GBK"/>
          <w:sz w:val="32"/>
          <w:szCs w:val="32"/>
        </w:rPr>
        <w:t>万元，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年度相比，增加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2.79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万元，增长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15.9%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eastAsia="方正仿宋_GBK" w:hAnsi="Times New Roman"/>
          <w:sz w:val="32"/>
          <w:szCs w:val="32"/>
        </w:rPr>
        <w:t>主要原因是人员变动导致差旅费增加。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（二）机关运行经费情况说明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Times New Roman" w:eastAsia="方正仿宋_GBK" w:hAnsi="Times New Roman" w:hint="default"/>
          <w:sz w:val="32"/>
          <w:szCs w:val="32"/>
          <w:highlight w:val="yellow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年度本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单位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机关运行经费支出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60.28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万元，机关运行经费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主要用于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开支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办公费、水电费、邮电费、维修（护）费、公务接待费、劳务费、工会经费、其他交通费用等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机关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lastRenderedPageBreak/>
        <w:t>运行经费较上年支出数减少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0.46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万元，下降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0.8%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（三）国有资产占用情况说明</w:t>
      </w:r>
    </w:p>
    <w:p w:rsidR="00653175" w:rsidRDefault="00EF6561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截至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12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31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台（套）。</w:t>
      </w:r>
    </w:p>
    <w:p w:rsidR="00653175" w:rsidRDefault="00EF6561">
      <w:pPr>
        <w:pStyle w:val="1"/>
        <w:widowControl w:val="0"/>
        <w:autoSpaceDE w:val="0"/>
        <w:spacing w:line="596" w:lineRule="exact"/>
        <w:ind w:firstLine="643"/>
        <w:rPr>
          <w:rFonts w:ascii="楷体" w:eastAsia="楷体" w:hAnsi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shd w:val="clear" w:color="auto" w:fill="FFFFFF"/>
        </w:rPr>
        <w:t>（四）政府采购支出情况说明</w:t>
      </w:r>
    </w:p>
    <w:p w:rsidR="00653175" w:rsidRDefault="00EF6561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color w:val="FF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2024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0.51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0.51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0.00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0.51</w:t>
      </w:r>
      <w:r>
        <w:rPr>
          <w:rFonts w:ascii="方正仿宋_GBK" w:eastAsia="方正仿宋_GBK" w:hAnsi="方正仿宋_GBK" w:cs="方正仿宋_GBK"/>
          <w:sz w:val="32"/>
          <w:szCs w:val="32"/>
        </w:rPr>
        <w:t>万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，其中：授予小</w:t>
      </w:r>
      <w:proofErr w:type="gramStart"/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合同金额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0.51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ascii="Times New Roman" w:eastAsia="方正仿宋_GBK" w:hAnsi="Times New Roman" w:hint="default"/>
          <w:sz w:val="32"/>
          <w:szCs w:val="32"/>
          <w:shd w:val="clear" w:color="auto" w:fill="FFFFFF"/>
        </w:rPr>
        <w:t>100.0 %</w:t>
      </w:r>
      <w: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Times New Roman" w:eastAsia="方正仿宋_GBK" w:hAnsi="Times New Roman" w:hint="default"/>
          <w:color w:val="000000"/>
          <w:sz w:val="32"/>
          <w:szCs w:val="32"/>
          <w:shd w:val="clear" w:color="auto" w:fill="FFFFFF"/>
        </w:rPr>
        <w:t>主要用于采购电脑相关经费支出。</w:t>
      </w:r>
    </w:p>
    <w:p w:rsidR="00653175" w:rsidRDefault="00EF6561">
      <w:pPr>
        <w:pStyle w:val="a7"/>
        <w:widowControl w:val="0"/>
        <w:shd w:val="clear" w:color="auto" w:fill="FFFFFF"/>
        <w:tabs>
          <w:tab w:val="left" w:pos="6918"/>
        </w:tabs>
        <w:spacing w:before="0" w:beforeAutospacing="0" w:after="0" w:afterAutospacing="0" w:line="560" w:lineRule="exact"/>
        <w:ind w:firstLineChars="200" w:firstLine="640"/>
        <w:rPr>
          <w:rStyle w:val="a8"/>
          <w:rFonts w:ascii="Times New Roman" w:eastAsia="方正黑体_GBK" w:hAnsi="Times New Roman" w:hint="default"/>
          <w:b w:val="0"/>
          <w:bCs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黑体_GBK" w:hAnsi="Times New Roman" w:hint="default"/>
          <w:b w:val="0"/>
          <w:bCs/>
          <w:sz w:val="32"/>
          <w:szCs w:val="32"/>
          <w:shd w:val="clear" w:color="auto" w:fill="FFFFFF"/>
        </w:rPr>
        <w:t>五、</w:t>
      </w:r>
      <w:r>
        <w:rPr>
          <w:rStyle w:val="a8"/>
          <w:rFonts w:ascii="Times New Roman" w:eastAsia="方正黑体_GBK" w:hAnsi="Times New Roman" w:hint="default"/>
          <w:b w:val="0"/>
          <w:bCs/>
          <w:sz w:val="32"/>
          <w:szCs w:val="32"/>
          <w:shd w:val="clear" w:color="auto" w:fill="FFFFFF"/>
        </w:rPr>
        <w:t>预算绩效管理情况说明</w:t>
      </w:r>
    </w:p>
    <w:p w:rsidR="00653175" w:rsidRDefault="00EF6561">
      <w:pPr>
        <w:pStyle w:val="a7"/>
        <w:widowControl w:val="0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8"/>
          <w:rFonts w:ascii="Times New Roman" w:eastAsia="方正楷体_GBK" w:hAnsi="Times New Roman" w:hint="default"/>
          <w:b w:val="0"/>
          <w:bCs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楷体_GBK" w:hAnsi="Times New Roman" w:hint="default"/>
          <w:b w:val="0"/>
          <w:bCs/>
          <w:sz w:val="32"/>
          <w:szCs w:val="32"/>
          <w:shd w:val="clear" w:color="auto" w:fill="FFFFFF"/>
        </w:rPr>
        <w:t>（一）单位自评情况</w:t>
      </w:r>
    </w:p>
    <w:p w:rsidR="00653175" w:rsidRDefault="00EF6561" w:rsidP="004852AC">
      <w:pPr>
        <w:pStyle w:val="1"/>
        <w:autoSpaceDE w:val="0"/>
        <w:spacing w:line="560" w:lineRule="exact"/>
        <w:ind w:firstLine="620"/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</w:pPr>
      <w:r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  <w:t>根据预算绩效管理要求，本单位对部门整体</w:t>
      </w:r>
      <w:r>
        <w:rPr>
          <w:rFonts w:ascii="Times New Roman" w:hAnsi="Times New Roman" w:hint="eastAsia"/>
          <w:color w:val="000000"/>
          <w:sz w:val="31"/>
          <w:szCs w:val="31"/>
          <w:shd w:val="clear" w:color="auto" w:fill="FFFFFF"/>
        </w:rPr>
        <w:t>66</w:t>
      </w:r>
      <w:r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  <w:t>个项目开展了绩效自评，其中，以填报自评表形式开展自评</w:t>
      </w:r>
      <w:r>
        <w:rPr>
          <w:rFonts w:ascii="Times New Roman" w:hAnsi="Times New Roman" w:hint="eastAsia"/>
          <w:color w:val="000000"/>
          <w:sz w:val="31"/>
          <w:szCs w:val="31"/>
          <w:shd w:val="clear" w:color="auto" w:fill="FFFFFF"/>
        </w:rPr>
        <w:t>66</w:t>
      </w:r>
      <w:r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  <w:t>项，涉及资金</w:t>
      </w:r>
      <w:r>
        <w:rPr>
          <w:rFonts w:ascii="Times New Roman" w:hAnsi="Times New Roman" w:hint="eastAsia"/>
          <w:color w:val="000000"/>
          <w:sz w:val="31"/>
          <w:szCs w:val="31"/>
          <w:shd w:val="clear" w:color="auto" w:fill="FFFFFF"/>
        </w:rPr>
        <w:t>855.91</w:t>
      </w:r>
      <w:r>
        <w:rPr>
          <w:rFonts w:ascii="Times New Roman" w:eastAsia="方正仿宋_GBK" w:hAnsi="Times New Roman"/>
          <w:color w:val="000000"/>
          <w:sz w:val="31"/>
          <w:szCs w:val="31"/>
          <w:shd w:val="clear" w:color="auto" w:fill="FFFFFF"/>
        </w:rPr>
        <w:t>万元。</w:t>
      </w:r>
    </w:p>
    <w:p w:rsidR="00653175" w:rsidRDefault="00EF6561" w:rsidP="004852AC">
      <w:pPr>
        <w:pStyle w:val="1"/>
        <w:numPr>
          <w:ilvl w:val="0"/>
          <w:numId w:val="2"/>
        </w:numPr>
        <w:autoSpaceDE w:val="0"/>
        <w:spacing w:line="560" w:lineRule="exact"/>
        <w:ind w:firstLine="640"/>
        <w:rPr>
          <w:rStyle w:val="a8"/>
          <w:rFonts w:ascii="Times New Roman" w:eastAsia="方正楷体_GBK" w:hAnsi="Times New Roman"/>
          <w:b w:val="0"/>
          <w:bCs/>
          <w:sz w:val="32"/>
          <w:szCs w:val="32"/>
          <w:shd w:val="clear" w:color="auto" w:fill="FFFFFF"/>
        </w:rPr>
      </w:pPr>
      <w:r>
        <w:rPr>
          <w:rStyle w:val="a8"/>
          <w:rFonts w:ascii="Times New Roman" w:eastAsia="方正楷体_GBK" w:hAnsi="Times New Roman"/>
          <w:b w:val="0"/>
          <w:bCs/>
          <w:sz w:val="32"/>
          <w:szCs w:val="32"/>
          <w:shd w:val="clear" w:color="auto" w:fill="FFFFFF"/>
        </w:rPr>
        <w:t>单位绩效评价情况</w:t>
      </w:r>
    </w:p>
    <w:tbl>
      <w:tblPr>
        <w:tblpPr w:leftFromText="180" w:rightFromText="180" w:vertAnchor="text" w:horzAnchor="page" w:tblpX="639" w:tblpY="845"/>
        <w:tblOverlap w:val="never"/>
        <w:tblW w:w="10298" w:type="dxa"/>
        <w:tblLayout w:type="fixed"/>
        <w:tblLook w:val="04A0" w:firstRow="1" w:lastRow="0" w:firstColumn="1" w:lastColumn="0" w:noHBand="0" w:noVBand="1"/>
      </w:tblPr>
      <w:tblGrid>
        <w:gridCol w:w="1788"/>
        <w:gridCol w:w="870"/>
        <w:gridCol w:w="1213"/>
        <w:gridCol w:w="1213"/>
        <w:gridCol w:w="804"/>
        <w:gridCol w:w="1430"/>
        <w:gridCol w:w="800"/>
        <w:gridCol w:w="1150"/>
        <w:gridCol w:w="1030"/>
      </w:tblGrid>
      <w:tr w:rsidR="00653175">
        <w:trPr>
          <w:trHeight w:val="336"/>
        </w:trPr>
        <w:tc>
          <w:tcPr>
            <w:tcW w:w="92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小标宋_GBK" w:hAnsi="Times New Roman" w:hint="default"/>
                <w:color w:val="000000"/>
                <w:sz w:val="38"/>
                <w:szCs w:val="38"/>
              </w:rPr>
            </w:pPr>
            <w:r>
              <w:rPr>
                <w:rFonts w:ascii="Times New Roman" w:eastAsia="方正小标宋_GBK" w:hAnsi="Times New Roman" w:hint="default"/>
                <w:color w:val="000000"/>
                <w:sz w:val="38"/>
                <w:szCs w:val="38"/>
                <w:lang w:bidi="ar"/>
              </w:rPr>
              <w:t>部门（单位）整体绩效目标表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36"/>
        </w:trPr>
        <w:tc>
          <w:tcPr>
            <w:tcW w:w="926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小标宋_GBK" w:hAnsi="Times New Roman" w:hint="default"/>
                <w:color w:val="000000"/>
                <w:sz w:val="38"/>
                <w:szCs w:val="3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268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right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单位：万元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119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lastRenderedPageBreak/>
              <w:t>部门（单位）名称</w:t>
            </w:r>
          </w:p>
        </w:tc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910</w:t>
            </w: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－石柱土家族自治县王家乡人民政府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部门支出预算数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855.91</w:t>
            </w:r>
          </w:p>
        </w:tc>
      </w:tr>
      <w:tr w:rsidR="00653175">
        <w:trPr>
          <w:trHeight w:val="230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当年整体绩效目标</w:t>
            </w:r>
          </w:p>
        </w:tc>
        <w:tc>
          <w:tcPr>
            <w:tcW w:w="8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br/>
              <w:t>1.</w:t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做好经济发展、民政和社会事务、平安建设、规划建设和环保管理、应急管理、人大事务、综合行政执法等工作，保障辖区各项工作正常开展。</w:t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为农业农村工作、社区公共事务、文化宣传、体育、劳动就业和社会保障、退役军人及其他优抚对象等做好服务。</w:t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完成县委、县政府安排的其他工作，保障我镇各项工作正常运转，保障机关人员经费的正常支出，保障村组干部待遇。</w:t>
            </w:r>
          </w:p>
        </w:tc>
      </w:tr>
      <w:tr w:rsidR="00653175">
        <w:trPr>
          <w:trHeight w:val="1523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绩效指标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一级指标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二级指标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三级指标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指标权重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计量单位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指标性质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指标值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  <w:r>
              <w:rPr>
                <w:rFonts w:ascii="Times New Roman" w:eastAsia="方正仿宋_GBK" w:hAnsi="Times New Roman" w:hint="default"/>
                <w:b/>
                <w:bCs/>
                <w:color w:val="000000"/>
                <w:lang w:bidi="ar"/>
              </w:rPr>
              <w:t>是否核心指标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生态环境情况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定性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有效改善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经济发展情况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定性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资金拨付及时率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＝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整体工作完成率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＝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年底考核情况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定性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管辖村社区数量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＝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可持续发展指标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可持续发展能力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定性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≥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90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28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经济成本指标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人均公用经费变动率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≤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  <w:tr w:rsidR="00653175">
        <w:trPr>
          <w:trHeight w:val="642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rPr>
                <w:rFonts w:ascii="Times New Roman" w:eastAsia="方正仿宋_GBK" w:hAnsi="Times New Roman" w:hint="default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社会和谐稳定情况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定性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653175">
            <w:pPr>
              <w:jc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75" w:rsidRDefault="00EF6561">
            <w:pPr>
              <w:jc w:val="center"/>
              <w:textAlignment w:val="center"/>
              <w:rPr>
                <w:rFonts w:ascii="Times New Roman" w:eastAsia="方正仿宋_GBK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hint="default"/>
                <w:color w:val="000000"/>
                <w:sz w:val="20"/>
                <w:szCs w:val="20"/>
                <w:lang w:bidi="ar"/>
              </w:rPr>
              <w:t>否</w:t>
            </w:r>
          </w:p>
        </w:tc>
      </w:tr>
    </w:tbl>
    <w:p w:rsidR="00653175" w:rsidRDefault="00653175">
      <w:pPr>
        <w:pStyle w:val="a7"/>
        <w:widowControl w:val="0"/>
        <w:snapToGrid w:val="0"/>
        <w:spacing w:before="0" w:beforeAutospacing="0" w:after="0" w:afterAutospacing="0" w:line="596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color w:val="FF0000"/>
          <w:sz w:val="32"/>
          <w:szCs w:val="32"/>
          <w:shd w:val="clear" w:color="auto" w:fill="FFFFFF"/>
        </w:rPr>
        <w:sectPr w:rsidR="00653175">
          <w:footerReference w:type="default" r:id="rId9"/>
          <w:pgSz w:w="11915" w:h="16840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9207" w:type="dxa"/>
        <w:jc w:val="center"/>
        <w:tblLayout w:type="fixed"/>
        <w:tblLook w:val="04A0" w:firstRow="1" w:lastRow="0" w:firstColumn="1" w:lastColumn="0" w:noHBand="0" w:noVBand="1"/>
      </w:tblPr>
      <w:tblGrid>
        <w:gridCol w:w="4377"/>
        <w:gridCol w:w="850"/>
        <w:gridCol w:w="4436"/>
        <w:gridCol w:w="4433"/>
        <w:gridCol w:w="767"/>
        <w:gridCol w:w="4344"/>
      </w:tblGrid>
      <w:tr w:rsidR="00653175">
        <w:trPr>
          <w:trHeight w:val="390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收入支出决算表</w:t>
            </w:r>
          </w:p>
        </w:tc>
      </w:tr>
      <w:tr w:rsidR="00653175">
        <w:trPr>
          <w:trHeight w:val="255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石柱土家族自治县王家乡人民政府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55"/>
          <w:jc w:val="center"/>
        </w:trPr>
        <w:tc>
          <w:tcPr>
            <w:tcW w:w="1486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08"/>
          <w:jc w:val="center"/>
        </w:trPr>
        <w:tc>
          <w:tcPr>
            <w:tcW w:w="9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:rsidR="00653175">
        <w:trPr>
          <w:trHeight w:val="417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3,698,959.86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1,580,043.09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357,574.00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350,000.00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3,398,693.30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4,426,615.08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134,800.00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3,750,000.00 </w:t>
            </w:r>
          </w:p>
        </w:tc>
      </w:tr>
      <w:tr w:rsidR="00653175">
        <w:trPr>
          <w:trHeight w:val="90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疫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4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>19,174,752.66</w:t>
            </w:r>
          </w:p>
        </w:tc>
      </w:tr>
    </w:tbl>
    <w:p w:rsidR="00653175" w:rsidRDefault="00653175">
      <w:pPr>
        <w:pStyle w:val="1"/>
        <w:widowControl w:val="0"/>
        <w:autoSpaceDE w:val="0"/>
        <w:ind w:firstLineChars="0" w:firstLine="0"/>
        <w:rPr>
          <w:rFonts w:cs="宋体"/>
          <w:sz w:val="21"/>
          <w:szCs w:val="21"/>
        </w:rPr>
        <w:sectPr w:rsidR="00653175">
          <w:headerReference w:type="default" r:id="rId10"/>
          <w:footerReference w:type="default" r:id="rId11"/>
          <w:pgSz w:w="23811" w:h="16838" w:orient="landscape"/>
          <w:pgMar w:top="567" w:right="454" w:bottom="567" w:left="1037" w:header="0" w:footer="283" w:gutter="0"/>
          <w:pgNumType w:fmt="numberInDash"/>
          <w:cols w:space="720"/>
          <w:docGrid w:type="lines" w:linePitch="312"/>
        </w:sectPr>
      </w:pPr>
    </w:p>
    <w:p w:rsidR="00653175" w:rsidRDefault="00653175">
      <w:pPr>
        <w:pStyle w:val="1"/>
        <w:widowControl w:val="0"/>
        <w:autoSpaceDE w:val="0"/>
        <w:ind w:firstLineChars="0" w:firstLine="0"/>
        <w:rPr>
          <w:rFonts w:cs="宋体"/>
          <w:sz w:val="21"/>
          <w:szCs w:val="21"/>
        </w:rPr>
      </w:pPr>
    </w:p>
    <w:tbl>
      <w:tblPr>
        <w:tblW w:w="22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:rsidR="00653175">
        <w:trPr>
          <w:trHeight w:val="390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:rsidR="00653175">
        <w:trPr>
          <w:trHeight w:val="610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1"/>
                <w:szCs w:val="21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石柱土家族自治县王家乡人民政府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12"/>
        </w:trPr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:rsidR="00653175">
        <w:trPr>
          <w:trHeight w:val="312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12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12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:rsidR="00653175">
        <w:trPr>
          <w:trHeight w:val="308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3,619,759.86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3,619,759.86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220,203.69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220,203.69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lastRenderedPageBreak/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21213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城市基础设施配套</w:t>
            </w:r>
            <w:proofErr w:type="gramStart"/>
            <w:r>
              <w:rPr>
                <w:rFonts w:cs="宋体"/>
                <w:b/>
                <w:color w:val="000000"/>
                <w:sz w:val="22"/>
                <w:szCs w:val="22"/>
              </w:rPr>
              <w:t>费安排</w:t>
            </w:r>
            <w:proofErr w:type="gramEnd"/>
            <w:r>
              <w:rPr>
                <w:rFonts w:cs="宋体"/>
                <w:b/>
                <w:color w:val="000000"/>
                <w:sz w:val="22"/>
                <w:szCs w:val="22"/>
              </w:rPr>
              <w:t>的支出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2121399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其他城市基础设施配套</w:t>
            </w:r>
            <w:proofErr w:type="gramStart"/>
            <w:r>
              <w:rPr>
                <w:rFonts w:cs="宋体"/>
                <w:color w:val="000000"/>
                <w:sz w:val="22"/>
                <w:szCs w:val="22"/>
              </w:rPr>
              <w:t>费安排</w:t>
            </w:r>
            <w:proofErr w:type="gramEnd"/>
            <w:r>
              <w:rPr>
                <w:rFonts w:cs="宋体"/>
                <w:color w:val="000000"/>
                <w:sz w:val="22"/>
                <w:szCs w:val="22"/>
              </w:rPr>
              <w:t>的支出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1,363,811.76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1,363,811.76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lastRenderedPageBreak/>
              <w:t>21401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用于巩固脱贫攻坚成果衔接乡村振兴的彩票公益金支出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2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:rsidR="00653175">
        <w:trPr>
          <w:trHeight w:val="390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支出决算表</w:t>
            </w:r>
          </w:p>
        </w:tc>
      </w:tr>
      <w:tr w:rsidR="00653175">
        <w:trPr>
          <w:trHeight w:val="270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70"/>
        </w:trPr>
        <w:tc>
          <w:tcPr>
            <w:tcW w:w="19702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12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:rsidR="00653175">
        <w:trPr>
          <w:trHeight w:val="312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3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12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3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12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3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270"/>
        </w:trPr>
        <w:tc>
          <w:tcPr>
            <w:tcW w:w="5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:rsidR="00653175">
        <w:trPr>
          <w:trHeight w:val="270"/>
        </w:trPr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6,505,329.98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12,669,422.68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3,266,537.26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432,422.60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73,200.00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其他人大事务支出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3,619,759.86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3,266,537.26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353,222.60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2,943,811.92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308,222.60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322,725.34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2070109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群众文化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1,568,313.09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11,730.00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人力资源和社会保障管理事务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综合业务管理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360,987.48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988,591.92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82,800.00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124,200.00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10,260.00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220,203.69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1,470.00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2082850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218,733.69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193,312.80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lastRenderedPageBreak/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80,461.20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污染防治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2110304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固体废弃物与化学品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271,093.30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21213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城市基础设施配套</w:t>
            </w:r>
            <w:proofErr w:type="gramStart"/>
            <w:r>
              <w:rPr>
                <w:rFonts w:cs="宋体"/>
                <w:b/>
                <w:color w:val="000000"/>
                <w:sz w:val="22"/>
                <w:szCs w:val="22"/>
              </w:rPr>
              <w:t>费安排</w:t>
            </w:r>
            <w:proofErr w:type="gramEnd"/>
            <w:r>
              <w:rPr>
                <w:rFonts w:cs="宋体"/>
                <w:b/>
                <w:color w:val="000000"/>
                <w:sz w:val="22"/>
                <w:szCs w:val="22"/>
              </w:rPr>
              <w:t>的支出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2121399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其他城市基础设施配套</w:t>
            </w:r>
            <w:proofErr w:type="gramStart"/>
            <w:r>
              <w:rPr>
                <w:rFonts w:cs="宋体"/>
                <w:color w:val="000000"/>
                <w:sz w:val="22"/>
                <w:szCs w:val="22"/>
              </w:rPr>
              <w:t>费安排</w:t>
            </w:r>
            <w:proofErr w:type="gramEnd"/>
            <w:r>
              <w:rPr>
                <w:rFonts w:cs="宋体"/>
                <w:color w:val="000000"/>
                <w:sz w:val="22"/>
                <w:szCs w:val="22"/>
              </w:rPr>
              <w:t>的支出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2,900,000.00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3,650,086.11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1,363,811.76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587,282.79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776,528.97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16,000.00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24,000.00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农业生产发展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83,692.00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17,940.00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2130135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农业生态资源保护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147,525.54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228,125.25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33,000.00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50,200.00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1,092,653.32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329,909.00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712,744.32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1,886,950.00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lastRenderedPageBreak/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自然灾害救灾及恢复重建支出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2240703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自然灾害救灾补助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550,000.00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270"/>
        </w:trPr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2296011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用于巩固脱贫攻坚成果衔接乡村振兴的彩票公益金支出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3,200,000.00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2398" w:type="dxa"/>
        <w:jc w:val="center"/>
        <w:tblLayout w:type="fixed"/>
        <w:tblLook w:val="04A0" w:firstRow="1" w:lastRow="0" w:firstColumn="1" w:lastColumn="0" w:noHBand="0" w:noVBand="1"/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:rsidR="00653175">
        <w:trPr>
          <w:trHeight w:val="390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财政拨款收入支出决算表</w:t>
            </w:r>
          </w:p>
        </w:tc>
      </w:tr>
      <w:tr w:rsidR="00653175">
        <w:trPr>
          <w:trHeight w:val="255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55"/>
          <w:jc w:val="center"/>
        </w:trPr>
        <w:tc>
          <w:tcPr>
            <w:tcW w:w="19524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08"/>
          <w:jc w:val="center"/>
        </w:trPr>
        <w:tc>
          <w:tcPr>
            <w:tcW w:w="6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入</w:t>
            </w:r>
          </w:p>
        </w:tc>
        <w:tc>
          <w:tcPr>
            <w:tcW w:w="15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出</w:t>
            </w:r>
          </w:p>
        </w:tc>
      </w:tr>
      <w:tr w:rsidR="00653175">
        <w:trPr>
          <w:trHeight w:val="312"/>
          <w:jc w:val="center"/>
        </w:trPr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:rsidR="00653175">
        <w:trPr>
          <w:trHeight w:val="615"/>
          <w:jc w:val="center"/>
        </w:trPr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3,698,959.86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167,899.60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1,580,043.09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357,574.00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350,000.00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3,398,693.30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227,600.00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3,171,093.30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4,426,615.08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941,690.67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134,800.00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3,750,000.00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疫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特别国债安排的支出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6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60" w:lineRule="exact"/>
              <w:jc w:val="righ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19,174,752.66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12,253,659.36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6,921,093.30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6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3039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:rsidR="00653175">
        <w:trPr>
          <w:trHeight w:val="523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一般公共预算财政拨款收入支出决算表</w:t>
            </w:r>
          </w:p>
        </w:tc>
      </w:tr>
      <w:tr w:rsidR="00653175">
        <w:trPr>
          <w:trHeight w:val="262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62"/>
        </w:trPr>
        <w:tc>
          <w:tcPr>
            <w:tcW w:w="21883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44"/>
        </w:trPr>
        <w:tc>
          <w:tcPr>
            <w:tcW w:w="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:rsidR="00653175">
        <w:trPr>
          <w:trHeight w:val="344"/>
        </w:trPr>
        <w:tc>
          <w:tcPr>
            <w:tcW w:w="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:rsidR="00653175">
        <w:trPr>
          <w:trHeight w:val="400"/>
        </w:trPr>
        <w:tc>
          <w:tcPr>
            <w:tcW w:w="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:rsidR="00653175">
        <w:trPr>
          <w:trHeight w:val="409"/>
        </w:trPr>
        <w:tc>
          <w:tcPr>
            <w:tcW w:w="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551"/>
        </w:trPr>
        <w:tc>
          <w:tcPr>
            <w:tcW w:w="3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:rsidR="00653175">
        <w:trPr>
          <w:trHeight w:val="348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24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24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24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12,253,659.36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6,505,329.98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5,748,329.38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12,253,659.36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6,505,329.98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5,748,329.38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3,698,959.86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432,422.60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3,698,959.86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432,422.60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73,200.00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其他人大事务支出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3,619,759.86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353,222.60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3,619,759.86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3,266,537.26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353,222.60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2,943,811.92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308,222.60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322,725.34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其他政府办公厅（室）及相关机构事务支出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45,000.00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群众文化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167,899.60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1,580,043.09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1,568,313.09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11,730.00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1,580,043.09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1,568,313.09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11,730.00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人力资源和社会保障管理事务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综合业务管理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360,987.48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988,591.92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82,800.00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124,200.00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521,064.28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260,527.64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lastRenderedPageBreak/>
              <w:t>2080899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其他优抚支出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10,260.00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220,203.69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220,203.69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军供保障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1,470.00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218,733.69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357,574.00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193,312.80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80,461.20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污染防治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2110304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固体废弃物与化学品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2110402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农村环境保护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227,600.00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4,426,615.08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4,426,615.08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3,650,086.11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农业农村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1,363,811.76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1,363,811.76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587,282.79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776,528.97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病虫害控制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16,000.00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执法监管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2130119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防灾救灾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农业生产发展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83,692.00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2130124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农村合作经济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17,940.00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2130135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农业生态资源保护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147,525.54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2130152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对高校毕业生到基层任职补助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228,125.25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2130234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林业草原防灾减灾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33,000.00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其他水利支出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lastRenderedPageBreak/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1,092,653.32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农村基础设施建设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329,909.00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712,744.32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2130705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对村民委员会和村党支部的补助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1,886,950.00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公路建设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941,690.67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368,477.06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134,800.00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2240601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地质灾害防治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84,800.00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自然灾害救灾及恢复重建支出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2240703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自然灾害救灾补助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23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:rsidR="00653175">
        <w:trPr>
          <w:trHeight w:val="390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一般公共预算财政拨款基本支出决算明细表</w:t>
            </w:r>
          </w:p>
        </w:tc>
      </w:tr>
      <w:tr w:rsidR="00653175">
        <w:trPr>
          <w:trHeight w:val="255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55"/>
        </w:trPr>
        <w:tc>
          <w:tcPr>
            <w:tcW w:w="19684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08"/>
        </w:trPr>
        <w:tc>
          <w:tcPr>
            <w:tcW w:w="7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:rsidR="00653175">
        <w:trPr>
          <w:trHeight w:val="312"/>
        </w:trPr>
        <w:tc>
          <w:tcPr>
            <w:tcW w:w="13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:rsidR="00653175">
        <w:trPr>
          <w:trHeight w:val="312"/>
        </w:trPr>
        <w:tc>
          <w:tcPr>
            <w:tcW w:w="1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5,328,675.42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939,524.96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5,129.60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1,174,803.00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271,263.55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872,457.00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5,129.60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892,938.00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878,190.50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15,433.36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521,064.28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37,666.67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260,527.64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288,404.75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13,013.19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196,969.36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368,477.06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58,800.00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232,000.00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207,000.00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52,765.02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44,507.00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151,500.00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对民间非营利组织和群众性自治组织补贴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4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103,750.00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经常性赠与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4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资本性赠与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4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4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jc w:val="right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4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jc w:val="right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340" w:lineRule="exact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340" w:lineRule="exact"/>
              <w:jc w:val="right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</w:trPr>
        <w:tc>
          <w:tcPr>
            <w:tcW w:w="49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bottom"/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hint="default"/>
                <w:color w:val="000000"/>
                <w:sz w:val="22"/>
                <w:szCs w:val="22"/>
              </w:rPr>
              <w:t xml:space="preserve">5,560,675.42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34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3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944,654.56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3039" w:type="dxa"/>
        <w:tblInd w:w="-223" w:type="dxa"/>
        <w:tblLayout w:type="fixed"/>
        <w:tblLook w:val="04A0" w:firstRow="1" w:lastRow="0" w:firstColumn="1" w:lastColumn="0" w:noHBand="0" w:noVBand="1"/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:rsidR="00653175">
        <w:trPr>
          <w:trHeight w:val="523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政府性基金预算财政拨款收入支出决算表</w:t>
            </w:r>
          </w:p>
        </w:tc>
      </w:tr>
      <w:tr w:rsidR="00653175">
        <w:trPr>
          <w:trHeight w:val="262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7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62"/>
        </w:trPr>
        <w:tc>
          <w:tcPr>
            <w:tcW w:w="21883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44"/>
        </w:trPr>
        <w:tc>
          <w:tcPr>
            <w:tcW w:w="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:rsidR="00653175">
        <w:trPr>
          <w:trHeight w:val="344"/>
        </w:trPr>
        <w:tc>
          <w:tcPr>
            <w:tcW w:w="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:rsidR="00653175">
        <w:trPr>
          <w:trHeight w:val="400"/>
        </w:trPr>
        <w:tc>
          <w:tcPr>
            <w:tcW w:w="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:rsidR="00653175">
        <w:trPr>
          <w:trHeight w:val="409"/>
        </w:trPr>
        <w:tc>
          <w:tcPr>
            <w:tcW w:w="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551"/>
        </w:trPr>
        <w:tc>
          <w:tcPr>
            <w:tcW w:w="3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:rsidR="00653175">
        <w:trPr>
          <w:trHeight w:val="348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24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24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240" w:lineRule="exact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6,921,093.30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3,171,093.30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2120804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农村基础设施建设支出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271,093.30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城市基础设施配套</w:t>
            </w:r>
            <w:proofErr w:type="gramStart"/>
            <w:r>
              <w:rPr>
                <w:rFonts w:cs="宋体"/>
                <w:b/>
                <w:color w:val="000000"/>
                <w:sz w:val="20"/>
                <w:szCs w:val="20"/>
              </w:rPr>
              <w:t>费安排</w:t>
            </w:r>
            <w:proofErr w:type="gramEnd"/>
            <w:r>
              <w:rPr>
                <w:rFonts w:cs="宋体"/>
                <w:b/>
                <w:color w:val="000000"/>
                <w:sz w:val="20"/>
                <w:szCs w:val="20"/>
              </w:rPr>
              <w:t>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2121399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其他城市基础设施配套</w:t>
            </w:r>
            <w:proofErr w:type="gramStart"/>
            <w:r>
              <w:rPr>
                <w:rFonts w:cs="宋体"/>
                <w:color w:val="000000"/>
                <w:sz w:val="20"/>
                <w:szCs w:val="20"/>
              </w:rPr>
              <w:t>费安排</w:t>
            </w:r>
            <w:proofErr w:type="gramEnd"/>
            <w:r>
              <w:rPr>
                <w:rFonts w:cs="宋体"/>
                <w:color w:val="000000"/>
                <w:sz w:val="20"/>
                <w:szCs w:val="20"/>
              </w:rPr>
              <w:t>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2,900,000.00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3,750,000.00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用于社会福利的彩票公益金支出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550,000.00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653175">
        <w:trPr>
          <w:trHeight w:val="482"/>
        </w:trPr>
        <w:tc>
          <w:tcPr>
            <w:tcW w:w="9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textAlignment w:val="center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用于巩固脱贫攻坚成果衔接乡村振兴的彩票公益金支出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3,200,000.00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24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21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:rsidR="00653175">
        <w:trPr>
          <w:trHeight w:val="390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国有资本经营预算财政拨款收入支出决算表</w:t>
            </w:r>
          </w:p>
        </w:tc>
      </w:tr>
      <w:tr w:rsidR="00653175">
        <w:trPr>
          <w:trHeight w:val="255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55"/>
        </w:trPr>
        <w:tc>
          <w:tcPr>
            <w:tcW w:w="20023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08"/>
        </w:trPr>
        <w:tc>
          <w:tcPr>
            <w:tcW w:w="10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:rsidR="00653175">
        <w:trPr>
          <w:trHeight w:val="312"/>
        </w:trPr>
        <w:tc>
          <w:tcPr>
            <w:tcW w:w="10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:rsidR="00653175">
        <w:trPr>
          <w:trHeight w:val="312"/>
        </w:trPr>
        <w:tc>
          <w:tcPr>
            <w:tcW w:w="10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615"/>
        </w:trPr>
        <w:tc>
          <w:tcPr>
            <w:tcW w:w="10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</w:tr>
      <w:tr w:rsidR="00653175">
        <w:trPr>
          <w:trHeight w:val="308"/>
        </w:trPr>
        <w:tc>
          <w:tcPr>
            <w:tcW w:w="3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:rsidR="00653175">
        <w:trPr>
          <w:trHeight w:val="308"/>
        </w:trPr>
        <w:tc>
          <w:tcPr>
            <w:tcW w:w="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jc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:rsidR="00653175">
        <w:trPr>
          <w:trHeight w:val="308"/>
        </w:trPr>
        <w:tc>
          <w:tcPr>
            <w:tcW w:w="10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:rsidR="00653175" w:rsidRDefault="00EF6561">
      <w:pPr>
        <w:widowControl w:val="0"/>
        <w:rPr>
          <w:rFonts w:cs="宋体" w:hint="default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W w:w="200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7"/>
        <w:gridCol w:w="1017"/>
        <w:gridCol w:w="4017"/>
        <w:gridCol w:w="5416"/>
        <w:gridCol w:w="1050"/>
        <w:gridCol w:w="4134"/>
      </w:tblGrid>
      <w:tr w:rsidR="00653175">
        <w:trPr>
          <w:trHeight w:val="540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center"/>
              <w:textAlignment w:val="bottom"/>
              <w:rPr>
                <w:rFonts w:cs="宋体" w:hint="default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lastRenderedPageBreak/>
              <w:t>机构运行信息决算表</w:t>
            </w:r>
          </w:p>
        </w:tc>
      </w:tr>
      <w:tr w:rsidR="00653175">
        <w:trPr>
          <w:trHeight w:val="255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石柱土家族自治县王家乡人民政府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表</w:t>
            </w:r>
          </w:p>
        </w:tc>
      </w:tr>
      <w:tr w:rsidR="00653175">
        <w:trPr>
          <w:trHeight w:val="255"/>
        </w:trPr>
        <w:tc>
          <w:tcPr>
            <w:tcW w:w="15917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jc w:val="right"/>
              <w:textAlignment w:val="bottom"/>
              <w:rPr>
                <w:rFonts w:cs="宋体" w:hint="default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</w:t>
            </w: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元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目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目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602,781.40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602,781.40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>—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  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59,670.00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2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．因公出国（境）团组数（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（二）单价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100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>—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．国内公务接待批次（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5,129.60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其中：外事接待批次（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5,129.60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．国（境）外公务接待批次（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个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5,129.60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其中：授予小</w:t>
            </w:r>
            <w:proofErr w:type="gramStart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微企业</w:t>
            </w:r>
            <w:proofErr w:type="gramEnd"/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 xml:space="preserve">5,129.60 </w:t>
            </w: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sz w:val="22"/>
                <w:szCs w:val="22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</w:tr>
      <w:tr w:rsidR="00653175">
        <w:trPr>
          <w:trHeight w:val="308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textAlignment w:val="center"/>
              <w:rPr>
                <w:rFonts w:cs="宋体" w:hint="default"/>
                <w:b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EF6561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175" w:rsidRDefault="00EF6561">
            <w:pPr>
              <w:widowControl w:val="0"/>
              <w:spacing w:line="400" w:lineRule="exact"/>
              <w:jc w:val="right"/>
              <w:textAlignment w:val="bottom"/>
              <w:rPr>
                <w:rFonts w:ascii="Times New Roman" w:hAnsi="Times New Roman" w:hint="default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hint="default"/>
                <w:color w:val="000000"/>
                <w:sz w:val="22"/>
                <w:szCs w:val="22"/>
              </w:rPr>
              <w:t>202,969.36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rPr>
                <w:rFonts w:cs="宋体" w:hint="default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75" w:rsidRDefault="00653175">
            <w:pPr>
              <w:widowControl w:val="0"/>
              <w:spacing w:line="400" w:lineRule="exact"/>
              <w:jc w:val="center"/>
              <w:textAlignment w:val="center"/>
              <w:rPr>
                <w:rFonts w:cs="宋体" w:hint="default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175" w:rsidRDefault="00653175">
            <w:pPr>
              <w:widowControl w:val="0"/>
              <w:spacing w:line="400" w:lineRule="exact"/>
              <w:rPr>
                <w:rFonts w:ascii="Arial" w:hAnsi="Arial" w:cs="Arial" w:hint="default"/>
                <w:color w:val="000000"/>
                <w:sz w:val="20"/>
                <w:szCs w:val="20"/>
              </w:rPr>
            </w:pPr>
          </w:p>
        </w:tc>
      </w:tr>
    </w:tbl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widowControl w:val="0"/>
        <w:rPr>
          <w:rFonts w:cs="宋体" w:hint="default"/>
          <w:color w:val="000000"/>
          <w:sz w:val="21"/>
          <w:szCs w:val="21"/>
          <w:lang w:bidi="ar"/>
        </w:rPr>
      </w:pPr>
    </w:p>
    <w:p w:rsidR="00653175" w:rsidRDefault="00653175">
      <w:pPr>
        <w:pStyle w:val="1"/>
        <w:widowControl w:val="0"/>
        <w:autoSpaceDE w:val="0"/>
        <w:ind w:firstLineChars="0" w:firstLine="0"/>
        <w:rPr>
          <w:rFonts w:cs="宋体"/>
          <w:sz w:val="21"/>
          <w:szCs w:val="21"/>
        </w:rPr>
      </w:pPr>
    </w:p>
    <w:sectPr w:rsidR="00653175">
      <w:pgSz w:w="23811" w:h="16838" w:orient="landscape"/>
      <w:pgMar w:top="567" w:right="454" w:bottom="567" w:left="1037" w:header="0" w:footer="283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61" w:rsidRDefault="00EF6561">
      <w:pPr>
        <w:rPr>
          <w:rFonts w:hint="default"/>
        </w:rPr>
      </w:pPr>
      <w:r>
        <w:separator/>
      </w:r>
    </w:p>
  </w:endnote>
  <w:endnote w:type="continuationSeparator" w:id="0">
    <w:p w:rsidR="00EF6561" w:rsidRDefault="00EF656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75" w:rsidRDefault="00EF6561">
    <w:pPr>
      <w:pStyle w:val="a5"/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3175" w:rsidRDefault="00EF6561">
                          <w:pPr>
                            <w:pStyle w:val="a5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52AC">
                            <w:rPr>
                              <w:rFonts w:hint="default"/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53175" w:rsidRDefault="00EF6561">
                    <w:pPr>
                      <w:pStyle w:val="a5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52AC">
                      <w:rPr>
                        <w:rFonts w:hint="default"/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75" w:rsidRDefault="00EF6561">
    <w:pPr>
      <w:pStyle w:val="a5"/>
      <w:jc w:val="both"/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53175" w:rsidRDefault="00EF6561">
                          <w:pPr>
                            <w:pStyle w:val="a5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852AC" w:rsidRPr="004852AC">
                            <w:rPr>
                              <w:rFonts w:hint="default"/>
                              <w:noProof/>
                              <w:lang w:val="zh-CN"/>
                            </w:rPr>
                            <w:t>-</w:t>
                          </w:r>
                          <w:r w:rsidR="004852AC">
                            <w:rPr>
                              <w:rFonts w:hint="default"/>
                              <w:noProof/>
                            </w:rPr>
                            <w:t xml:space="preserve"> 25 -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7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zMHwIAACAEAAAOAAAAZHJzL2Uyb0RvYy54bWysU82O0zAQviPxDpbvNGkRS1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Nj+/MwfAgAAIAQAAA4AAAAAAAAAAAAAAAAALgIAAGRycy9lMm9Eb2MueG1sUEsBAi0AFAAG&#10;AAgAAAAhAHGq0bnXAAAABQEAAA8AAAAAAAAAAAAAAAAAeQQAAGRycy9kb3ducmV2LnhtbFBLBQYA&#10;AAAABAAEAPMAAAB9BQAAAAA=&#10;" o:allowoverlap="f" filled="f" stroked="f" strokeweight=".5pt">
              <v:textbox style="mso-fit-shape-to-text:t" inset="0,0,0,0">
                <w:txbxContent>
                  <w:p w:rsidR="00653175" w:rsidRDefault="00EF6561">
                    <w:pPr>
                      <w:pStyle w:val="a5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852AC" w:rsidRPr="004852AC">
                      <w:rPr>
                        <w:rFonts w:hint="default"/>
                        <w:noProof/>
                        <w:lang w:val="zh-CN"/>
                      </w:rPr>
                      <w:t>-</w:t>
                    </w:r>
                    <w:r w:rsidR="004852AC">
                      <w:rPr>
                        <w:rFonts w:hint="default"/>
                        <w:noProof/>
                      </w:rPr>
                      <w:t xml:space="preserve"> 25 -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53175" w:rsidRDefault="00EF6561">
                          <w:pPr>
                            <w:pStyle w:val="a5"/>
                            <w:jc w:val="both"/>
                            <w:rPr>
                              <w:rFonts w:cs="宋体" w:hint="default"/>
                            </w:rPr>
                          </w:pPr>
                          <w:r>
                            <w:rPr>
                              <w:rFonts w:cs="宋体"/>
                            </w:rPr>
                            <w:t>—</w:t>
                          </w:r>
                          <w:r>
                            <w:rPr>
                              <w:rFonts w:cs="宋体"/>
                            </w:rPr>
                            <w:t xml:space="preserve"> 27.1 </w:t>
                          </w:r>
                          <w:r>
                            <w:rPr>
                              <w:rFonts w:cs="宋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ABD65F9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61" w:rsidRDefault="00EF6561">
      <w:pPr>
        <w:rPr>
          <w:rFonts w:hint="default"/>
        </w:rPr>
      </w:pPr>
      <w:r>
        <w:separator/>
      </w:r>
    </w:p>
  </w:footnote>
  <w:footnote w:type="continuationSeparator" w:id="0">
    <w:p w:rsidR="00EF6561" w:rsidRDefault="00EF656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75" w:rsidRDefault="00653175">
    <w:pPr>
      <w:pStyle w:val="a6"/>
      <w:tabs>
        <w:tab w:val="clear" w:pos="4153"/>
        <w:tab w:val="clear" w:pos="8306"/>
        <w:tab w:val="left" w:pos="1758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776892"/>
    <w:multiLevelType w:val="singleLevel"/>
    <w:tmpl w:val="9477689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4356F"/>
    <w:multiLevelType w:val="singleLevel"/>
    <w:tmpl w:val="E774356F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4852AC"/>
    <w:rsid w:val="00550ABE"/>
    <w:rsid w:val="00653175"/>
    <w:rsid w:val="007B419D"/>
    <w:rsid w:val="009B67B8"/>
    <w:rsid w:val="00B03CCD"/>
    <w:rsid w:val="00EF6561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1B7801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1FE53362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77B32F2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99"/>
    <w:qFormat/>
    <w:rPr>
      <w:rFonts w:ascii="宋体" w:hAnsi="宋体" w:hint="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pPr>
      <w:spacing w:after="120"/>
    </w:pPr>
  </w:style>
  <w:style w:type="paragraph" w:customStyle="1" w:styleId="a4">
    <w:name w:val="默认"/>
    <w:basedOn w:val="a"/>
    <w:unhideWhenUsed/>
    <w:qFormat/>
    <w:rPr>
      <w:rFonts w:ascii="Helvetica" w:hAnsi="Helvetica" w:hint="default"/>
      <w:color w:val="000000"/>
      <w:sz w:val="22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7">
    <w:name w:val="Normal (Web)"/>
    <w:basedOn w:val="a"/>
    <w:unhideWhenUsed/>
    <w:qFormat/>
    <w:pPr>
      <w:spacing w:before="100" w:beforeAutospacing="1" w:after="100" w:afterAutospacing="1"/>
    </w:pPr>
  </w:style>
  <w:style w:type="character" w:styleId="a8">
    <w:name w:val="Strong"/>
    <w:qFormat/>
    <w:rPr>
      <w:b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99"/>
    <w:qFormat/>
    <w:rPr>
      <w:rFonts w:ascii="宋体" w:hAnsi="宋体" w:hint="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pPr>
      <w:spacing w:after="120"/>
    </w:pPr>
  </w:style>
  <w:style w:type="paragraph" w:customStyle="1" w:styleId="a4">
    <w:name w:val="默认"/>
    <w:basedOn w:val="a"/>
    <w:unhideWhenUsed/>
    <w:qFormat/>
    <w:rPr>
      <w:rFonts w:ascii="Helvetica" w:hAnsi="Helvetica" w:hint="default"/>
      <w:color w:val="000000"/>
      <w:sz w:val="22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7">
    <w:name w:val="Normal (Web)"/>
    <w:basedOn w:val="a"/>
    <w:unhideWhenUsed/>
    <w:qFormat/>
    <w:pPr>
      <w:spacing w:before="100" w:beforeAutospacing="1" w:after="100" w:afterAutospacing="1"/>
    </w:pPr>
  </w:style>
  <w:style w:type="character" w:styleId="a8">
    <w:name w:val="Strong"/>
    <w:qFormat/>
    <w:rPr>
      <w:b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4925</Words>
  <Characters>28075</Characters>
  <Application>Microsoft Office Word</Application>
  <DocSecurity>0</DocSecurity>
  <Lines>233</Lines>
  <Paragraphs>65</Paragraphs>
  <ScaleCrop>false</ScaleCrop>
  <Company>Organization</Company>
  <LinksUpToDate>false</LinksUpToDate>
  <CharactersWithSpaces>32935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2024-07-11T02:00:00Z</dcterms:created>
  <dcterms:modified xsi:type="dcterms:W3CDTF">2025-12-02T02:06:00Z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C320B392C5B64046B37BD768821AD057_13</vt:lpwstr>
  </property>
  <property fmtid="{D5CDD505-2E9C-101B-9397-08002B2CF9AE}" pid="4" name="KSOTemplateDocerSaveRecord">
    <vt:lpwstr>eyJoZGlkIjoiMzFmYTNjZmQ5ZjJhNTkyNGNlNzliOWFiMzUxZjk4NDUiLCJ1c2VySWQiOiIyNDc0ODg0MTAifQ==</vt:lpwstr>
  </property>
</Properties>
</file>