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topLinePunct w:val="0"/>
        <w:autoSpaceDN/>
        <w:bidi w:val="0"/>
        <w:adjustRightInd/>
        <w:spacing w:before="0" w:beforeAutospacing="0" w:line="594" w:lineRule="exact"/>
        <w:jc w:val="center"/>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pacing w:val="-23"/>
          <w:sz w:val="44"/>
          <w:szCs w:val="44"/>
        </w:rPr>
        <w:t>重庆市石柱土家族自治县王家乡综合行政执法大队</w:t>
      </w:r>
      <w:r>
        <w:rPr>
          <w:rFonts w:hint="eastAsia" w:ascii="方正小标宋_GBK" w:hAnsi="方正小标宋_GBK" w:eastAsia="方正小标宋_GBK" w:cs="方正小标宋_GBK"/>
          <w:color w:val="auto"/>
          <w:sz w:val="44"/>
          <w:szCs w:val="44"/>
          <w:shd w:val="clear" w:color="auto" w:fill="FFFFFF"/>
        </w:rPr>
        <w:t>2023年度决算公开说明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shd w:val="clear" w:color="auto" w:fill="FFFFFF"/>
        </w:rPr>
        <w:t>一、单位基本情况</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Fonts w:hint="default" w:ascii="Times New Roman" w:hAnsi="Times New Roman" w:eastAsia="方正楷体_GBK" w:cs="Times New Roman"/>
          <w:b w:val="0"/>
          <w:bCs/>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（一）职能职责</w:t>
      </w:r>
      <w:bookmarkStart w:id="0" w:name="_GoBack"/>
      <w:bookmarkEnd w:id="0"/>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val="0"/>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（1）贯彻落实综合行政执法工作的有关规定；依据有关法律法规和规章，参与起草本辖区实行综合行政执法领域相关方面的工作计划，并具体实施。</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val="0"/>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（2）根据授权或委托，承担辖区范围内集中行使农林水利、规划建设、市政管理、环境保护、卫生健康、文化旅游、民政管理等领域的行政执法权。</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val="0"/>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（3）承担市县授权或委托的其他行政执法权。</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val="0"/>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（4）承办乡党委、乡政府交办的其他工作任务。</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石柱土家族自治县王家乡综合行政执法大队隶属于王家乡人民政府的财政全额拨款公益一类副科级事业单位。</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二、单位决算情况说明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（一）收入支出决算总体情况说明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2" w:firstLineChars="200"/>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2023年度收入总计38.94万元，支出总计</w:t>
      </w:r>
      <w:r>
        <w:rPr>
          <w:rFonts w:hint="default" w:ascii="Times New Roman" w:hAnsi="Times New Roman" w:eastAsia="方正仿宋_GBK" w:cs="Times New Roman"/>
          <w:color w:val="auto"/>
          <w:sz w:val="32"/>
          <w:szCs w:val="32"/>
        </w:rPr>
        <w:t>38.94</w:t>
      </w:r>
      <w:r>
        <w:rPr>
          <w:rFonts w:hint="default" w:ascii="Times New Roman" w:hAnsi="Times New Roman" w:eastAsia="方正仿宋_GBK" w:cs="Times New Roman"/>
          <w:color w:val="auto"/>
          <w:sz w:val="32"/>
          <w:szCs w:val="32"/>
          <w:shd w:val="clear" w:color="auto" w:fill="FFFFFF"/>
        </w:rPr>
        <w:t>万元。收支较上年决算数减少0.90万元，下降2.26%，主要原因是严格落实过紧日子的要求，厉行节约</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2023年度收入合计38.94万元，较上年决算数减少0.90万元，下降2.26%，主要原因是严格落实过紧日子的要求，厉行节约</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38.94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38.94</w:t>
      </w:r>
      <w:r>
        <w:rPr>
          <w:rFonts w:hint="default" w:ascii="Times New Roman" w:hAnsi="Times New Roman" w:eastAsia="方正仿宋_GBK" w:cs="Times New Roman"/>
          <w:color w:val="auto"/>
          <w:sz w:val="32"/>
          <w:szCs w:val="32"/>
          <w:shd w:val="clear" w:color="auto" w:fill="FFFFFF"/>
        </w:rPr>
        <w:t>万元，较上年决算数减少0.90万元，下降2.26%，主要原因是严格落实过紧日子的要求，厉行节约</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38.94</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（二）财政拨款收入支出决算总体情况说明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2023年度财政拨款收、支总计38.94万元。与2022年相比，财政拨款收、支总计各减少0.90万元，下降2.26%。主要原因是严格落实过紧日子的要求，厉行节约</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p>
    <w:p>
      <w:pPr>
        <w:keepNext w:val="0"/>
        <w:keepLines w:val="0"/>
        <w:pageBreakBefore w:val="0"/>
        <w:widowControl w:val="0"/>
        <w:kinsoku/>
        <w:wordWrap/>
        <w:overflowPunct/>
        <w:topLinePunct w:val="0"/>
        <w:autoSpaceDN/>
        <w:bidi w:val="0"/>
        <w:adjustRightInd/>
        <w:snapToGrid w:val="0"/>
        <w:spacing w:beforeAutospacing="0" w:afterAutospacing="0" w:line="594" w:lineRule="exact"/>
        <w:ind w:leftChars="0" w:firstLine="642" w:firstLineChars="200"/>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38.94</w:t>
      </w:r>
      <w:r>
        <w:rPr>
          <w:rFonts w:hint="default" w:ascii="Times New Roman" w:hAnsi="Times New Roman" w:eastAsia="方正仿宋_GBK" w:cs="Times New Roman"/>
          <w:color w:val="auto"/>
          <w:sz w:val="32"/>
          <w:szCs w:val="32"/>
          <w:shd w:val="clear" w:color="auto" w:fill="FFFFFF"/>
        </w:rPr>
        <w:t>万元，较上年决算数减少0.90万元，下降2.26%。主要原因是严格落实过紧日子的要求，厉行节约</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较年初预算数增加7.15万元，增长22.49%。</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val="en-US" w:eastAsia="zh-CN"/>
        </w:rPr>
        <w:t>工资调标、职业年金增加等。</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仿宋_GB2312"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38.94</w:t>
      </w:r>
      <w:r>
        <w:rPr>
          <w:rFonts w:hint="default" w:ascii="Times New Roman" w:hAnsi="Times New Roman" w:eastAsia="方正仿宋_GBK" w:cs="Times New Roman"/>
          <w:color w:val="auto"/>
          <w:sz w:val="32"/>
          <w:szCs w:val="32"/>
          <w:shd w:val="clear" w:color="auto" w:fill="FFFFFF"/>
        </w:rPr>
        <w:t>万元，较上年决算数减少0.90万元，下降2.26%。主要原因是严格落实过紧日子的要求，厉行节约</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较年初预算数增加7.15万元，增长22.49%。</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val="en-US" w:eastAsia="zh-CN"/>
        </w:rPr>
        <w:t>工资调标、职业年金增加等。</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keepNext w:val="0"/>
        <w:keepLines w:val="0"/>
        <w:pageBreakBefore w:val="0"/>
        <w:widowControl w:val="0"/>
        <w:kinsoku/>
        <w:wordWrap/>
        <w:overflowPunct/>
        <w:topLinePunct w:val="0"/>
        <w:autoSpaceDN/>
        <w:bidi w:val="0"/>
        <w:adjustRightInd/>
        <w:snapToGrid w:val="0"/>
        <w:spacing w:beforeAutospacing="0" w:afterAutospacing="0" w:line="594" w:lineRule="exact"/>
        <w:ind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32.49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83.43</w:t>
      </w:r>
      <w:r>
        <w:rPr>
          <w:rFonts w:hint="default" w:ascii="Times New Roman" w:hAnsi="Times New Roman" w:eastAsia="方正仿宋_GBK" w:cs="Times New Roman"/>
          <w:color w:val="auto"/>
          <w:sz w:val="32"/>
          <w:szCs w:val="32"/>
          <w:shd w:val="clear" w:color="auto" w:fill="FFFFFF"/>
        </w:rPr>
        <w:t>%，较年初预算数增加6.05万元，增长22.88%，</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val="en-US" w:eastAsia="zh-CN"/>
        </w:rPr>
        <w:t>工资调标。</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3.18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8.17</w:t>
      </w:r>
      <w:r>
        <w:rPr>
          <w:rFonts w:hint="default" w:ascii="Times New Roman" w:hAnsi="Times New Roman" w:eastAsia="方正仿宋_GBK" w:cs="Times New Roman"/>
          <w:color w:val="auto"/>
          <w:sz w:val="32"/>
          <w:szCs w:val="32"/>
          <w:shd w:val="clear" w:color="auto" w:fill="FFFFFF"/>
        </w:rPr>
        <w:t>%，较年初预算数增加0.58万元，增长22.31%，</w:t>
      </w:r>
      <w:r>
        <w:rPr>
          <w:rFonts w:hint="default" w:ascii="Times New Roman" w:hAnsi="Times New Roman" w:eastAsia="仿宋_GB2312" w:cs="Times New Roman"/>
          <w:color w:val="auto"/>
          <w:sz w:val="32"/>
          <w:szCs w:val="32"/>
        </w:rPr>
        <w:t>主要原因</w:t>
      </w:r>
      <w:r>
        <w:rPr>
          <w:rFonts w:hint="default" w:ascii="Times New Roman" w:hAnsi="Times New Roman" w:eastAsia="仿宋_GB2312" w:cs="Times New Roman"/>
          <w:color w:val="auto"/>
          <w:sz w:val="32"/>
          <w:szCs w:val="32"/>
          <w:lang w:val="en-US" w:eastAsia="zh-CN"/>
        </w:rPr>
        <w:t>职业年金增加等</w:t>
      </w:r>
      <w:r>
        <w:rPr>
          <w:rFonts w:hint="default" w:ascii="Times New Roman" w:hAnsi="Times New Roman" w:eastAsia="仿宋_GB2312" w:cs="Times New Roman"/>
          <w:color w:val="auto"/>
          <w:sz w:val="32"/>
          <w:szCs w:val="32"/>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1.68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4.31</w:t>
      </w:r>
      <w:r>
        <w:rPr>
          <w:rFonts w:hint="default" w:ascii="Times New Roman" w:hAnsi="Times New Roman" w:eastAsia="方正仿宋_GBK" w:cs="Times New Roman"/>
          <w:color w:val="auto"/>
          <w:sz w:val="32"/>
          <w:szCs w:val="32"/>
          <w:shd w:val="clear" w:color="auto" w:fill="FFFFFF"/>
        </w:rPr>
        <w:t>%，较年初预算数增加0.23万元，增长15.86%，</w:t>
      </w:r>
      <w:r>
        <w:rPr>
          <w:rFonts w:hint="default" w:ascii="Times New Roman" w:hAnsi="Times New Roman" w:eastAsia="仿宋_GB2312" w:cs="Times New Roman"/>
          <w:color w:val="auto"/>
          <w:sz w:val="32"/>
          <w:szCs w:val="32"/>
        </w:rPr>
        <w:t>主要原因</w:t>
      </w:r>
      <w:r>
        <w:rPr>
          <w:rFonts w:hint="default" w:ascii="Times New Roman" w:hAnsi="Times New Roman" w:eastAsia="仿宋_GB2312" w:cs="Times New Roman"/>
          <w:color w:val="auto"/>
          <w:sz w:val="32"/>
          <w:szCs w:val="32"/>
          <w:lang w:val="en-US" w:eastAsia="zh-CN"/>
        </w:rPr>
        <w:t>是职业年金增加等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N/>
        <w:bidi w:val="0"/>
        <w:adjustRightInd/>
        <w:spacing w:beforeAutospacing="0" w:afterAutospacing="0" w:line="594" w:lineRule="exact"/>
        <w:ind w:leftChars="0"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住房保障支出1.59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4.09</w:t>
      </w:r>
      <w:r>
        <w:rPr>
          <w:rFonts w:hint="default" w:ascii="Times New Roman" w:hAnsi="Times New Roman" w:eastAsia="方正仿宋_GBK" w:cs="Times New Roman"/>
          <w:color w:val="auto"/>
          <w:sz w:val="32"/>
          <w:szCs w:val="32"/>
          <w:shd w:val="clear" w:color="auto" w:fill="FFFFFF"/>
        </w:rPr>
        <w:t>%，较年初预算数增加0.29万元，增长22.31%，</w:t>
      </w:r>
      <w:r>
        <w:rPr>
          <w:rFonts w:hint="default" w:ascii="Times New Roman" w:hAnsi="Times New Roman" w:eastAsia="仿宋_GB2312" w:cs="Times New Roman"/>
          <w:color w:val="auto"/>
          <w:sz w:val="32"/>
          <w:szCs w:val="32"/>
        </w:rPr>
        <w:t>主要原因</w:t>
      </w:r>
      <w:r>
        <w:rPr>
          <w:rFonts w:hint="default" w:ascii="Times New Roman" w:hAnsi="Times New Roman" w:eastAsia="仿宋_GB2312" w:cs="Times New Roman"/>
          <w:color w:val="auto"/>
          <w:sz w:val="32"/>
          <w:szCs w:val="32"/>
          <w:lang w:val="en-US" w:eastAsia="zh-CN"/>
        </w:rPr>
        <w:t>是人员工资调标。</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38.94</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35.36</w:t>
      </w:r>
      <w:r>
        <w:rPr>
          <w:rFonts w:hint="default" w:ascii="Times New Roman" w:hAnsi="Times New Roman" w:eastAsia="方正仿宋_GBK" w:cs="Times New Roman"/>
          <w:color w:val="auto"/>
          <w:sz w:val="32"/>
          <w:szCs w:val="32"/>
          <w:shd w:val="clear" w:color="auto" w:fill="FFFFFF"/>
        </w:rPr>
        <w:t>万元，较上年决算数增加2.65万元，增长8.10%，主要原因是工资调标，导致人员经费增加。人员经费用途主要包括</w:t>
      </w:r>
      <w:r>
        <w:rPr>
          <w:rFonts w:hint="default" w:ascii="Times New Roman" w:hAnsi="Times New Roman" w:eastAsia="方正仿宋_GBK" w:cs="Times New Roman"/>
          <w:i w:val="0"/>
          <w:iCs w:val="0"/>
          <w:caps w:val="0"/>
          <w:color w:val="000000"/>
          <w:spacing w:val="0"/>
          <w:sz w:val="31"/>
          <w:szCs w:val="31"/>
          <w:shd w:val="clear" w:fill="FFFFFF"/>
        </w:rPr>
        <w:t>基本工资、津贴补贴、奖金、社会保障缴费、其他工资福利支出。</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3.58</w:t>
      </w:r>
      <w:r>
        <w:rPr>
          <w:rFonts w:hint="default" w:ascii="Times New Roman" w:hAnsi="Times New Roman" w:eastAsia="方正仿宋_GBK" w:cs="Times New Roman"/>
          <w:color w:val="auto"/>
          <w:sz w:val="32"/>
          <w:szCs w:val="32"/>
          <w:shd w:val="clear" w:color="auto" w:fill="FFFFFF"/>
        </w:rPr>
        <w:t>万元，较上年决算数减少3.54万元，下降49.72%，主要原因是严格落实过紧日子的要求，厉行节约，加强管理，控制运行成本。公用经费用途主要包括</w:t>
      </w:r>
      <w:r>
        <w:rPr>
          <w:rFonts w:hint="default" w:ascii="Times New Roman" w:hAnsi="Times New Roman" w:eastAsia="方正仿宋_GBK" w:cs="Times New Roman"/>
          <w:i w:val="0"/>
          <w:iCs w:val="0"/>
          <w:caps w:val="0"/>
          <w:color w:val="000000"/>
          <w:spacing w:val="0"/>
          <w:sz w:val="31"/>
          <w:szCs w:val="31"/>
          <w:shd w:val="clear" w:fill="FFFFFF"/>
        </w:rPr>
        <w:t>办公费、印刷费、咨询费、手续费、公务接待费、公务车辆运行费、差旅费等。</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（五）政府性基金预算收支决算情况说明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594" w:lineRule="exact"/>
        <w:ind w:left="0" w:leftChars="0" w:firstLine="620" w:firstLineChars="200"/>
        <w:textAlignment w:val="auto"/>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本单位</w:t>
      </w:r>
      <w:r>
        <w:rPr>
          <w:rFonts w:hint="default" w:ascii="Times New Roman" w:hAnsi="Times New Roman" w:eastAsia="宋体" w:cs="Times New Roman"/>
          <w:i w:val="0"/>
          <w:iCs w:val="0"/>
          <w:caps w:val="0"/>
          <w:color w:val="000000"/>
          <w:spacing w:val="0"/>
          <w:sz w:val="31"/>
          <w:szCs w:val="31"/>
          <w:shd w:val="clear" w:fill="FFFFFF"/>
        </w:rPr>
        <w:t>2022</w:t>
      </w:r>
      <w:r>
        <w:rPr>
          <w:rFonts w:hint="default" w:ascii="Times New Roman" w:hAnsi="Times New Roman" w:eastAsia="方正仿宋_GBK" w:cs="Times New Roman"/>
          <w:i w:val="0"/>
          <w:iCs w:val="0"/>
          <w:caps w:val="0"/>
          <w:color w:val="000000"/>
          <w:spacing w:val="0"/>
          <w:sz w:val="31"/>
          <w:szCs w:val="31"/>
          <w:shd w:val="clear" w:fill="FFFFFF"/>
        </w:rPr>
        <w:t>年度无政府性基金预算财政拨款收支。</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（六）国有资本经营预算财政拨款支出决算情况说明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20" w:firstLineChars="200"/>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本单位</w:t>
      </w:r>
      <w:r>
        <w:rPr>
          <w:rFonts w:hint="default" w:ascii="Times New Roman" w:hAnsi="Times New Roman" w:eastAsia="宋体" w:cs="Times New Roman"/>
          <w:i w:val="0"/>
          <w:iCs w:val="0"/>
          <w:caps w:val="0"/>
          <w:color w:val="000000"/>
          <w:spacing w:val="0"/>
          <w:sz w:val="31"/>
          <w:szCs w:val="31"/>
          <w:shd w:val="clear" w:fill="FFFFFF"/>
        </w:rPr>
        <w:t>2022</w:t>
      </w:r>
      <w:r>
        <w:rPr>
          <w:rFonts w:hint="default" w:ascii="Times New Roman" w:hAnsi="Times New Roman" w:eastAsia="方正仿宋_GBK" w:cs="Times New Roman"/>
          <w:i w:val="0"/>
          <w:iCs w:val="0"/>
          <w:caps w:val="0"/>
          <w:color w:val="000000"/>
          <w:spacing w:val="0"/>
          <w:sz w:val="31"/>
          <w:szCs w:val="31"/>
          <w:shd w:val="clear" w:fill="FFFFFF"/>
        </w:rPr>
        <w:t>年度无国有资本经营预算财政拨款支出。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三、“三公”经费情况说明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0" w:leftChars="0" w:firstLine="62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000000"/>
          <w:spacing w:val="0"/>
          <w:sz w:val="31"/>
          <w:szCs w:val="31"/>
          <w:shd w:val="clear" w:fill="FFFFFF"/>
        </w:rPr>
        <w:t>我单位属于二级预算事业单位，财政未保障我单位“三公”经费。</w:t>
      </w:r>
      <w:r>
        <w:rPr>
          <w:rFonts w:hint="default" w:ascii="Times New Roman" w:hAnsi="Times New Roman" w:eastAsia="楷体" w:cs="Times New Roman"/>
          <w:b/>
          <w:bCs/>
          <w:color w:val="auto"/>
          <w:sz w:val="32"/>
          <w:szCs w:val="32"/>
          <w:shd w:val="clear" w:color="auto" w:fill="FFFFFF"/>
        </w:rPr>
        <w:t xml:space="preserve"> </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eastAsia="zh-CN"/>
        </w:rPr>
        <w:t>四、</w:t>
      </w:r>
      <w:r>
        <w:rPr>
          <w:rStyle w:val="10"/>
          <w:rFonts w:hint="default" w:ascii="Times New Roman" w:hAnsi="Times New Roman" w:eastAsia="方正黑体_GBK" w:cs="Times New Roman"/>
          <w:b w:val="0"/>
          <w:bCs/>
          <w:color w:val="auto"/>
          <w:sz w:val="32"/>
          <w:szCs w:val="32"/>
          <w:shd w:val="clear" w:color="auto" w:fill="FFFFFF"/>
        </w:rPr>
        <w:t>其他需要说明的事项</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（一）财政拨款会议费和培训费情况说明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0" w:leftChars="0" w:firstLine="62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000000"/>
          <w:spacing w:val="0"/>
          <w:sz w:val="31"/>
          <w:szCs w:val="31"/>
          <w:shd w:val="clear" w:fill="FFFFFF"/>
        </w:rPr>
        <w:t>因本单位属于二级预算事业单位原因</w:t>
      </w:r>
      <w:r>
        <w:rPr>
          <w:rFonts w:hint="default" w:ascii="Times New Roman" w:hAnsi="Times New Roman" w:eastAsia="方正仿宋_GBK" w:cs="Times New Roman"/>
          <w:i w:val="0"/>
          <w:iCs w:val="0"/>
          <w:caps w:val="0"/>
          <w:color w:val="000000"/>
          <w:spacing w:val="0"/>
          <w:sz w:val="31"/>
          <w:szCs w:val="31"/>
          <w:shd w:val="clear" w:fill="FFFFFF"/>
          <w:lang w:eastAsia="zh-CN"/>
        </w:rPr>
        <w:t>，</w:t>
      </w:r>
      <w:r>
        <w:rPr>
          <w:rFonts w:hint="default" w:ascii="Times New Roman" w:hAnsi="Times New Roman" w:eastAsia="方正仿宋_GBK" w:cs="Times New Roman"/>
          <w:color w:val="auto"/>
          <w:sz w:val="32"/>
          <w:szCs w:val="32"/>
        </w:rPr>
        <w:t>财政未保障我单位会议费和培训费。</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（二）机关运行经费情况说明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594" w:lineRule="exact"/>
        <w:ind w:left="0" w:leftChars="0" w:firstLine="620" w:firstLineChars="200"/>
        <w:textAlignment w:val="auto"/>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因本单位属于二级预算事业单位原因，财政未保障我单位机关运行经费。</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（三）国有资产占用情况说明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594" w:lineRule="exact"/>
        <w:ind w:left="0" w:leftChars="0" w:firstLine="620" w:firstLineChars="200"/>
        <w:textAlignment w:val="auto"/>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因本单位属于二级预算事业单位原因，我单位资产未纳入部门决算报表。</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（四）政府采购支出情况说明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宋体" w:cs="Times New Roman"/>
          <w:i w:val="0"/>
          <w:iCs w:val="0"/>
          <w:caps w:val="0"/>
          <w:color w:val="000000"/>
          <w:spacing w:val="0"/>
          <w:sz w:val="31"/>
          <w:szCs w:val="31"/>
          <w:shd w:val="clear" w:fill="FFFFFF"/>
        </w:rPr>
        <w:t>202</w:t>
      </w:r>
      <w:r>
        <w:rPr>
          <w:rFonts w:hint="default" w:ascii="Times New Roman" w:hAnsi="Times New Roman" w:cs="Times New Roman"/>
          <w:i w:val="0"/>
          <w:iCs w:val="0"/>
          <w:caps w:val="0"/>
          <w:color w:val="000000"/>
          <w:spacing w:val="0"/>
          <w:sz w:val="31"/>
          <w:szCs w:val="31"/>
          <w:shd w:val="clear" w:fill="FFFFFF"/>
          <w:lang w:val="en-US" w:eastAsia="zh-CN"/>
        </w:rPr>
        <w:t>3</w:t>
      </w:r>
      <w:r>
        <w:rPr>
          <w:rFonts w:hint="default" w:ascii="Times New Roman" w:hAnsi="Times New Roman" w:eastAsia="方正仿宋_GBK" w:cs="Times New Roman"/>
          <w:i w:val="0"/>
          <w:iCs w:val="0"/>
          <w:caps w:val="0"/>
          <w:color w:val="000000"/>
          <w:spacing w:val="0"/>
          <w:sz w:val="31"/>
          <w:szCs w:val="31"/>
          <w:shd w:val="clear" w:fill="FFFFFF"/>
        </w:rPr>
        <w:t>年度我单位未发生政府采购事项，无相关经费支出。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eastAsia="zh-CN"/>
        </w:rPr>
        <w:t>五、</w:t>
      </w:r>
      <w:r>
        <w:rPr>
          <w:rStyle w:val="10"/>
          <w:rFonts w:hint="default" w:ascii="Times New Roman" w:hAnsi="Times New Roman" w:eastAsia="方正黑体_GBK" w:cs="Times New Roman"/>
          <w:b w:val="0"/>
          <w:bCs/>
          <w:color w:val="auto"/>
          <w:sz w:val="32"/>
          <w:szCs w:val="32"/>
          <w:shd w:val="clear" w:color="auto" w:fill="FFFFFF"/>
        </w:rPr>
        <w:t>预算绩效管理情况说明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0" w:leftChars="0" w:firstLine="620" w:firstLineChars="200"/>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本单位无项目。</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六、专业名词解释</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（四）其他收入：</w:t>
      </w:r>
      <w:r>
        <w:rPr>
          <w:rFonts w:hint="default" w:ascii="Times New Roman" w:hAnsi="Times New Roman" w:eastAsia="方正仿宋_GBK" w:cs="Times New Roman"/>
          <w:color w:val="auto"/>
          <w:sz w:val="32"/>
          <w:szCs w:val="32"/>
          <w:shd w:val="clear" w:color="auto" w:fill="FFFFFF"/>
        </w:rPr>
        <w:t>指单位取得的除“财政拨款收入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（五）使用非财政拨款结余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（十五）商品和服务支出（支出经济分类科目类级）</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leftChars="0"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（十七）其他资本性支出（支出经济分类科目类级）</w:t>
      </w:r>
      <w:r>
        <w:rPr>
          <w:rFonts w:hint="default" w:ascii="Times New Roman" w:hAnsi="Times New Roman" w:eastAsia="方正楷体_GBK" w:cs="Times New Roman"/>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2" w:firstLineChars="200"/>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w:t>
      </w:r>
      <w:r>
        <w:rPr>
          <w:rStyle w:val="10"/>
          <w:rFonts w:hint="default" w:ascii="Times New Roman" w:hAnsi="Times New Roman" w:eastAsia="方正黑体_GBK" w:cs="Times New Roman"/>
          <w:b w:val="0"/>
          <w:bCs/>
          <w:color w:val="auto"/>
          <w:sz w:val="32"/>
          <w:szCs w:val="32"/>
          <w:shd w:val="clear" w:color="auto" w:fill="FFFFFF"/>
        </w:rPr>
        <w:t>七、决算公开联系方式及信息反馈渠道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leftChars="0" w:right="0" w:firstLine="620" w:firstLineChars="200"/>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_GBK" w:cs="Times New Roman"/>
          <w:i w:val="0"/>
          <w:iCs w:val="0"/>
          <w:caps w:val="0"/>
          <w:color w:val="000000"/>
          <w:spacing w:val="0"/>
          <w:sz w:val="31"/>
          <w:szCs w:val="31"/>
          <w:shd w:val="clear" w:fill="FFFFFF"/>
          <w:vertAlign w:val="baseline"/>
        </w:rPr>
        <w:t>本单位决算公开信息反馈和联系方式：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leftChars="0" w:right="0" w:firstLine="620" w:firstLineChars="200"/>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_GBK" w:cs="Times New Roman"/>
          <w:i w:val="0"/>
          <w:iCs w:val="0"/>
          <w:caps w:val="0"/>
          <w:color w:val="000000"/>
          <w:spacing w:val="0"/>
          <w:sz w:val="31"/>
          <w:szCs w:val="31"/>
          <w:shd w:val="clear" w:fill="FFFFFF"/>
          <w:vertAlign w:val="baseline"/>
        </w:rPr>
        <w:t>胡艳敏 </w:t>
      </w:r>
      <w:r>
        <w:rPr>
          <w:rFonts w:hint="default" w:ascii="Times New Roman" w:hAnsi="Times New Roman" w:eastAsia="微软雅黑" w:cs="Times New Roman"/>
          <w:i w:val="0"/>
          <w:iCs w:val="0"/>
          <w:caps w:val="0"/>
          <w:color w:val="000000"/>
          <w:spacing w:val="0"/>
          <w:sz w:val="31"/>
          <w:szCs w:val="31"/>
          <w:shd w:val="clear" w:fill="FFFFFF"/>
          <w:vertAlign w:val="baseline"/>
        </w:rPr>
        <w:t>023-73350001</w:t>
      </w:r>
    </w:p>
    <w:p>
      <w:pPr>
        <w:pStyle w:val="11"/>
        <w:keepNext w:val="0"/>
        <w:keepLines w:val="0"/>
        <w:pageBreakBefore w:val="0"/>
        <w:kinsoku/>
        <w:overflowPunct/>
        <w:topLinePunct w:val="0"/>
        <w:autoSpaceDE w:val="0"/>
        <w:autoSpaceDN/>
        <w:bidi w:val="0"/>
        <w:adjustRightInd/>
        <w:spacing w:line="594" w:lineRule="exact"/>
        <w:ind w:firstLine="0" w:firstLineChars="0"/>
        <w:rPr>
          <w:rStyle w:val="10"/>
          <w:rFonts w:hint="default" w:ascii="Times New Roman" w:hAnsi="Times New Roman" w:eastAsia="方正仿宋_GBK" w:cs="Times New Roman"/>
          <w:color w:val="auto"/>
          <w:sz w:val="32"/>
          <w:szCs w:val="32"/>
          <w:shd w:val="clear" w:color="auto" w:fill="FFFF00"/>
        </w:rPr>
        <w:sectPr>
          <w:footerReference r:id="rId3" w:type="default"/>
          <w:pgSz w:w="11915" w:h="16840"/>
          <w:pgMar w:top="1984" w:right="1446" w:bottom="1644" w:left="1446" w:header="851" w:footer="992" w:gutter="0"/>
          <w:pgNumType w:fmt="decimal"/>
          <w:cols w:space="720" w:num="1"/>
          <w:docGrid w:type="lines" w:linePitch="312" w:charSpace="0"/>
        </w:sectPr>
      </w:pPr>
    </w:p>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重庆市石柱土家族自治县王家乡综合行政执法大队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38.94</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32.49</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1.59</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38.94</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38.94</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38.94</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38.94</w:t>
            </w:r>
            <w:r>
              <w:rPr>
                <w:rFonts w:hint="default" w:ascii="Times New Roman" w:hAnsi="Times New Roman" w:cs="Times New Roman"/>
                <w:color w:val="auto"/>
                <w:sz w:val="20"/>
                <w:u w:color="auto"/>
              </w:rPr>
              <w:t xml:space="preserve"> </w:t>
            </w:r>
          </w:p>
        </w:tc>
      </w:tr>
    </w:tbl>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重庆市石柱土家族自治县王家乡综合行政执法大队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38.94</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38.94</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32.49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32.49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kinsoku/>
        <w:overflowPunct/>
        <w:topLinePunct w:val="0"/>
        <w:autoSpaceDN/>
        <w:bidi w:val="0"/>
        <w:adjustRightInd/>
        <w:spacing w:line="594" w:lineRule="exact"/>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重庆市石柱土家族自治县王家乡综合行政执法大队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38.94</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38.94</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32.49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32.49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38.94</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32.49</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32.49</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1.59</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1.59</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38.94</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38.94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38.94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38.94</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38.94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38.94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38.94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38.94</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32.49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32.49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32.49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2.12</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1.26</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0.42</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1.59</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kinsoku/>
        <w:overflowPunct/>
        <w:topLinePunct w:val="0"/>
        <w:autoSpaceDN/>
        <w:bidi w:val="0"/>
        <w:adjustRightInd/>
        <w:spacing w:line="594" w:lineRule="exact"/>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35.36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3.58</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16.49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4.28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0.58</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val="0"/>
              <w:overflowPunct/>
              <w:topLinePunct w:val="0"/>
              <w:autoSpaceDN/>
              <w:bidi w:val="0"/>
              <w:adjustRightInd/>
              <w:spacing w:line="594"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35.36</w:t>
            </w:r>
            <w:r>
              <w:rPr>
                <w:rFonts w:hint="default" w:ascii="Times New Roman" w:hAnsi="Times New Roman" w:cs="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3.58</w:t>
            </w:r>
            <w:r>
              <w:rPr>
                <w:rFonts w:hint="default" w:ascii="Times New Roman" w:hAnsi="Times New Roman" w:cs="Times New Roman"/>
                <w:color w:val="auto"/>
                <w:sz w:val="18"/>
                <w:u w:color="auto"/>
              </w:rPr>
              <w:t xml:space="preserve"> </w:t>
            </w:r>
          </w:p>
        </w:tc>
      </w:tr>
    </w:tbl>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594"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center"/>
              <w:rPr>
                <w:rFonts w:hint="default" w:ascii="Times New Roman" w:hAnsi="Times New Roman" w:cs="Times New Roman"/>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重庆市石柱土家族自治县王家乡综合行政执法大队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0.03</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594" w:lineRule="exact"/>
              <w:jc w:val="right"/>
              <w:rPr>
                <w:rFonts w:hint="default" w:ascii="Times New Roman" w:hAnsi="Times New Roman" w:cs="Times New Roman"/>
                <w:color w:val="auto"/>
                <w:sz w:val="16"/>
                <w:szCs w:val="16"/>
              </w:rPr>
            </w:pPr>
          </w:p>
        </w:tc>
      </w:tr>
    </w:tbl>
    <w:p>
      <w:pPr>
        <w:keepNext w:val="0"/>
        <w:keepLines w:val="0"/>
        <w:pageBreakBefore w:val="0"/>
        <w:kinsoku/>
        <w:overflowPunct/>
        <w:topLinePunct w:val="0"/>
        <w:autoSpaceDN/>
        <w:bidi w:val="0"/>
        <w:adjustRightInd/>
        <w:spacing w:line="594"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8</w:t>
                </w:r>
                <w:r>
                  <w:rPr>
                    <w:rFonts w:hint="default"/>
                  </w:rPr>
                  <w:fldChar w:fldCharType="end"/>
                </w:r>
                <w:r>
                  <w:rPr>
                    <w:rFonts w:hint="default"/>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3NTg1MjVkMzA0NGQyMjg1NGVjMDE2NGJjNGNkMT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C17B91"/>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75219F"/>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751C34"/>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11379"/>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BFF611D"/>
    <w:rsid w:val="D5FB562B"/>
    <w:rsid w:val="EFEB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7071</Words>
  <Characters>8383</Characters>
  <Lines>190</Lines>
  <Paragraphs>53</Paragraphs>
  <TotalTime>15</TotalTime>
  <ScaleCrop>false</ScaleCrop>
  <LinksUpToDate>false</LinksUpToDate>
  <CharactersWithSpaces>9389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辰熙</cp:lastModifiedBy>
  <dcterms:modified xsi:type="dcterms:W3CDTF">2024-10-14T17:13:40Z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BB46EABDBB2749749395447164B066B3_12</vt:lpwstr>
  </property>
</Properties>
</file>