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Times New Roman" w:hAnsi="Times New Roman" w:eastAsia="方正小标宋_GBK" w:cs="Times New Roman"/>
          <w:color w:val="auto"/>
          <w:sz w:val="44"/>
          <w:szCs w:val="44"/>
          <w:highlight w:val="none"/>
          <w:shd w:val="clear" w:color="auto" w:fill="FFFFFF"/>
        </w:rPr>
      </w:pPr>
      <w:r>
        <w:rPr>
          <w:rFonts w:hint="default" w:ascii="Times New Roman" w:hAnsi="Times New Roman" w:eastAsia="方正小标宋_GBK" w:cs="Times New Roman"/>
          <w:color w:val="auto"/>
          <w:sz w:val="44"/>
          <w:szCs w:val="44"/>
          <w:highlight w:val="none"/>
        </w:rPr>
        <w:t>重庆市石柱土家族自治县王家乡人民政府（本级）</w:t>
      </w:r>
      <w:r>
        <w:rPr>
          <w:rFonts w:hint="default" w:ascii="Times New Roman" w:hAnsi="Times New Roman" w:eastAsia="方正小标宋_GBK" w:cs="Times New Roman"/>
          <w:color w:val="auto"/>
          <w:sz w:val="44"/>
          <w:szCs w:val="44"/>
          <w:highlight w:val="none"/>
          <w:shd w:val="clear" w:color="auto" w:fill="FFFFFF"/>
        </w:rPr>
        <w:t>2023年度决算公开说明</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Style w:val="12"/>
          <w:rFonts w:hint="default" w:ascii="Times New Roman" w:hAnsi="Times New Roman" w:eastAsia="方正黑体_GBK" w:cs="Times New Roman"/>
          <w:b w:val="0"/>
          <w:bCs/>
          <w:color w:val="auto"/>
          <w:sz w:val="32"/>
          <w:szCs w:val="32"/>
          <w:highlight w:val="none"/>
          <w:shd w:val="clear" w:color="auto" w:fill="FFFFFF"/>
        </w:rPr>
        <w:t>一、单位基本情况</w:t>
      </w:r>
      <w:r>
        <w:rPr>
          <w:rStyle w:val="12"/>
          <w:rFonts w:hint="default" w:ascii="Times New Roman" w:hAnsi="Times New Roman" w:eastAsia="黑体" w:cs="Times New Roman"/>
          <w:color w:val="auto"/>
          <w:sz w:val="32"/>
          <w:szCs w:val="32"/>
          <w:highlight w:val="none"/>
          <w:shd w:val="clear" w:color="auto" w:fill="FFFFFF"/>
          <w:lang w:eastAsia="zh-CN"/>
        </w:rPr>
        <w:tab/>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b w:val="0"/>
          <w:bCs/>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rPr>
        <w:t>（一）职能职责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坚持乡镇促进经济发展、增加农民收入，强化公共服务、着力改善民生，加强社会管理、维护农村稳定，推进基层民主、促进农村和谐的基本职能，坚持党要管党、全面从严治党，切实加强党的政治建设、思想建设、组织建设、作风建设、纪律建设，把制度建设贯穿其中，深入推进反腐败斗争，推动全面从严治党向基层延伸，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强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加强安全生产、食品药品、生态建设、农产品质量安全等监督管理，建立健全隐患排查治理体系和安全预防控制体系。推进基层行政执法体制改革，完善执法保障机制，增强执法监管能力。</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lang w:eastAsia="zh-CN"/>
        </w:rPr>
        <w:t>（</w:t>
      </w:r>
      <w:r>
        <w:rPr>
          <w:rStyle w:val="12"/>
          <w:rFonts w:hint="default" w:ascii="Times New Roman" w:hAnsi="Times New Roman" w:eastAsia="方正楷体_GBK" w:cs="Times New Roman"/>
          <w:b w:val="0"/>
          <w:bCs/>
          <w:color w:val="auto"/>
          <w:sz w:val="32"/>
          <w:szCs w:val="32"/>
          <w:highlight w:val="none"/>
          <w:shd w:val="clear" w:color="auto" w:fill="FFFFFF"/>
        </w:rPr>
        <w:t>二）机构设置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rPr>
        <w:t>据上述职责，石柱县王家乡设置综合办事机构</w:t>
      </w:r>
      <w:r>
        <w:rPr>
          <w:rFonts w:hint="default" w:ascii="Times New Roman" w:hAnsi="Times New Roman" w:eastAsia="宋体" w:cs="Times New Roman"/>
          <w:i w:val="0"/>
          <w:iCs w:val="0"/>
          <w:caps w:val="0"/>
          <w:color w:val="auto"/>
          <w:spacing w:val="0"/>
          <w:sz w:val="31"/>
          <w:szCs w:val="31"/>
          <w:highlight w:val="none"/>
        </w:rPr>
        <w:t>7</w:t>
      </w:r>
      <w:r>
        <w:rPr>
          <w:rFonts w:hint="default" w:ascii="Times New Roman" w:hAnsi="Times New Roman" w:eastAsia="方正仿宋_GBK" w:cs="Times New Roman"/>
          <w:i w:val="0"/>
          <w:iCs w:val="0"/>
          <w:caps w:val="0"/>
          <w:color w:val="auto"/>
          <w:spacing w:val="0"/>
          <w:sz w:val="31"/>
          <w:szCs w:val="31"/>
          <w:highlight w:val="none"/>
        </w:rPr>
        <w:t>个，即党政办公室、党群工作办公室、经济发展办公室（挂统计办公室、农村经营管理办公室、扶贫开发办公室牌子）、民政和社会事务办公室（挂卫生健康办公室牌子）、财政办公室、规划建设管理环保办公室、应急管理办公室（挂平安建设办公室牌子）。</w:t>
      </w:r>
      <w:r>
        <w:rPr>
          <w:rFonts w:hint="default" w:ascii="Times New Roman" w:hAnsi="Times New Roman" w:eastAsia="方正仿宋_GBK" w:cs="Times New Roman"/>
          <w:i w:val="0"/>
          <w:iCs w:val="0"/>
          <w:caps w:val="0"/>
          <w:color w:val="auto"/>
          <w:spacing w:val="0"/>
          <w:sz w:val="31"/>
          <w:szCs w:val="31"/>
          <w:highlight w:val="none"/>
          <w:lang w:val="en-US" w:eastAsia="zh-CN"/>
        </w:rPr>
        <w:t xml:space="preserve"> </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lang w:val="en-US" w:eastAsia="zh-CN"/>
        </w:rPr>
        <w:t xml:space="preserve"> </w:t>
      </w:r>
      <w:r>
        <w:rPr>
          <w:rStyle w:val="12"/>
          <w:rFonts w:hint="default" w:ascii="Times New Roman" w:hAnsi="Times New Roman" w:eastAsia="方正黑体_GBK" w:cs="Times New Roman"/>
          <w:b w:val="0"/>
          <w:bCs/>
          <w:color w:val="auto"/>
          <w:sz w:val="32"/>
          <w:szCs w:val="32"/>
          <w:highlight w:val="none"/>
          <w:shd w:val="clear" w:color="auto" w:fill="FFFFFF"/>
        </w:rPr>
        <w:t>二、单位决算情况说明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2" w:firstLineChars="200"/>
        <w:textAlignment w:val="auto"/>
        <w:rPr>
          <w:rFonts w:hint="default" w:ascii="Times New Roman" w:hAnsi="Times New Roman" w:eastAsia="方正仿宋_GBK" w:cs="Times New Roman"/>
          <w:color w:val="auto"/>
          <w:sz w:val="32"/>
          <w:szCs w:val="32"/>
          <w:highlight w:val="none"/>
          <w:lang w:eastAsia="zh-CN"/>
        </w:rPr>
      </w:pPr>
      <w:r>
        <w:rPr>
          <w:rStyle w:val="12"/>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2023年度收入总计1912.83万元，支出总计</w:t>
      </w:r>
      <w:r>
        <w:rPr>
          <w:rFonts w:hint="default" w:ascii="Times New Roman" w:hAnsi="Times New Roman" w:eastAsia="方正仿宋_GBK" w:cs="Times New Roman"/>
          <w:color w:val="auto"/>
          <w:sz w:val="32"/>
          <w:szCs w:val="32"/>
          <w:highlight w:val="none"/>
        </w:rPr>
        <w:t>1912.83</w:t>
      </w:r>
      <w:r>
        <w:rPr>
          <w:rFonts w:hint="default" w:ascii="Times New Roman" w:hAnsi="Times New Roman" w:eastAsia="方正仿宋_GBK" w:cs="Times New Roman"/>
          <w:color w:val="auto"/>
          <w:sz w:val="32"/>
          <w:szCs w:val="32"/>
          <w:highlight w:val="none"/>
          <w:shd w:val="clear" w:color="auto" w:fill="FFFFFF"/>
        </w:rPr>
        <w:t>万元。收支较上年决算数增加554.60万元，增长40.83%，主要原因是本年基础设施建设类项目增加，如光华村罗田大院传统村落保护发展项目215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2023年度收入合计1912.83万元，较上年决算数增加554.60万元，增长40.83%，主要原因是本年基础设施建设类项目增加，如光华村罗田大院传统村落保护发展项目215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1912.83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1912.83</w:t>
      </w:r>
      <w:r>
        <w:rPr>
          <w:rFonts w:hint="default" w:ascii="Times New Roman" w:hAnsi="Times New Roman" w:eastAsia="方正仿宋_GBK" w:cs="Times New Roman"/>
          <w:color w:val="auto"/>
          <w:sz w:val="32"/>
          <w:szCs w:val="32"/>
          <w:highlight w:val="none"/>
          <w:shd w:val="clear" w:color="auto" w:fill="FFFFFF"/>
        </w:rPr>
        <w:t>万元，较上年决算数增加554.60万元，增长40.83%，主要原因是本年基础设施建设类项目增加，如光华村罗田大院传统村落保护发展项目215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，大堰修复重建项目150万元，商贸中心改造提升项目30万元，农贸市场改造提升项目20万元。其中：基本支出</w:t>
      </w:r>
      <w:r>
        <w:rPr>
          <w:rFonts w:hint="default" w:ascii="Times New Roman" w:hAnsi="Times New Roman" w:eastAsia="方正仿宋_GBK" w:cs="Times New Roman"/>
          <w:color w:val="auto"/>
          <w:sz w:val="32"/>
          <w:szCs w:val="32"/>
          <w:highlight w:val="none"/>
        </w:rPr>
        <w:t>433.16</w:t>
      </w:r>
      <w:r>
        <w:rPr>
          <w:rFonts w:hint="default" w:ascii="Times New Roman" w:hAnsi="Times New Roman" w:eastAsia="方正仿宋_GBK" w:cs="Times New Roman"/>
          <w:color w:val="auto"/>
          <w:sz w:val="32"/>
          <w:szCs w:val="32"/>
          <w:highlight w:val="none"/>
          <w:shd w:val="clear" w:color="auto" w:fill="FFFFFF"/>
        </w:rPr>
        <w:t>万元，占22.64%；项目支出</w:t>
      </w:r>
      <w:r>
        <w:rPr>
          <w:rFonts w:hint="default" w:ascii="Times New Roman" w:hAnsi="Times New Roman" w:eastAsia="方正仿宋_GBK" w:cs="Times New Roman"/>
          <w:color w:val="auto"/>
          <w:sz w:val="32"/>
          <w:szCs w:val="32"/>
          <w:highlight w:val="none"/>
        </w:rPr>
        <w:t>1479.68</w:t>
      </w:r>
      <w:r>
        <w:rPr>
          <w:rFonts w:hint="default" w:ascii="Times New Roman" w:hAnsi="Times New Roman" w:eastAsia="方正仿宋_GBK" w:cs="Times New Roman"/>
          <w:color w:val="auto"/>
          <w:sz w:val="32"/>
          <w:szCs w:val="32"/>
          <w:highlight w:val="none"/>
          <w:shd w:val="clear" w:color="auto" w:fill="FFFFFF"/>
        </w:rPr>
        <w:t>万元，占77.36%；经营支出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Times New Roman"/>
          <w:color w:val="auto"/>
          <w:sz w:val="32"/>
          <w:szCs w:val="32"/>
          <w:highlight w:val="none"/>
          <w:lang w:eastAsia="zh-CN"/>
        </w:rPr>
      </w:pPr>
      <w:r>
        <w:rPr>
          <w:rStyle w:val="12"/>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2023年度财政拨款收、支总计1912.83万元。与2022年相比，财政拨款收、支总计各增加554.60万元，增长40.83%。主要原因是本年基础设施建设类项目增加，如光华村罗田大院传统村落保护发展项目215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1696.51</w:t>
      </w:r>
      <w:r>
        <w:rPr>
          <w:rFonts w:hint="default" w:ascii="Times New Roman" w:hAnsi="Times New Roman" w:eastAsia="方正仿宋_GBK" w:cs="Times New Roman"/>
          <w:color w:val="auto"/>
          <w:sz w:val="32"/>
          <w:szCs w:val="32"/>
          <w:highlight w:val="none"/>
          <w:shd w:val="clear" w:color="auto" w:fill="FFFFFF"/>
        </w:rPr>
        <w:t>万元，较上年决算数增加346.15万元，增长25.63%。主要原因是本年基础设施建设类项目增加，如光华村罗田大院传统村落保护发展项目215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较年初预算数增加1222.51万元，增长257.91%。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1696.51</w:t>
      </w:r>
      <w:r>
        <w:rPr>
          <w:rFonts w:hint="default" w:ascii="Times New Roman" w:hAnsi="Times New Roman" w:eastAsia="方正仿宋_GBK" w:cs="Times New Roman"/>
          <w:color w:val="auto"/>
          <w:sz w:val="32"/>
          <w:szCs w:val="32"/>
          <w:highlight w:val="none"/>
          <w:shd w:val="clear" w:color="auto" w:fill="FFFFFF"/>
        </w:rPr>
        <w:t>万元，较上年决算数增加346.15万元，增长25.63%。主要原因是本年基础设施建设类项目增加，如光华村罗田大院传统村落保护发展项目215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较年初预算数增加1222.51万元，增长257.91%。主要原因是本年基础设施建设类项目增加，如光华村罗田大院传统村落保护发展项目215</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color w:val="auto"/>
          <w:sz w:val="32"/>
          <w:szCs w:val="32"/>
          <w:highlight w:val="none"/>
          <w:shd w:val="clear" w:color="auto" w:fill="FFFFFF"/>
        </w:rPr>
        <w:t>，大堰修复重建项目150万元，商贸中心改造提升项目30万元，农贸市场改造提升项目20万元。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358.46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21.13</w:t>
      </w:r>
      <w:r>
        <w:rPr>
          <w:rFonts w:hint="default" w:ascii="Times New Roman" w:hAnsi="Times New Roman" w:eastAsia="方正仿宋_GBK" w:cs="Times New Roman"/>
          <w:color w:val="auto"/>
          <w:sz w:val="32"/>
          <w:szCs w:val="32"/>
          <w:highlight w:val="none"/>
          <w:shd w:val="clear" w:color="auto" w:fill="FFFFFF"/>
        </w:rPr>
        <w:t>%，较年初预算数增加144.63万元，增长67.64%，</w:t>
      </w:r>
      <w:r>
        <w:rPr>
          <w:rFonts w:hint="default" w:ascii="Times New Roman" w:hAnsi="Times New Roman" w:eastAsia="方正仿宋_GBK" w:cs="Times New Roman"/>
          <w:sz w:val="32"/>
          <w:szCs w:val="32"/>
          <w:highlight w:val="none"/>
          <w:lang w:val="en-US" w:eastAsia="zh-CN"/>
        </w:rPr>
        <w:t>主要原因是人员增加，</w:t>
      </w:r>
      <w:r>
        <w:rPr>
          <w:rFonts w:hint="default" w:ascii="Times New Roman" w:hAnsi="Times New Roman" w:eastAsia="方正仿宋_GBK" w:cs="Times New Roman"/>
          <w:sz w:val="32"/>
          <w:szCs w:val="32"/>
          <w:highlight w:val="none"/>
        </w:rPr>
        <w:t>人员经费支出增加</w:t>
      </w:r>
      <w:r>
        <w:rPr>
          <w:rFonts w:hint="default" w:ascii="Times New Roman" w:hAnsi="Times New Roman" w:eastAsia="方正仿宋_GBK" w:cs="Times New Roman"/>
          <w:sz w:val="32"/>
          <w:szCs w:val="32"/>
          <w:highlight w:val="none"/>
          <w:lang w:val="en-US" w:eastAsia="zh-CN"/>
        </w:rPr>
        <w:t>及会议费、培训费等商品和服务支出增加。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101.68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5.99</w:t>
      </w:r>
      <w:r>
        <w:rPr>
          <w:rFonts w:hint="default" w:ascii="Times New Roman" w:hAnsi="Times New Roman" w:eastAsia="方正仿宋_GBK" w:cs="Times New Roman"/>
          <w:color w:val="auto"/>
          <w:sz w:val="32"/>
          <w:szCs w:val="32"/>
          <w:highlight w:val="none"/>
          <w:shd w:val="clear" w:color="auto" w:fill="FFFFFF"/>
        </w:rPr>
        <w:t>%，较年初预算数增加65.75万元，增长182.99%，</w:t>
      </w:r>
      <w:r>
        <w:rPr>
          <w:rFonts w:hint="default" w:ascii="Times New Roman" w:hAnsi="Times New Roman" w:eastAsia="方正仿宋_GBK" w:cs="Times New Roman"/>
          <w:sz w:val="32"/>
          <w:szCs w:val="32"/>
          <w:highlight w:val="none"/>
        </w:rPr>
        <w:t>主要原因是退休人员健康休养费支出增加</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职业年金增加等</w:t>
      </w:r>
      <w:r>
        <w:rPr>
          <w:rFonts w:hint="default" w:ascii="Times New Roman" w:hAnsi="Times New Roman" w:eastAsia="方正仿宋_GBK" w:cs="Times New Roman"/>
          <w:sz w:val="32"/>
          <w:szCs w:val="32"/>
          <w:highlight w:val="none"/>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21.09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1.24</w:t>
      </w:r>
      <w:r>
        <w:rPr>
          <w:rFonts w:hint="default" w:ascii="Times New Roman" w:hAnsi="Times New Roman" w:eastAsia="方正仿宋_GBK" w:cs="Times New Roman"/>
          <w:color w:val="auto"/>
          <w:sz w:val="32"/>
          <w:szCs w:val="32"/>
          <w:highlight w:val="none"/>
          <w:shd w:val="clear" w:color="auto" w:fill="FFFFFF"/>
        </w:rPr>
        <w:t>%，较年初预算数增加6.86万元，增长48.21%，</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val="en-US" w:eastAsia="zh-CN"/>
        </w:rPr>
        <w:t>是医保支出增加</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）节能环保支出</w:t>
      </w:r>
      <w:r>
        <w:rPr>
          <w:rFonts w:hint="default" w:ascii="Times New Roman" w:hAnsi="Times New Roman" w:eastAsia="方正仿宋_GBK" w:cs="Times New Roman"/>
          <w:color w:val="auto"/>
          <w:sz w:val="32"/>
          <w:szCs w:val="32"/>
          <w:highlight w:val="none"/>
        </w:rPr>
        <w:t>5.34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0.31</w:t>
      </w:r>
      <w:r>
        <w:rPr>
          <w:rFonts w:hint="default" w:ascii="Times New Roman" w:hAnsi="Times New Roman" w:eastAsia="方正仿宋_GBK" w:cs="Times New Roman"/>
          <w:color w:val="auto"/>
          <w:sz w:val="32"/>
          <w:szCs w:val="32"/>
          <w:highlight w:val="none"/>
          <w:shd w:val="clear" w:color="auto" w:fill="FFFFFF"/>
        </w:rPr>
        <w:t>%，较年初预算数增加5.34万元，增长100.00%，</w:t>
      </w:r>
      <w:r>
        <w:rPr>
          <w:rFonts w:hint="default" w:ascii="Times New Roman" w:hAnsi="Times New Roman" w:eastAsia="方正仿宋_GBK" w:cs="Times New Roman"/>
          <w:sz w:val="32"/>
          <w:szCs w:val="32"/>
          <w:highlight w:val="none"/>
          <w:lang w:val="en-US" w:eastAsia="zh-CN"/>
        </w:rPr>
        <w:t>主要原因是增加农村垃圾分类指导员工资以及垃圾分类亭建设等。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18.62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1.10</w:t>
      </w:r>
      <w:r>
        <w:rPr>
          <w:rFonts w:hint="default" w:ascii="Times New Roman" w:hAnsi="Times New Roman" w:eastAsia="方正仿宋_GBK" w:cs="Times New Roman"/>
          <w:color w:val="auto"/>
          <w:sz w:val="32"/>
          <w:szCs w:val="32"/>
          <w:highlight w:val="none"/>
          <w:shd w:val="clear" w:color="auto" w:fill="FFFFFF"/>
        </w:rPr>
        <w:t>%，较年初预算数增加18.62万元，增长100.00%，</w:t>
      </w:r>
      <w:r>
        <w:rPr>
          <w:rFonts w:hint="default" w:ascii="Times New Roman" w:hAnsi="Times New Roman" w:eastAsia="方正仿宋_GBK" w:cs="Times New Roman"/>
          <w:sz w:val="32"/>
          <w:szCs w:val="32"/>
          <w:highlight w:val="none"/>
          <w:lang w:val="en-US" w:eastAsia="zh-CN"/>
        </w:rPr>
        <w:t>主要原因是</w:t>
      </w:r>
      <w:r>
        <w:rPr>
          <w:rFonts w:hint="default" w:ascii="Times New Roman" w:hAnsi="Times New Roman" w:eastAsia="方正仿宋_GBK" w:cs="Times New Roman"/>
          <w:sz w:val="32"/>
          <w:szCs w:val="32"/>
          <w:highlight w:val="none"/>
        </w:rPr>
        <w:t>农村生活垃圾收运补助</w:t>
      </w:r>
      <w:r>
        <w:rPr>
          <w:rFonts w:hint="default" w:ascii="Times New Roman" w:hAnsi="Times New Roman" w:eastAsia="方正仿宋_GBK" w:cs="Times New Roman"/>
          <w:sz w:val="32"/>
          <w:szCs w:val="32"/>
          <w:highlight w:val="none"/>
          <w:lang w:eastAsia="zh-CN"/>
        </w:rPr>
        <w:t>、乡镇场镇市政管理</w:t>
      </w:r>
      <w:r>
        <w:rPr>
          <w:rFonts w:hint="default" w:ascii="Times New Roman" w:hAnsi="Times New Roman" w:eastAsia="方正仿宋_GBK" w:cs="Times New Roman"/>
          <w:sz w:val="32"/>
          <w:szCs w:val="32"/>
          <w:highlight w:val="none"/>
          <w:lang w:val="en-US" w:eastAsia="zh-CN"/>
        </w:rPr>
        <w:t>等项目增加。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981.07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57.83</w:t>
      </w:r>
      <w:r>
        <w:rPr>
          <w:rFonts w:hint="default" w:ascii="Times New Roman" w:hAnsi="Times New Roman" w:eastAsia="方正仿宋_GBK" w:cs="Times New Roman"/>
          <w:color w:val="auto"/>
          <w:sz w:val="32"/>
          <w:szCs w:val="32"/>
          <w:highlight w:val="none"/>
          <w:shd w:val="clear" w:color="auto" w:fill="FFFFFF"/>
        </w:rPr>
        <w:t>%，较年初预算数增加786.14万元，增长403.29%，</w:t>
      </w:r>
      <w:r>
        <w:rPr>
          <w:rFonts w:hint="default" w:ascii="Times New Roman" w:hAnsi="Times New Roman" w:eastAsia="方正仿宋_GBK" w:cs="Times New Roman"/>
          <w:sz w:val="32"/>
          <w:szCs w:val="32"/>
          <w:highlight w:val="none"/>
          <w:lang w:val="en-US" w:eastAsia="zh-CN"/>
        </w:rPr>
        <w:t>主要原因是</w:t>
      </w:r>
      <w:r>
        <w:rPr>
          <w:rFonts w:hint="default" w:ascii="Times New Roman" w:hAnsi="Times New Roman" w:eastAsia="方正仿宋_GBK" w:cs="Times New Roman"/>
          <w:sz w:val="32"/>
          <w:szCs w:val="32"/>
          <w:highlight w:val="none"/>
        </w:rPr>
        <w:t>村级防疫员劳务费项目</w:t>
      </w:r>
      <w:r>
        <w:rPr>
          <w:rFonts w:hint="default" w:ascii="Times New Roman" w:hAnsi="Times New Roman" w:eastAsia="方正仿宋_GBK" w:cs="Times New Roman"/>
          <w:sz w:val="32"/>
          <w:szCs w:val="32"/>
          <w:highlight w:val="none"/>
          <w:lang w:eastAsia="zh-CN"/>
        </w:rPr>
        <w:t>、农业生产救灾资金、天保护林员管护资金、松材线虫病防治专项资金、农村基础设施建设</w:t>
      </w:r>
      <w:r>
        <w:rPr>
          <w:rFonts w:hint="default" w:ascii="Times New Roman" w:hAnsi="Times New Roman" w:eastAsia="方正仿宋_GBK" w:cs="Times New Roman"/>
          <w:sz w:val="32"/>
          <w:szCs w:val="32"/>
          <w:highlight w:val="none"/>
        </w:rPr>
        <w:t>项目等项目支出增</w:t>
      </w:r>
      <w:r>
        <w:rPr>
          <w:rFonts w:hint="default" w:ascii="Times New Roman" w:hAnsi="Times New Roman" w:eastAsia="方正仿宋_GBK" w:cs="Times New Roman"/>
          <w:sz w:val="32"/>
          <w:szCs w:val="32"/>
          <w:highlight w:val="none"/>
          <w:lang w:val="en-US" w:eastAsia="zh-CN"/>
        </w:rPr>
        <w:t>加</w:t>
      </w:r>
      <w:r>
        <w:rPr>
          <w:rFonts w:hint="default" w:ascii="Times New Roman" w:hAnsi="Times New Roman" w:eastAsia="方正仿宋_GBK" w:cs="Times New Roman"/>
          <w:sz w:val="32"/>
          <w:szCs w:val="32"/>
          <w:highlight w:val="none"/>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rPr>
        <w:t>）交通运输支出</w:t>
      </w:r>
      <w:r>
        <w:rPr>
          <w:rFonts w:hint="default" w:ascii="Times New Roman" w:hAnsi="Times New Roman" w:eastAsia="方正仿宋_GBK" w:cs="Times New Roman"/>
          <w:color w:val="auto"/>
          <w:sz w:val="32"/>
          <w:szCs w:val="32"/>
          <w:highlight w:val="none"/>
        </w:rPr>
        <w:t>113.59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6.70</w:t>
      </w:r>
      <w:r>
        <w:rPr>
          <w:rFonts w:hint="default" w:ascii="Times New Roman" w:hAnsi="Times New Roman" w:eastAsia="方正仿宋_GBK" w:cs="Times New Roman"/>
          <w:color w:val="auto"/>
          <w:sz w:val="32"/>
          <w:szCs w:val="32"/>
          <w:highlight w:val="none"/>
          <w:shd w:val="clear" w:color="auto" w:fill="FFFFFF"/>
        </w:rPr>
        <w:t>%，较年初预算数增加113.59万元，增长100.00%，</w:t>
      </w:r>
      <w:r>
        <w:rPr>
          <w:rFonts w:hint="default" w:ascii="Times New Roman" w:hAnsi="Times New Roman" w:eastAsia="方正仿宋_GBK" w:cs="Times New Roman"/>
          <w:sz w:val="32"/>
          <w:szCs w:val="32"/>
          <w:highlight w:val="none"/>
          <w:lang w:val="en-US" w:eastAsia="zh-CN"/>
        </w:rPr>
        <w:t>主要原因是</w:t>
      </w:r>
      <w:r>
        <w:rPr>
          <w:rFonts w:hint="default" w:ascii="Times New Roman" w:hAnsi="Times New Roman" w:eastAsia="方正仿宋_GBK" w:cs="Times New Roman"/>
          <w:sz w:val="32"/>
          <w:szCs w:val="32"/>
          <w:highlight w:val="none"/>
        </w:rPr>
        <w:t>农村公路</w:t>
      </w:r>
      <w:r>
        <w:rPr>
          <w:rFonts w:hint="default" w:ascii="Times New Roman" w:hAnsi="Times New Roman" w:eastAsia="方正仿宋_GBK" w:cs="Times New Roman"/>
          <w:sz w:val="32"/>
          <w:szCs w:val="32"/>
          <w:highlight w:val="none"/>
          <w:lang w:val="en-US" w:eastAsia="zh-CN"/>
        </w:rPr>
        <w:t>建设、</w:t>
      </w:r>
      <w:r>
        <w:rPr>
          <w:rFonts w:hint="default" w:ascii="Times New Roman" w:hAnsi="Times New Roman" w:eastAsia="方正仿宋_GBK" w:cs="Times New Roman"/>
          <w:sz w:val="32"/>
          <w:szCs w:val="32"/>
          <w:highlight w:val="none"/>
        </w:rPr>
        <w:t>养护经费</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公路基础设施建设等项目支出增加。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8</w:t>
      </w:r>
      <w:r>
        <w:rPr>
          <w:rFonts w:hint="default" w:ascii="Times New Roman" w:hAnsi="Times New Roman" w:eastAsia="方正仿宋_GBK" w:cs="Times New Roman"/>
          <w:color w:val="auto"/>
          <w:sz w:val="32"/>
          <w:szCs w:val="32"/>
          <w:highlight w:val="none"/>
          <w:shd w:val="clear" w:color="auto" w:fill="FFFFFF"/>
        </w:rPr>
        <w:t>）商业服务业等支出</w:t>
      </w:r>
      <w:r>
        <w:rPr>
          <w:rFonts w:hint="default" w:ascii="Times New Roman" w:hAnsi="Times New Roman" w:eastAsia="方正仿宋_GBK" w:cs="Times New Roman"/>
          <w:color w:val="auto"/>
          <w:sz w:val="32"/>
          <w:szCs w:val="32"/>
          <w:highlight w:val="none"/>
        </w:rPr>
        <w:t>50.00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2.95</w:t>
      </w:r>
      <w:r>
        <w:rPr>
          <w:rFonts w:hint="default" w:ascii="Times New Roman" w:hAnsi="Times New Roman" w:eastAsia="方正仿宋_GBK" w:cs="Times New Roman"/>
          <w:color w:val="auto"/>
          <w:sz w:val="32"/>
          <w:szCs w:val="32"/>
          <w:highlight w:val="none"/>
          <w:shd w:val="clear" w:color="auto" w:fill="FFFFFF"/>
        </w:rPr>
        <w:t>%，较年初预算数增加50.00万元，增长100.00%，</w:t>
      </w:r>
      <w:r>
        <w:rPr>
          <w:rFonts w:hint="default" w:ascii="Times New Roman" w:hAnsi="Times New Roman" w:eastAsia="方正仿宋_GBK" w:cs="Times New Roman"/>
          <w:sz w:val="32"/>
          <w:szCs w:val="32"/>
          <w:highlight w:val="none"/>
          <w:lang w:val="en-US" w:eastAsia="zh-CN"/>
        </w:rPr>
        <w:t>主要原因是增加农贸市场项目。</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（9）</w:t>
      </w:r>
      <w:r>
        <w:rPr>
          <w:rFonts w:hint="default" w:ascii="Times New Roman" w:hAnsi="Times New Roman" w:eastAsia="方正仿宋_GBK" w:cs="Times New Roman"/>
          <w:color w:val="auto"/>
          <w:sz w:val="32"/>
          <w:szCs w:val="32"/>
          <w:highlight w:val="none"/>
        </w:rPr>
        <w:t>住房保障支出26.29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1.55</w:t>
      </w:r>
      <w:r>
        <w:rPr>
          <w:rFonts w:hint="default" w:ascii="Times New Roman" w:hAnsi="Times New Roman" w:eastAsia="方正仿宋_GBK" w:cs="Times New Roman"/>
          <w:color w:val="auto"/>
          <w:sz w:val="32"/>
          <w:szCs w:val="32"/>
          <w:highlight w:val="none"/>
          <w:shd w:val="clear" w:color="auto" w:fill="FFFFFF"/>
        </w:rPr>
        <w:t>%，较年初预算数增加11.21万元，增长74.34%，</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val="en-US" w:eastAsia="zh-CN"/>
        </w:rPr>
        <w:t xml:space="preserve">是人员工资调标。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10</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灾害防治及应急管理支出20.38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1.20</w:t>
      </w:r>
      <w:r>
        <w:rPr>
          <w:rFonts w:hint="default" w:ascii="Times New Roman" w:hAnsi="Times New Roman" w:eastAsia="方正仿宋_GBK" w:cs="Times New Roman"/>
          <w:color w:val="auto"/>
          <w:sz w:val="32"/>
          <w:szCs w:val="32"/>
          <w:highlight w:val="none"/>
          <w:shd w:val="clear" w:color="auto" w:fill="FFFFFF"/>
        </w:rPr>
        <w:t>%，较年初预算数增加20.38万元，增长100.00%，</w:t>
      </w:r>
      <w:r>
        <w:rPr>
          <w:rFonts w:hint="default" w:ascii="Times New Roman" w:hAnsi="Times New Roman" w:eastAsia="方正仿宋_GBK" w:cs="Times New Roman"/>
          <w:sz w:val="32"/>
          <w:szCs w:val="32"/>
          <w:highlight w:val="none"/>
          <w:lang w:val="en-US" w:eastAsia="zh-CN"/>
        </w:rPr>
        <w:t>主要原因是增加农村防汛抗旱的支出。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433.16</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372.41</w:t>
      </w:r>
      <w:r>
        <w:rPr>
          <w:rFonts w:hint="default" w:ascii="Times New Roman" w:hAnsi="Times New Roman" w:eastAsia="方正仿宋_GBK" w:cs="Times New Roman"/>
          <w:color w:val="auto"/>
          <w:sz w:val="32"/>
          <w:szCs w:val="32"/>
          <w:highlight w:val="none"/>
          <w:shd w:val="clear" w:color="auto" w:fill="FFFFFF"/>
        </w:rPr>
        <w:t>万元，较上年决算数增加33.07万元，增长9.75%，主要原因是工资调标，准备期职业年金补发，导致基本支出增加。人员经费用途主要包括</w:t>
      </w:r>
      <w:r>
        <w:rPr>
          <w:rFonts w:hint="default" w:ascii="Times New Roman" w:hAnsi="Times New Roman" w:eastAsia="方正仿宋_GBK" w:cs="Times New Roman"/>
          <w:i w:val="0"/>
          <w:iCs w:val="0"/>
          <w:caps w:val="0"/>
          <w:color w:val="000000"/>
          <w:spacing w:val="0"/>
          <w:sz w:val="31"/>
          <w:szCs w:val="31"/>
          <w:highlight w:val="none"/>
          <w:shd w:val="clear" w:fill="FFFFFF"/>
        </w:rPr>
        <w:t>基本工资、津贴补贴、奖金、社会保障缴费、其他工资福利支出</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60.74</w:t>
      </w:r>
      <w:r>
        <w:rPr>
          <w:rFonts w:hint="default" w:ascii="Times New Roman" w:hAnsi="Times New Roman" w:eastAsia="方正仿宋_GBK" w:cs="Times New Roman"/>
          <w:color w:val="auto"/>
          <w:sz w:val="32"/>
          <w:szCs w:val="32"/>
          <w:highlight w:val="none"/>
          <w:shd w:val="clear" w:color="auto" w:fill="FFFFFF"/>
        </w:rPr>
        <w:t>万元，较上年决算数增加3.96万元，增长6.97%，主要原因是2023年新招录一名公务员，人员增加，导致公用经费增加。公用经费用途主要包括</w:t>
      </w:r>
      <w:r>
        <w:rPr>
          <w:rFonts w:hint="default" w:ascii="Times New Roman" w:hAnsi="Times New Roman" w:eastAsia="方正仿宋_GBK" w:cs="Times New Roman"/>
          <w:i w:val="0"/>
          <w:iCs w:val="0"/>
          <w:caps w:val="0"/>
          <w:color w:val="000000"/>
          <w:spacing w:val="0"/>
          <w:sz w:val="31"/>
          <w:szCs w:val="31"/>
          <w:highlight w:val="none"/>
          <w:shd w:val="clear" w:fill="FFFFFF"/>
        </w:rPr>
        <w:t>办公费、印刷费、咨询费、手续费、公务接待费、公务车辆运行费、差旅费等。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万元，年末结转结余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万元。本年收入</w:t>
      </w:r>
      <w:r>
        <w:rPr>
          <w:rFonts w:hint="default" w:ascii="Times New Roman" w:hAnsi="Times New Roman" w:eastAsia="方正仿宋_GBK" w:cs="Times New Roman"/>
          <w:color w:val="auto"/>
          <w:sz w:val="32"/>
          <w:szCs w:val="32"/>
          <w:highlight w:val="none"/>
        </w:rPr>
        <w:t>216.32</w:t>
      </w:r>
      <w:r>
        <w:rPr>
          <w:rFonts w:hint="default" w:ascii="Times New Roman" w:hAnsi="Times New Roman" w:eastAsia="方正仿宋_GBK" w:cs="Times New Roman"/>
          <w:color w:val="auto"/>
          <w:sz w:val="32"/>
          <w:szCs w:val="32"/>
          <w:highlight w:val="none"/>
          <w:shd w:val="clear" w:color="auto" w:fill="FFFFFF"/>
        </w:rPr>
        <w:t>万元，较上年决算数增加208.45万元，增长2648.67%，主要原因是本年基础设施建设类项目增加，如光华村罗田大院传统村落保护发展项目215万，导致政府性基金预算财政拨款收入增加。本年支出</w:t>
      </w:r>
      <w:r>
        <w:rPr>
          <w:rFonts w:hint="default" w:ascii="Times New Roman" w:hAnsi="Times New Roman" w:eastAsia="方正仿宋_GBK" w:cs="Times New Roman"/>
          <w:color w:val="auto"/>
          <w:sz w:val="32"/>
          <w:szCs w:val="32"/>
          <w:highlight w:val="none"/>
        </w:rPr>
        <w:t>216.32</w:t>
      </w:r>
      <w:r>
        <w:rPr>
          <w:rFonts w:hint="default" w:ascii="Times New Roman" w:hAnsi="Times New Roman" w:eastAsia="方正仿宋_GBK" w:cs="Times New Roman"/>
          <w:color w:val="auto"/>
          <w:sz w:val="32"/>
          <w:szCs w:val="32"/>
          <w:highlight w:val="none"/>
          <w:shd w:val="clear" w:color="auto" w:fill="FFFFFF"/>
        </w:rPr>
        <w:t>万元，较上年决算数增加208.45万元，增长2648.67%，主要原因是本年基础设施建设类项目增加，如光华村罗田大院传统村落保护发展项目215万，导致政府性基金预算财政拨款收入增加。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i w:val="0"/>
          <w:iCs w:val="0"/>
          <w:caps w:val="0"/>
          <w:color w:val="000000"/>
          <w:spacing w:val="0"/>
          <w:sz w:val="31"/>
          <w:szCs w:val="31"/>
          <w:highlight w:val="none"/>
          <w:shd w:val="clear" w:fill="FFFFFF"/>
        </w:rPr>
        <w:t>本单位</w:t>
      </w:r>
      <w:r>
        <w:rPr>
          <w:rFonts w:hint="default" w:ascii="Times New Roman" w:hAnsi="Times New Roman" w:eastAsia="宋体" w:cs="Times New Roman"/>
          <w:i w:val="0"/>
          <w:iCs w:val="0"/>
          <w:caps w:val="0"/>
          <w:color w:val="000000"/>
          <w:spacing w:val="0"/>
          <w:sz w:val="31"/>
          <w:szCs w:val="31"/>
          <w:highlight w:val="none"/>
          <w:shd w:val="clear" w:fill="FFFFFF"/>
        </w:rPr>
        <w:t>202</w:t>
      </w:r>
      <w:r>
        <w:rPr>
          <w:rFonts w:hint="default" w:ascii="Times New Roman" w:hAnsi="Times New Roman" w:cs="Times New Roman"/>
          <w:i w:val="0"/>
          <w:iCs w:val="0"/>
          <w:caps w:val="0"/>
          <w:color w:val="000000"/>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000000"/>
          <w:spacing w:val="0"/>
          <w:sz w:val="31"/>
          <w:szCs w:val="31"/>
          <w:highlight w:val="none"/>
          <w:shd w:val="clear" w:fill="FFFFFF"/>
        </w:rPr>
        <w:t>年度无国有资本经营预算财政拨款支出。</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rPr>
        <w:t>三、“三公”经费情况说明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 xml:space="preserve"> （一）“三公”经费支出总体情况说明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6.00</w:t>
      </w:r>
      <w:r>
        <w:rPr>
          <w:rFonts w:hint="default" w:ascii="Times New Roman" w:hAnsi="Times New Roman" w:eastAsia="方正仿宋_GBK" w:cs="Times New Roman"/>
          <w:color w:val="auto"/>
          <w:sz w:val="32"/>
          <w:szCs w:val="32"/>
          <w:highlight w:val="none"/>
          <w:shd w:val="clear" w:color="auto" w:fill="FFFFFF"/>
        </w:rPr>
        <w:t>万元，较年初预算数无增减，主要原因是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严格按照预算执行</w:t>
      </w:r>
      <w:r>
        <w:rPr>
          <w:rFonts w:hint="default" w:ascii="Times New Roman" w:hAnsi="Times New Roman" w:eastAsia="方正仿宋_GBK" w:cs="Times New Roman"/>
          <w:color w:val="auto"/>
          <w:sz w:val="32"/>
          <w:szCs w:val="32"/>
          <w:highlight w:val="none"/>
          <w:shd w:val="clear" w:color="auto" w:fill="FFFFFF"/>
        </w:rPr>
        <w:t>。较上年支出数减少2.63万元，下降30.48%，主要原因是厉行节约，严格控制三公经费的支出，减少不必要开支。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（二）“三公”经费分项支出情况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highlight w:val="none"/>
        </w:rPr>
      </w:pP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本单位</w:t>
      </w:r>
      <w:r>
        <w:rPr>
          <w:rFonts w:hint="default" w:ascii="Times New Roman" w:hAnsi="Times New Roman" w:eastAsia="微软雅黑" w:cs="Times New Roman"/>
          <w:i w:val="0"/>
          <w:iCs w:val="0"/>
          <w:caps w:val="0"/>
          <w:color w:val="000000"/>
          <w:spacing w:val="0"/>
          <w:sz w:val="31"/>
          <w:szCs w:val="31"/>
          <w:highlight w:val="none"/>
          <w:shd w:val="clear" w:fill="FFFFFF"/>
          <w:vertAlign w:val="baseline"/>
        </w:rPr>
        <w:t>202</w:t>
      </w:r>
      <w:r>
        <w:rPr>
          <w:rFonts w:hint="default" w:ascii="Times New Roman" w:hAnsi="Times New Roman" w:eastAsia="微软雅黑" w:cs="Times New Roman"/>
          <w:i w:val="0"/>
          <w:iCs w:val="0"/>
          <w:caps w:val="0"/>
          <w:color w:val="000000"/>
          <w:spacing w:val="0"/>
          <w:sz w:val="31"/>
          <w:szCs w:val="31"/>
          <w:highlight w:val="none"/>
          <w:shd w:val="clear" w:fill="FFFFFF"/>
          <w:vertAlign w:val="baseline"/>
          <w:lang w:val="en-US" w:eastAsia="zh-CN"/>
        </w:rPr>
        <w:t>3</w:t>
      </w: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年度未发生因公出国费用支出。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highlight w:val="none"/>
        </w:rPr>
      </w:pP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本单位</w:t>
      </w:r>
      <w:r>
        <w:rPr>
          <w:rFonts w:hint="default" w:ascii="Times New Roman" w:hAnsi="Times New Roman" w:eastAsia="微软雅黑" w:cs="Times New Roman"/>
          <w:i w:val="0"/>
          <w:iCs w:val="0"/>
          <w:caps w:val="0"/>
          <w:color w:val="000000"/>
          <w:spacing w:val="0"/>
          <w:sz w:val="31"/>
          <w:szCs w:val="31"/>
          <w:highlight w:val="none"/>
          <w:shd w:val="clear" w:fill="FFFFFF"/>
          <w:vertAlign w:val="baseline"/>
        </w:rPr>
        <w:t>202</w:t>
      </w:r>
      <w:r>
        <w:rPr>
          <w:rFonts w:hint="default" w:ascii="Times New Roman" w:hAnsi="Times New Roman" w:eastAsia="微软雅黑" w:cs="Times New Roman"/>
          <w:i w:val="0"/>
          <w:iCs w:val="0"/>
          <w:caps w:val="0"/>
          <w:color w:val="000000"/>
          <w:spacing w:val="0"/>
          <w:sz w:val="31"/>
          <w:szCs w:val="31"/>
          <w:highlight w:val="none"/>
          <w:shd w:val="clear" w:fill="FFFFFF"/>
          <w:vertAlign w:val="baseline"/>
          <w:lang w:val="en-US" w:eastAsia="zh-CN"/>
        </w:rPr>
        <w:t>3</w:t>
      </w: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年度未发生公务车购置费用支出。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6.00</w:t>
      </w:r>
      <w:r>
        <w:rPr>
          <w:rFonts w:hint="default" w:ascii="Times New Roman" w:hAnsi="Times New Roman" w:eastAsia="方正仿宋_GBK" w:cs="Times New Roman"/>
          <w:color w:val="auto"/>
          <w:sz w:val="32"/>
          <w:szCs w:val="32"/>
          <w:highlight w:val="none"/>
          <w:shd w:val="clear" w:color="auto" w:fill="FFFFFF"/>
        </w:rPr>
        <w:t>万元，主要用于</w:t>
      </w:r>
      <w:r>
        <w:rPr>
          <w:rFonts w:hint="default" w:ascii="Times New Roman" w:hAnsi="Times New Roman" w:eastAsia="方正仿宋_GBK" w:cs="Times New Roman"/>
          <w:i w:val="0"/>
          <w:iCs w:val="0"/>
          <w:caps w:val="0"/>
          <w:color w:val="000000"/>
          <w:spacing w:val="0"/>
          <w:sz w:val="31"/>
          <w:szCs w:val="31"/>
          <w:highlight w:val="none"/>
          <w:shd w:val="clear" w:fill="FFFFFF"/>
        </w:rPr>
        <w:t>主要领导到县城参加会议、各业务分管领导到辖区内各村指导检查工作所需车辆的燃料费、维修费、过桥过路费、保险费等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。费用支出较年初预算数无增减，主要原因是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严格按照预算执行</w:t>
      </w:r>
      <w:r>
        <w:rPr>
          <w:rFonts w:hint="default" w:ascii="Times New Roman" w:hAnsi="Times New Roman" w:eastAsia="方正仿宋_GBK" w:cs="Times New Roman"/>
          <w:color w:val="auto"/>
          <w:sz w:val="32"/>
          <w:szCs w:val="32"/>
          <w:highlight w:val="none"/>
          <w:shd w:val="clear" w:color="auto" w:fill="FFFFFF"/>
        </w:rPr>
        <w:t>。较上年支出数增加0.50万元，增长9.09%，主要原因是因公务用车使用年限已久，2023年进行一次大修，导致公务车运行维护费增加。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万元，主要用</w:t>
      </w:r>
      <w:r>
        <w:rPr>
          <w:rFonts w:hint="default" w:ascii="Times New Roman" w:hAnsi="Times New Roman" w:eastAsia="方正仿宋_GBK" w:cs="Times New Roman"/>
          <w:i w:val="0"/>
          <w:iCs w:val="0"/>
          <w:caps w:val="0"/>
          <w:color w:val="000000"/>
          <w:spacing w:val="0"/>
          <w:sz w:val="31"/>
          <w:szCs w:val="31"/>
          <w:highlight w:val="none"/>
          <w:shd w:val="clear" w:fill="FFFFFF"/>
        </w:rPr>
        <w:t>于接待乡村振兴、各科室对接县级部门到乡镇检查指导工作发生的接待支出</w:t>
      </w:r>
      <w:r>
        <w:rPr>
          <w:rFonts w:hint="default" w:ascii="Times New Roman" w:hAnsi="Times New Roman" w:eastAsia="方正仿宋_GBK" w:cs="Times New Roman"/>
          <w:color w:val="auto"/>
          <w:sz w:val="32"/>
          <w:szCs w:val="32"/>
          <w:highlight w:val="none"/>
          <w:shd w:val="clear" w:color="auto" w:fill="FFFFFF"/>
        </w:rPr>
        <w:t>。费用支出较年初预算数无增减，主要原因是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严格按照预算执行</w:t>
      </w:r>
      <w:r>
        <w:rPr>
          <w:rFonts w:hint="default" w:ascii="Times New Roman" w:hAnsi="Times New Roman" w:eastAsia="方正仿宋_GBK" w:cs="Times New Roman"/>
          <w:color w:val="auto"/>
          <w:sz w:val="32"/>
          <w:szCs w:val="32"/>
          <w:highlight w:val="none"/>
          <w:shd w:val="clear" w:color="auto" w:fill="FFFFFF"/>
        </w:rPr>
        <w:t>。较上年支出数减少3.13万元，下降100.00%，主要原因是厉行节约，2023年减少公务接待，严格控制三公经费的支出，减少不必要开支。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3.00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rPr>
        <w:t>四、其他需要说明的事项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Style w:val="12"/>
          <w:rFonts w:hint="default" w:ascii="Times New Roman" w:hAnsi="Times New Roman" w:eastAsia="方正楷体_GBK" w:cs="Times New Roman"/>
          <w:color w:val="auto"/>
          <w:sz w:val="32"/>
          <w:szCs w:val="32"/>
          <w:highlight w:val="none"/>
          <w:shd w:val="clear" w:color="auto" w:fill="FFFFFF"/>
        </w:rPr>
      </w:pPr>
      <w:r>
        <w:rPr>
          <w:rStyle w:val="12"/>
          <w:rFonts w:hint="default" w:ascii="Times New Roman" w:hAnsi="Times New Roman" w:eastAsia="方正楷体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万元，较上年决算数减少0.30万元，下降100.00%，主要原因是厉行节约，2023年减少会议召开次数，严格控制三公经费的支出，减少不必要开支。本年度培训费支出</w:t>
      </w:r>
      <w:r>
        <w:rPr>
          <w:rFonts w:hint="default" w:ascii="Times New Roman" w:hAnsi="Times New Roman" w:eastAsia="方正仿宋_GBK" w:cs="Times New Roman"/>
          <w:color w:val="auto"/>
          <w:sz w:val="32"/>
          <w:szCs w:val="32"/>
          <w:highlight w:val="none"/>
        </w:rPr>
        <w:t>0.07</w:t>
      </w:r>
      <w:r>
        <w:rPr>
          <w:rFonts w:hint="default" w:ascii="Times New Roman" w:hAnsi="Times New Roman" w:eastAsia="方正仿宋_GBK" w:cs="Times New Roman"/>
          <w:color w:val="auto"/>
          <w:sz w:val="32"/>
          <w:szCs w:val="32"/>
          <w:highlight w:val="none"/>
          <w:shd w:val="clear" w:color="auto" w:fill="FFFFFF"/>
        </w:rPr>
        <w:t>万元，较上年决算数减少0.13万元，下降65.00%，主要原因是厉行节约，严格控制三公经费的支出，减少不必要开支。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60.74</w:t>
      </w:r>
      <w:r>
        <w:rPr>
          <w:rFonts w:hint="default" w:ascii="Times New Roman" w:hAnsi="Times New Roman" w:eastAsia="方正仿宋_GBK" w:cs="Times New Roman"/>
          <w:color w:val="auto"/>
          <w:sz w:val="32"/>
          <w:szCs w:val="32"/>
          <w:highlight w:val="none"/>
          <w:shd w:val="clear" w:color="auto" w:fill="FFFFFF"/>
        </w:rPr>
        <w:t>万元，机关运行经费主要用于</w:t>
      </w:r>
      <w:r>
        <w:rPr>
          <w:rFonts w:hint="default" w:ascii="Times New Roman" w:hAnsi="Times New Roman" w:eastAsia="方正仿宋_GBK" w:cs="Times New Roman"/>
          <w:color w:val="auto"/>
          <w:sz w:val="32"/>
          <w:szCs w:val="32"/>
          <w:highlight w:val="none"/>
          <w:shd w:val="clear" w:color="auto" w:fill="FFFFFF"/>
          <w:lang w:eastAsia="zh-CN"/>
        </w:rPr>
        <w:t>开支</w:t>
      </w:r>
      <w:r>
        <w:rPr>
          <w:rFonts w:hint="default" w:ascii="Times New Roman" w:hAnsi="Times New Roman" w:eastAsia="方正仿宋_GBK" w:cs="Times New Roman"/>
          <w:i w:val="0"/>
          <w:iCs w:val="0"/>
          <w:caps w:val="0"/>
          <w:color w:val="000000"/>
          <w:spacing w:val="0"/>
          <w:sz w:val="31"/>
          <w:szCs w:val="31"/>
          <w:highlight w:val="none"/>
          <w:shd w:val="clear" w:fill="FFFFFF"/>
        </w:rPr>
        <w:t>办公费、水电费、邮电费、维修（护）费、公务接待费、劳务费、工会经费、其他交通费用等</w:t>
      </w:r>
      <w:r>
        <w:rPr>
          <w:rFonts w:hint="default" w:ascii="Times New Roman" w:hAnsi="Times New Roman" w:eastAsia="方正仿宋_GBK" w:cs="Times New Roman"/>
          <w:color w:val="auto"/>
          <w:sz w:val="32"/>
          <w:szCs w:val="32"/>
          <w:highlight w:val="none"/>
          <w:shd w:val="clear" w:color="auto" w:fill="FFFFFF"/>
        </w:rPr>
        <w:t>。机关运行经费较上年支出数增加3.96万元，增长6.97%，主要原因是2023年新招录一名公务员，人员增加，导致</w:t>
      </w:r>
      <w:r>
        <w:rPr>
          <w:rFonts w:hint="default" w:ascii="Times New Roman" w:hAnsi="Times New Roman" w:eastAsia="方正仿宋_GBK" w:cs="Times New Roman"/>
          <w:color w:val="auto"/>
          <w:sz w:val="32"/>
          <w:szCs w:val="32"/>
          <w:highlight w:val="none"/>
          <w:shd w:val="clear" w:color="auto" w:fill="FFFFFF"/>
          <w:lang w:val="en-US" w:eastAsia="zh-CN"/>
        </w:rPr>
        <w:t>各项支出增加</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rPr>
      </w:pPr>
      <w:r>
        <w:rPr>
          <w:rStyle w:val="12"/>
          <w:rFonts w:hint="default" w:ascii="Times New Roman" w:hAnsi="Times New Roman" w:eastAsia="方正楷体_GBK" w:cs="Times New Roman"/>
          <w:b w:val="0"/>
          <w:bCs/>
          <w:color w:val="auto"/>
          <w:sz w:val="32"/>
          <w:szCs w:val="32"/>
          <w:highlight w:val="none"/>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截至2023年12月31日，本单位共有车辆</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lang w:val="en-US" w:eastAsia="zh-CN"/>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2023年度本单位政府采购支出总额</w:t>
      </w:r>
      <w:r>
        <w:rPr>
          <w:rFonts w:hint="default" w:ascii="Times New Roman" w:hAnsi="Times New Roman" w:eastAsia="方正仿宋_GBK" w:cs="Times New Roman"/>
          <w:color w:val="auto"/>
          <w:sz w:val="32"/>
          <w:szCs w:val="32"/>
          <w:highlight w:val="none"/>
        </w:rPr>
        <w:t>0.55</w:t>
      </w:r>
      <w:r>
        <w:rPr>
          <w:rFonts w:hint="default" w:ascii="Times New Roman" w:hAnsi="Times New Roman" w:eastAsia="方正仿宋_GBK" w:cs="Times New Roman"/>
          <w:color w:val="auto"/>
          <w:sz w:val="32"/>
          <w:szCs w:val="32"/>
          <w:highlight w:val="none"/>
          <w:shd w:val="clear" w:color="auto" w:fill="FFFFFF"/>
        </w:rPr>
        <w:t>万元，其中：政府采购货物支出</w:t>
      </w:r>
      <w:r>
        <w:rPr>
          <w:rFonts w:hint="default" w:ascii="Times New Roman" w:hAnsi="Times New Roman" w:eastAsia="方正仿宋_GBK" w:cs="Times New Roman"/>
          <w:color w:val="auto"/>
          <w:sz w:val="32"/>
          <w:szCs w:val="32"/>
          <w:highlight w:val="none"/>
        </w:rPr>
        <w:t>0.55</w:t>
      </w:r>
      <w:r>
        <w:rPr>
          <w:rFonts w:hint="default" w:ascii="Times New Roman" w:hAnsi="Times New Roman" w:eastAsia="方正仿宋_GBK" w:cs="Times New Roman"/>
          <w:color w:val="auto"/>
          <w:sz w:val="32"/>
          <w:szCs w:val="32"/>
          <w:highlight w:val="none"/>
          <w:shd w:val="clear" w:color="auto" w:fill="FFFFFF"/>
        </w:rPr>
        <w:t>万元、政府采购工程支出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万元、政府采购服务支出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万元。授予中小企业合同金额</w:t>
      </w:r>
      <w:r>
        <w:rPr>
          <w:rFonts w:hint="default" w:ascii="Times New Roman" w:hAnsi="Times New Roman" w:eastAsia="方正仿宋_GBK" w:cs="Times New Roman"/>
          <w:color w:val="auto"/>
          <w:sz w:val="32"/>
          <w:szCs w:val="32"/>
          <w:highlight w:val="none"/>
        </w:rPr>
        <w:t>0.45万</w:t>
      </w:r>
      <w:r>
        <w:rPr>
          <w:rFonts w:hint="default" w:ascii="Times New Roman" w:hAnsi="Times New Roman" w:eastAsia="方正仿宋_GBK" w:cs="Times New Roman"/>
          <w:color w:val="auto"/>
          <w:sz w:val="32"/>
          <w:szCs w:val="32"/>
          <w:highlight w:val="none"/>
          <w:shd w:val="clear" w:color="auto" w:fill="FFFFFF"/>
        </w:rPr>
        <w:t>元，占政府采购支出总额的</w:t>
      </w:r>
      <w:r>
        <w:rPr>
          <w:rFonts w:hint="default" w:ascii="Times New Roman" w:hAnsi="Times New Roman" w:eastAsia="方正仿宋_GBK" w:cs="Times New Roman"/>
          <w:color w:val="auto"/>
          <w:sz w:val="32"/>
          <w:szCs w:val="32"/>
          <w:highlight w:val="none"/>
        </w:rPr>
        <w:t>80.51</w:t>
      </w:r>
      <w:r>
        <w:rPr>
          <w:rFonts w:hint="default" w:ascii="Times New Roman" w:hAnsi="Times New Roman" w:eastAsia="方正仿宋_GBK" w:cs="Times New Roman"/>
          <w:color w:val="auto"/>
          <w:sz w:val="32"/>
          <w:szCs w:val="32"/>
          <w:highlight w:val="none"/>
          <w:shd w:val="clear" w:color="auto" w:fill="FFFFFF"/>
        </w:rPr>
        <w:t>%，其中：授予小微企业合同金额</w:t>
      </w:r>
      <w:r>
        <w:rPr>
          <w:rFonts w:hint="default" w:ascii="Times New Roman" w:hAnsi="Times New Roman" w:eastAsia="方正仿宋_GBK" w:cs="Times New Roman"/>
          <w:color w:val="auto"/>
          <w:sz w:val="32"/>
          <w:szCs w:val="32"/>
          <w:highlight w:val="none"/>
        </w:rPr>
        <w:t>0.45</w:t>
      </w:r>
      <w:r>
        <w:rPr>
          <w:rFonts w:hint="default" w:ascii="Times New Roman" w:hAnsi="Times New Roman" w:eastAsia="方正仿宋_GBK" w:cs="Times New Roman"/>
          <w:color w:val="auto"/>
          <w:sz w:val="32"/>
          <w:szCs w:val="32"/>
          <w:highlight w:val="none"/>
          <w:shd w:val="clear" w:color="auto" w:fill="FFFFFF"/>
        </w:rPr>
        <w:t>万元，占政府采购支出总额的</w:t>
      </w:r>
      <w:r>
        <w:rPr>
          <w:rFonts w:hint="default" w:ascii="Times New Roman" w:hAnsi="Times New Roman" w:eastAsia="方正仿宋_GBK" w:cs="Times New Roman"/>
          <w:color w:val="auto"/>
          <w:sz w:val="32"/>
          <w:szCs w:val="32"/>
          <w:highlight w:val="none"/>
        </w:rPr>
        <w:t>80.51</w:t>
      </w:r>
      <w:r>
        <w:rPr>
          <w:rFonts w:hint="default" w:ascii="Times New Roman" w:hAnsi="Times New Roman" w:eastAsia="方正仿宋_GBK" w:cs="Times New Roman"/>
          <w:color w:val="auto"/>
          <w:sz w:val="32"/>
          <w:szCs w:val="32"/>
          <w:highlight w:val="none"/>
          <w:shd w:val="clear" w:color="auto" w:fill="FFFFFF"/>
        </w:rPr>
        <w:t xml:space="preserve"> %。</w:t>
      </w:r>
      <w:r>
        <w:rPr>
          <w:rFonts w:hint="default" w:ascii="Times New Roman" w:hAnsi="Times New Roman" w:eastAsia="方正仿宋_GBK" w:cs="Times New Roman"/>
          <w:i w:val="0"/>
          <w:iCs w:val="0"/>
          <w:caps w:val="0"/>
          <w:color w:val="000000"/>
          <w:spacing w:val="0"/>
          <w:sz w:val="31"/>
          <w:szCs w:val="31"/>
          <w:highlight w:val="none"/>
          <w:shd w:val="clear" w:fill="FFFFFF"/>
        </w:rPr>
        <w:t>主要用于采购电脑相关经费支出。</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lang w:eastAsia="zh-CN"/>
        </w:rPr>
        <w:t>五、</w:t>
      </w:r>
      <w:r>
        <w:rPr>
          <w:rStyle w:val="12"/>
          <w:rFonts w:hint="default" w:ascii="Times New Roman" w:hAnsi="Times New Roman" w:eastAsia="方正黑体_GBK" w:cs="Times New Roman"/>
          <w:b w:val="0"/>
          <w:bCs/>
          <w:color w:val="auto"/>
          <w:sz w:val="32"/>
          <w:szCs w:val="32"/>
          <w:highlight w:val="none"/>
          <w:shd w:val="clear" w:color="auto" w:fill="FFFFFF"/>
        </w:rPr>
        <w:t>预算绩效管理情况说明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lang w:val="en-US" w:eastAsia="zh-CN"/>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（一）单位自评情况</w:t>
      </w:r>
    </w:p>
    <w:p>
      <w:pPr>
        <w:pStyle w:val="13"/>
        <w:keepNext w:val="0"/>
        <w:keepLines w:val="0"/>
        <w:pageBreakBefore w:val="0"/>
        <w:kinsoku/>
        <w:wordWrap/>
        <w:overflowPunct/>
        <w:topLinePunct w:val="0"/>
        <w:autoSpaceDE w:val="0"/>
        <w:autoSpaceDN/>
        <w:bidi w:val="0"/>
        <w:adjustRightInd/>
        <w:spacing w:line="560" w:lineRule="exact"/>
        <w:ind w:firstLine="643"/>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根据预算绩效管理要求，本单位对部门整体</w:t>
      </w:r>
      <w:r>
        <w:rPr>
          <w:rFonts w:hint="default" w:ascii="Times New Roman" w:hAnsi="Times New Roman" w:eastAsia="宋体" w:cs="Times New Roman"/>
          <w:i w:val="0"/>
          <w:iCs w:val="0"/>
          <w:caps w:val="0"/>
          <w:color w:val="000000"/>
          <w:spacing w:val="0"/>
          <w:sz w:val="31"/>
          <w:szCs w:val="31"/>
          <w:highlight w:val="none"/>
          <w:shd w:val="clear" w:fill="FFFFFF"/>
        </w:rPr>
        <w:t>5</w:t>
      </w:r>
      <w:r>
        <w:rPr>
          <w:rFonts w:hint="default" w:ascii="Times New Roman" w:hAnsi="Times New Roman" w:eastAsia="方正仿宋_GBK" w:cs="Times New Roman"/>
          <w:i w:val="0"/>
          <w:iCs w:val="0"/>
          <w:caps w:val="0"/>
          <w:color w:val="000000"/>
          <w:spacing w:val="0"/>
          <w:sz w:val="31"/>
          <w:szCs w:val="31"/>
          <w:highlight w:val="none"/>
          <w:shd w:val="clear" w:fill="FFFFFF"/>
        </w:rPr>
        <w:t>个项目开展了绩效自评，其中，以填报自评表形式开展自评</w:t>
      </w:r>
      <w:r>
        <w:rPr>
          <w:rFonts w:hint="default" w:ascii="Times New Roman" w:hAnsi="Times New Roman" w:eastAsia="宋体" w:cs="Times New Roman"/>
          <w:i w:val="0"/>
          <w:iCs w:val="0"/>
          <w:caps w:val="0"/>
          <w:color w:val="000000"/>
          <w:spacing w:val="0"/>
          <w:sz w:val="31"/>
          <w:szCs w:val="31"/>
          <w:highlight w:val="none"/>
          <w:shd w:val="clear" w:fill="FFFFFF"/>
        </w:rPr>
        <w:t>5</w:t>
      </w:r>
      <w:r>
        <w:rPr>
          <w:rFonts w:hint="default" w:ascii="Times New Roman" w:hAnsi="Times New Roman" w:eastAsia="方正仿宋_GBK" w:cs="Times New Roman"/>
          <w:i w:val="0"/>
          <w:iCs w:val="0"/>
          <w:caps w:val="0"/>
          <w:color w:val="000000"/>
          <w:spacing w:val="0"/>
          <w:sz w:val="31"/>
          <w:szCs w:val="31"/>
          <w:highlight w:val="none"/>
          <w:shd w:val="clear" w:fill="FFFFFF"/>
        </w:rPr>
        <w:t>项，涉及资金</w:t>
      </w:r>
      <w:r>
        <w:rPr>
          <w:rFonts w:hint="default" w:ascii="Times New Roman" w:hAnsi="Times New Roman" w:cs="Times New Roman"/>
          <w:i w:val="0"/>
          <w:iCs w:val="0"/>
          <w:caps w:val="0"/>
          <w:color w:val="000000"/>
          <w:spacing w:val="0"/>
          <w:sz w:val="31"/>
          <w:szCs w:val="31"/>
          <w:highlight w:val="none"/>
          <w:shd w:val="clear" w:fill="FFFFFF"/>
          <w:lang w:val="en-US" w:eastAsia="zh-CN"/>
        </w:rPr>
        <w:t>661.73</w:t>
      </w:r>
      <w:r>
        <w:rPr>
          <w:rFonts w:hint="default" w:ascii="Times New Roman" w:hAnsi="Times New Roman" w:eastAsia="方正仿宋_GBK" w:cs="Times New Roman"/>
          <w:i w:val="0"/>
          <w:iCs w:val="0"/>
          <w:caps w:val="0"/>
          <w:color w:val="000000"/>
          <w:spacing w:val="0"/>
          <w:sz w:val="31"/>
          <w:szCs w:val="31"/>
          <w:highlight w:val="none"/>
          <w:shd w:val="clear" w:fill="FFFFFF"/>
        </w:rPr>
        <w:t>万元。</w:t>
      </w:r>
    </w:p>
    <w:p>
      <w:pPr>
        <w:pStyle w:val="13"/>
        <w:keepNext w:val="0"/>
        <w:keepLines w:val="0"/>
        <w:pageBreakBefore w:val="0"/>
        <w:numPr>
          <w:ilvl w:val="0"/>
          <w:numId w:val="1"/>
        </w:numPr>
        <w:kinsoku/>
        <w:wordWrap/>
        <w:overflowPunct/>
        <w:topLinePunct w:val="0"/>
        <w:autoSpaceDE w:val="0"/>
        <w:autoSpaceDN/>
        <w:bidi w:val="0"/>
        <w:adjustRightInd/>
        <w:spacing w:line="560" w:lineRule="exact"/>
        <w:ind w:firstLine="643"/>
        <w:rPr>
          <w:rStyle w:val="12"/>
          <w:rFonts w:hint="default" w:ascii="Times New Roman" w:hAnsi="Times New Roman" w:eastAsia="方正楷体_GBK" w:cs="Times New Roman"/>
          <w:b w:val="0"/>
          <w:bCs/>
          <w:color w:val="auto"/>
          <w:sz w:val="32"/>
          <w:szCs w:val="32"/>
          <w:highlight w:val="none"/>
          <w:shd w:val="clear" w:color="auto" w:fill="FFFFFF"/>
          <w:lang w:val="en-US" w:eastAsia="zh-CN" w:bidi="ar-SA"/>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bidi="ar-SA"/>
        </w:rPr>
        <w:t>单位绩效评价情况</w:t>
      </w:r>
    </w:p>
    <w:tbl>
      <w:tblPr>
        <w:tblStyle w:val="9"/>
        <w:tblpPr w:leftFromText="180" w:rightFromText="180" w:vertAnchor="text" w:horzAnchor="page" w:tblpX="639" w:tblpY="845"/>
        <w:tblOverlap w:val="never"/>
        <w:tblW w:w="10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8"/>
        <w:gridCol w:w="870"/>
        <w:gridCol w:w="1213"/>
        <w:gridCol w:w="1213"/>
        <w:gridCol w:w="804"/>
        <w:gridCol w:w="1430"/>
        <w:gridCol w:w="800"/>
        <w:gridCol w:w="115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268"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8"/>
                <w:szCs w:val="38"/>
                <w:highlight w:val="none"/>
                <w:u w:val="none"/>
              </w:rPr>
            </w:pPr>
            <w:r>
              <w:rPr>
                <w:rFonts w:hint="default" w:ascii="Times New Roman" w:hAnsi="Times New Roman" w:eastAsia="方正小标宋_GBK" w:cs="Times New Roman"/>
                <w:i w:val="0"/>
                <w:iCs w:val="0"/>
                <w:color w:val="000000"/>
                <w:kern w:val="0"/>
                <w:sz w:val="38"/>
                <w:szCs w:val="38"/>
                <w:highlight w:val="none"/>
                <w:u w:val="none"/>
                <w:lang w:val="en-US" w:eastAsia="zh-CN" w:bidi="ar"/>
              </w:rPr>
              <w:t>部门（单位）整体绩效目标表</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268"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iCs w:val="0"/>
                <w:color w:val="000000"/>
                <w:sz w:val="38"/>
                <w:szCs w:val="38"/>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7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单位：万元</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部门（单位）名称</w:t>
            </w:r>
          </w:p>
        </w:tc>
        <w:tc>
          <w:tcPr>
            <w:tcW w:w="41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910－石柱土家族自治县王家乡人民政府</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部门支出预算数</w:t>
            </w:r>
          </w:p>
        </w:tc>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trPr>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当年整体绩效目标</w:t>
            </w:r>
          </w:p>
        </w:tc>
        <w:tc>
          <w:tcPr>
            <w:tcW w:w="851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 xml:space="preserve"> </w:t>
            </w:r>
            <w:r>
              <w:rPr>
                <w:rFonts w:hint="default" w:ascii="Times New Roman" w:hAnsi="Times New Roman" w:eastAsia="方正仿宋_GBK" w:cs="Times New Roman"/>
                <w:i w:val="0"/>
                <w:iCs w:val="0"/>
                <w:color w:val="000000"/>
                <w:kern w:val="0"/>
                <w:sz w:val="20"/>
                <w:szCs w:val="20"/>
                <w:highlight w:val="none"/>
                <w:u w:val="none"/>
                <w:lang w:val="en-US" w:eastAsia="zh-CN" w:bidi="ar"/>
              </w:rPr>
              <w:br w:type="textWrapping"/>
            </w:r>
            <w:r>
              <w:rPr>
                <w:rFonts w:hint="default" w:ascii="Times New Roman" w:hAnsi="Times New Roman" w:eastAsia="方正仿宋_GBK" w:cs="Times New Roman"/>
                <w:i w:val="0"/>
                <w:iCs w:val="0"/>
                <w:color w:val="000000"/>
                <w:kern w:val="0"/>
                <w:sz w:val="20"/>
                <w:szCs w:val="20"/>
                <w:highlight w:val="none"/>
                <w:u w:val="none"/>
                <w:lang w:val="en-US" w:eastAsia="zh-CN" w:bidi="ar"/>
              </w:rPr>
              <w:t>1.做好经济发展、民政和社会事务、平安建设、规划建设和环保管理、应急管理、人大事务、综合行政执法等工作，保障辖区各项工作正常开展。</w:t>
            </w:r>
            <w:r>
              <w:rPr>
                <w:rFonts w:hint="default" w:ascii="Times New Roman" w:hAnsi="Times New Roman" w:eastAsia="方正仿宋_GBK" w:cs="Times New Roman"/>
                <w:i w:val="0"/>
                <w:iCs w:val="0"/>
                <w:color w:val="000000"/>
                <w:kern w:val="0"/>
                <w:sz w:val="20"/>
                <w:szCs w:val="20"/>
                <w:highlight w:val="none"/>
                <w:u w:val="none"/>
                <w:lang w:val="en-US" w:eastAsia="zh-CN" w:bidi="ar"/>
              </w:rPr>
              <w:br w:type="textWrapping"/>
            </w:r>
            <w:r>
              <w:rPr>
                <w:rFonts w:hint="default" w:ascii="Times New Roman" w:hAnsi="Times New Roman" w:eastAsia="方正仿宋_GBK" w:cs="Times New Roman"/>
                <w:i w:val="0"/>
                <w:iCs w:val="0"/>
                <w:color w:val="000000"/>
                <w:kern w:val="0"/>
                <w:sz w:val="20"/>
                <w:szCs w:val="20"/>
                <w:highlight w:val="none"/>
                <w:u w:val="none"/>
                <w:lang w:val="en-US" w:eastAsia="zh-CN" w:bidi="ar"/>
              </w:rPr>
              <w:t>2.为农业农村工作、社区公共事务、文化宣传、体育、劳动就业和社会保障、退役军人及其他优抚对象等做好服务。</w:t>
            </w:r>
            <w:r>
              <w:rPr>
                <w:rFonts w:hint="default" w:ascii="Times New Roman" w:hAnsi="Times New Roman" w:eastAsia="方正仿宋_GBK" w:cs="Times New Roman"/>
                <w:i w:val="0"/>
                <w:iCs w:val="0"/>
                <w:color w:val="000000"/>
                <w:kern w:val="0"/>
                <w:sz w:val="20"/>
                <w:szCs w:val="20"/>
                <w:highlight w:val="none"/>
                <w:u w:val="none"/>
                <w:lang w:val="en-US" w:eastAsia="zh-CN" w:bidi="ar"/>
              </w:rPr>
              <w:br w:type="textWrapping"/>
            </w:r>
            <w:r>
              <w:rPr>
                <w:rFonts w:hint="default" w:ascii="Times New Roman" w:hAnsi="Times New Roman" w:eastAsia="方正仿宋_GBK" w:cs="Times New Roman"/>
                <w:i w:val="0"/>
                <w:iCs w:val="0"/>
                <w:color w:val="000000"/>
                <w:kern w:val="0"/>
                <w:sz w:val="20"/>
                <w:szCs w:val="20"/>
                <w:highlight w:val="none"/>
                <w:u w:val="none"/>
                <w:lang w:val="en-US" w:eastAsia="zh-CN" w:bidi="ar"/>
              </w:rPr>
              <w:t>3.完成县委、县政府安排的其他工作，保障我镇各项工作正常运转，保障机关人员经费的正常支出，保障村组干部待遇。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1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绩效指标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一级指标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二级指标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三级指标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指标权重</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计量单位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指标性质</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指标值</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生态效益指标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生态环境情况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定性</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有效改善</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经济效益指标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经济发展情况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定性</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产出指标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时效指标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资金拨付及时率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产出指标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整体工作完成率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产出指标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年底考核情况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定性</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产出指标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数量指标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管辖村社区数量</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可持续发展指标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可持续发展能力</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定性</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满意度指标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服务对象满意度指标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群众满意度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成本指标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经济成本指标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人均公用经费变动率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b/>
                <w:bCs/>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社会效益指标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社会和谐稳定情况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定性</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0"/>
                <w:szCs w:val="20"/>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否</w:t>
            </w:r>
          </w:p>
        </w:tc>
      </w:tr>
    </w:tbl>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highlight w:val="none"/>
          <w:shd w:val="clear" w:color="auto" w:fill="FFFFFF"/>
          <w:lang w:val="en-US" w:eastAsia="zh-CN"/>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（三）财政绩效评价情况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市财政局未委托第三方对我单位开展绩效评价。</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rPr>
        <w:t>  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以下为常见专业名词解释目录，仅供参考，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（四）其他收入：</w:t>
      </w:r>
      <w:r>
        <w:rPr>
          <w:rFonts w:hint="default" w:ascii="Times New Roman" w:hAnsi="Times New Roman" w:eastAsia="方正仿宋_GBK" w:cs="Times New Roman"/>
          <w:color w:val="auto"/>
          <w:sz w:val="32"/>
          <w:szCs w:val="32"/>
          <w:highlight w:val="none"/>
          <w:shd w:val="clear" w:color="auto" w:fill="FFFFFF"/>
        </w:rPr>
        <w:t>指单位取得的除“财政拨款收入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指单位在当年的“财政拨款收入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（九）基本支出：</w:t>
      </w:r>
      <w:r>
        <w:rPr>
          <w:rFonts w:hint="default" w:ascii="Times New Roman" w:hAnsi="Times New Roman" w:eastAsia="方正仿宋_GBK" w:cs="Times New Roman"/>
          <w:color w:val="auto"/>
          <w:sz w:val="32"/>
          <w:szCs w:val="32"/>
          <w:highlight w:val="none"/>
          <w:shd w:val="clear" w:color="auto" w:fill="FFFFFF"/>
          <w:lang w:val="en-US" w:eastAsia="zh-CN"/>
        </w:rPr>
        <w:t>指</w:t>
      </w:r>
      <w:r>
        <w:rPr>
          <w:rFonts w:hint="default" w:ascii="Times New Roman" w:hAnsi="Times New Roman" w:eastAsia="方正仿宋_GBK" w:cs="Times New Roman"/>
          <w:color w:val="auto"/>
          <w:sz w:val="32"/>
          <w:szCs w:val="32"/>
          <w:highlight w:val="none"/>
          <w:shd w:val="clear" w:color="auto" w:fill="FFFFFF"/>
        </w:rPr>
        <w:t>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color w:val="auto"/>
          <w:sz w:val="32"/>
          <w:szCs w:val="32"/>
          <w:highlight w:val="none"/>
        </w:rPr>
      </w:pPr>
      <w:r>
        <w:rPr>
          <w:rStyle w:val="12"/>
          <w:rFonts w:hint="default" w:ascii="Times New Roman" w:hAnsi="Times New Roman" w:eastAsia="方正仿宋_GBK" w:cs="Times New Roman"/>
          <w:color w:val="auto"/>
          <w:sz w:val="32"/>
          <w:szCs w:val="32"/>
          <w:highlight w:val="none"/>
          <w:shd w:val="clear" w:color="auto" w:fill="FFFFFF"/>
        </w:rPr>
        <w:t> </w:t>
      </w:r>
      <w:r>
        <w:rPr>
          <w:rStyle w:val="12"/>
          <w:rFonts w:hint="default" w:ascii="Times New Roman" w:hAnsi="Times New Roman" w:eastAsia="方正楷体_GBK" w:cs="Times New Roman"/>
          <w:b w:val="0"/>
          <w:bCs/>
          <w:color w:val="auto"/>
          <w:sz w:val="32"/>
          <w:szCs w:val="32"/>
          <w:highlight w:val="none"/>
          <w:shd w:val="clear" w:color="auto" w:fill="FFFFFF"/>
          <w:lang w:val="en-US" w:eastAsia="zh-CN"/>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highlight w:val="none"/>
          <w:shd w:val="clear" w:color="auto" w:fill="FFFFFF"/>
        </w:rPr>
      </w:pPr>
      <w:r>
        <w:rPr>
          <w:rStyle w:val="12"/>
          <w:rFonts w:hint="default" w:ascii="Times New Roman" w:hAnsi="Times New Roman" w:eastAsia="方正黑体_GBK" w:cs="Times New Roman"/>
          <w:b w:val="0"/>
          <w:bCs/>
          <w:color w:val="auto"/>
          <w:sz w:val="32"/>
          <w:szCs w:val="32"/>
          <w:highlight w:val="none"/>
          <w:shd w:val="clear" w:color="auto" w:fill="FFFFFF"/>
        </w:rPr>
        <w:t> 七、决算公开联系方式及信息反馈渠道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本单位决算公开信息反馈和联系方式：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胡艳敏</w:t>
      </w:r>
      <w:r>
        <w:rPr>
          <w:rFonts w:hint="default" w:ascii="Times New Roman" w:hAnsi="Times New Roman" w:eastAsia="微软雅黑" w:cs="Times New Roman"/>
          <w:i w:val="0"/>
          <w:iCs w:val="0"/>
          <w:caps w:val="0"/>
          <w:color w:val="000000"/>
          <w:spacing w:val="0"/>
          <w:sz w:val="31"/>
          <w:szCs w:val="31"/>
          <w:shd w:val="clear" w:fill="FFFFFF"/>
          <w:vertAlign w:val="baseline"/>
        </w:rPr>
        <w:t>  </w:t>
      </w:r>
      <w:r>
        <w:rPr>
          <w:rFonts w:hint="eastAsia" w:ascii="Times New Roman" w:hAnsi="Times New Roman" w:eastAsia="微软雅黑" w:cs="Times New Roman"/>
          <w:i w:val="0"/>
          <w:iCs w:val="0"/>
          <w:caps w:val="0"/>
          <w:color w:val="000000"/>
          <w:spacing w:val="0"/>
          <w:sz w:val="31"/>
          <w:szCs w:val="31"/>
          <w:shd w:val="clear" w:fill="FFFFFF"/>
          <w:vertAlign w:val="baseline"/>
          <w:lang w:val="en-US" w:eastAsia="zh-CN"/>
        </w:rPr>
        <w:t>023-</w:t>
      </w:r>
      <w:bookmarkStart w:id="0" w:name="_GoBack"/>
      <w:bookmarkEnd w:id="0"/>
      <w:r>
        <w:rPr>
          <w:rFonts w:hint="default" w:ascii="Times New Roman" w:hAnsi="Times New Roman" w:eastAsia="微软雅黑" w:cs="Times New Roman"/>
          <w:i w:val="0"/>
          <w:iCs w:val="0"/>
          <w:caps w:val="0"/>
          <w:color w:val="000000"/>
          <w:spacing w:val="0"/>
          <w:sz w:val="31"/>
          <w:szCs w:val="31"/>
          <w:shd w:val="clear" w:fill="FFFFFF"/>
          <w:vertAlign w:val="baseline"/>
        </w:rPr>
        <w:t>73350001</w:t>
      </w:r>
    </w:p>
    <w:p>
      <w:pPr>
        <w:pStyle w:val="13"/>
        <w:autoSpaceDE w:val="0"/>
        <w:ind w:firstLine="0" w:firstLineChars="0"/>
        <w:rPr>
          <w:rStyle w:val="12"/>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984" w:right="1446" w:bottom="1644" w:left="1446" w:header="851" w:footer="992" w:gutter="0"/>
          <w:pgNumType w:fmt="decimal"/>
          <w:cols w:space="720" w:num="1"/>
          <w:docGrid w:type="lines" w:linePitch="312" w:charSpace="0"/>
        </w:sectPr>
      </w:pPr>
    </w:p>
    <w:p>
      <w:pPr>
        <w:rPr>
          <w:rFonts w:hint="default" w:ascii="Times New Roman" w:hAnsi="Times New Roman" w:cs="Times New Roman"/>
          <w:color w:val="auto"/>
          <w:sz w:val="21"/>
          <w:szCs w:val="21"/>
          <w:highlight w:val="none"/>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重庆市石柱土家族自治县王家乡人民政府（本级）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1,696.51</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358.46</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216.32</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101.68</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234.94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981.07</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113.59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20.38</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1,912.83</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1,912.83</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1,912.83</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1,912.83</w:t>
            </w:r>
            <w:r>
              <w:rPr>
                <w:rFonts w:hint="default" w:ascii="Times New Roman" w:hAnsi="Times New Roman" w:cs="Times New Roman"/>
                <w:color w:val="auto"/>
                <w:sz w:val="20"/>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重庆市石柱土家族自治县王家乡人民政府（本级）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1,912.83</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1,912.83</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358.46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358.46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340.86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340.86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101.68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101.68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234.94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234.94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ind w:left="600" w:hanging="600" w:hanging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9"/>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重庆市石柱土家族自治县王家乡人民政府（本级）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1,912.83</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433.16</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1,479.68</w:t>
            </w: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358.46</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300.10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58.36</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340.86</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300.10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40.76</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101.68</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234.94</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234.94</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rPr>
          <w:rFonts w:hint="default" w:ascii="Times New Roman" w:hAnsi="Times New Roman" w:cs="Times New Roman"/>
          <w:color w:val="auto"/>
          <w:sz w:val="21"/>
          <w:szCs w:val="21"/>
          <w:highlight w:val="none"/>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1,696.51</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358.46</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358.46</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216.32</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101.68</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101.68</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21.09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21.09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5.34</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5.34</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234.94</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18.62</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216.32</w:t>
            </w: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981.07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981.07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113.59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113.59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50.00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50.00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26.29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26.29</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20.38</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20.38</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1,912.83</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1,912.83</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1,696.51</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216.32</w:t>
            </w: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1,912.83</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1,912.83</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1,696.51</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216.32</w:t>
            </w: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1,696.51</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433.16</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1,263.36</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358.46</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300.10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58.36</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7.60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6.60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340.86</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300.10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40.76</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300.10</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40.76</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101.68</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89.67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9.20</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39.27</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41.21</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1.26</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1.26</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0.74</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0.74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21.09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17.09</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12.94</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4.15</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5.34</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5.34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18.62</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18.62</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0.49</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0.49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18.13</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18.13</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981.07</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78.52</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6.20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11.78</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34.64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21.10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6.09</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40.50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37.50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502.32</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419.28</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58.32</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0.40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24.33</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353.64</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162.50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191.14</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113.59</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34.50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29.50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79.09</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79.09</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26.29</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26.29</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20.38</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12.00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12.00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1.88</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1.88</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6.50</w:t>
            </w: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6.00</w:t>
            </w: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362.21</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60.74</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69.57</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7.54</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68.56</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1.44</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99.94</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0.50</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0.11</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39.27</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41.21</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0.91</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11.60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2.63</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5.29</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26.29</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3.15</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0.23</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10.20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9.20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3.58</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1.54</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2.12</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6.00</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15.12</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14.77</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372.41</w:t>
            </w:r>
            <w:r>
              <w:rPr>
                <w:rFonts w:hint="default" w:ascii="Times New Roman" w:hAnsi="Times New Roman" w:cs="Times New Roman"/>
                <w:color w:val="auto"/>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60.74</w:t>
            </w:r>
            <w:r>
              <w:rPr>
                <w:rFonts w:hint="default" w:ascii="Times New Roman" w:hAnsi="Times New Roman" w:cs="Times New Roman"/>
                <w:color w:val="auto"/>
                <w:sz w:val="18"/>
                <w:highlight w:val="none"/>
                <w:u w:color="auto"/>
              </w:rPr>
              <w:t xml:space="preserve"> </w:t>
            </w:r>
          </w:p>
        </w:tc>
      </w:tr>
    </w:tbl>
    <w:p>
      <w:pPr>
        <w:spacing w:line="28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216.32</w:t>
            </w: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1.32</w:t>
            </w: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1.32</w:t>
            </w:r>
            <w:r>
              <w:rPr>
                <w:rFonts w:hint="default" w:ascii="Times New Roman" w:hAnsi="Times New Roman" w:cs="Times New Roman"/>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215.00</w:t>
            </w: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215.00</w:t>
            </w:r>
            <w:r>
              <w:rPr>
                <w:rFonts w:hint="default" w:ascii="Times New Roman" w:hAnsi="Times New Roman" w:cs="Times New Roman"/>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备注：1.本表反映单位本年度政府性基金预算财政拨款收入支出及结转和结余情况。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重庆市石柱土家族自治县王家乡人民政府（本级）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60.74</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60.74</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6.00</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2</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2</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0.55</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0.55</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0.45</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0.45</w:t>
            </w:r>
            <w:r>
              <w:rPr>
                <w:rFonts w:hint="default" w:ascii="Times New Roman" w:hAnsi="Times New Roman" w:cs="Times New Roman"/>
                <w:color w:val="auto"/>
                <w:sz w:val="16"/>
                <w:highlight w:val="none"/>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highlight w:val="none"/>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0.07</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highlight w:val="none"/>
              </w:rPr>
            </w:pP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Helvetica">
    <w:altName w:val="FreeSans"/>
    <w:panose1 w:val="020B0504020202030204"/>
    <w:charset w:val="00"/>
    <w:family w:val="auto"/>
    <w:pitch w:val="default"/>
    <w:sig w:usb0="00000000" w:usb1="00000000" w:usb2="00000000" w:usb3="00000000" w:csb0="00000093" w:csb1="00000000"/>
  </w:font>
  <w:font w:name="FreeSans">
    <w:panose1 w:val="020B0504020202020204"/>
    <w:charset w:val="00"/>
    <w:family w:val="auto"/>
    <w:pitch w:val="default"/>
    <w:sig w:usb0="E4839EFF" w:usb1="4600FDFF" w:usb2="000030A0" w:usb3="00000584" w:csb0="600001BF" w:csb1="DFF70000"/>
  </w:font>
  <w:font w:name="MathJax_Vector">
    <w:panose1 w:val="02000603000000000000"/>
    <w:charset w:val="00"/>
    <w:family w:val="auto"/>
    <w:pitch w:val="default"/>
    <w:sig w:usb0="00000001" w:usb1="0000002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14</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14</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76892"/>
    <w:multiLevelType w:val="singleLevel"/>
    <w:tmpl w:val="947768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Tg1MjVkMzA0NGQyMjg1NGVjMDE2NGJjNGNkM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0FC58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0A"/>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DD681"/>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A32E73"/>
    <w:rsid w:val="51D21804"/>
    <w:rsid w:val="52226E3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FBE667"/>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BC568D"/>
    <w:rsid w:val="6FE55E12"/>
    <w:rsid w:val="6FFB2E76"/>
    <w:rsid w:val="70642F52"/>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FEF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12489</Words>
  <Characters>17173</Characters>
  <Lines>190</Lines>
  <Paragraphs>53</Paragraphs>
  <TotalTime>14</TotalTime>
  <ScaleCrop>false</ScaleCrop>
  <LinksUpToDate>false</LinksUpToDate>
  <CharactersWithSpaces>19394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辰熙</cp:lastModifiedBy>
  <dcterms:modified xsi:type="dcterms:W3CDTF">2024-10-14T17:10:50Z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39C78B7F020045B59C4A4B3154B76483_13</vt:lpwstr>
  </property>
</Properties>
</file>