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石柱土家族自治县三益乡综合行政执法大队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w:t>
      </w:r>
      <w:r>
        <w:rPr>
          <w:rFonts w:hint="eastAsia" w:ascii="方正小标宋_GBK" w:hAnsi="方正小标宋_GBK" w:eastAsia="方正小标宋_GBK" w:cs="方正小标宋_GBK"/>
          <w:sz w:val="36"/>
          <w:szCs w:val="36"/>
          <w:shd w:val="clear" w:color="auto" w:fill="FFFFFF"/>
          <w:lang w:eastAsia="zh-CN"/>
        </w:rPr>
        <w:t>单位</w:t>
      </w:r>
      <w:r>
        <w:rPr>
          <w:rFonts w:hint="eastAsia" w:ascii="方正小标宋_GBK" w:hAnsi="方正小标宋_GBK" w:eastAsia="方正小标宋_GBK" w:cs="方正小标宋_GBK"/>
          <w:sz w:val="36"/>
          <w:szCs w:val="36"/>
          <w:shd w:val="clear" w:color="auto" w:fill="FFFFFF"/>
        </w:rPr>
        <w:t>决算</w:t>
      </w:r>
      <w:r>
        <w:rPr>
          <w:rFonts w:hint="eastAsia" w:ascii="方正小标宋_GBK" w:hAnsi="方正小标宋_GBK" w:eastAsia="方正小标宋_GBK" w:cs="方正小标宋_GBK"/>
          <w:sz w:val="36"/>
          <w:szCs w:val="36"/>
          <w:shd w:val="clear" w:color="auto" w:fill="FFFFFF"/>
          <w:lang w:eastAsia="zh-CN"/>
        </w:rPr>
        <w:t>情况</w:t>
      </w:r>
      <w:bookmarkStart w:id="0" w:name="_GoBack"/>
      <w:bookmarkEnd w:id="0"/>
      <w:r>
        <w:rPr>
          <w:rFonts w:hint="eastAsia" w:ascii="方正小标宋_GBK" w:hAnsi="方正小标宋_GBK" w:eastAsia="方正小标宋_GBK" w:cs="方正小标宋_GBK"/>
          <w:sz w:val="36"/>
          <w:szCs w:val="36"/>
          <w:shd w:val="clear" w:color="auto" w:fill="FFFFFF"/>
        </w:rPr>
        <w:t>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10"/>
        <w:keepNext w:val="0"/>
        <w:keepLines w:val="0"/>
        <w:widowControl/>
        <w:suppressLineNumbers w:val="0"/>
        <w:spacing w:before="0" w:beforeAutospacing="0" w:after="0" w:afterAutospacing="0" w:line="600" w:lineRule="atLeast"/>
        <w:ind w:left="0" w:right="0" w:firstLine="645"/>
        <w:rPr>
          <w:rFonts w:hint="eastAsia" w:ascii="方正仿宋_GBK" w:hAnsi="方正仿宋_GBK" w:eastAsia="方正仿宋_GBK" w:cs="方正仿宋_GBK"/>
          <w:kern w:val="0"/>
          <w:sz w:val="31"/>
          <w:szCs w:val="31"/>
        </w:rPr>
      </w:pPr>
      <w:r>
        <w:rPr>
          <w:rFonts w:hint="eastAsia" w:ascii="方正仿宋_GBK" w:hAnsi="方正仿宋_GBK" w:eastAsia="方正仿宋_GBK" w:cs="方正仿宋_GBK"/>
          <w:kern w:val="0"/>
          <w:sz w:val="31"/>
          <w:szCs w:val="31"/>
        </w:rPr>
        <w:t>贯彻落实综合行政执法相关法律法规及政策。根据法律法规规定、市政府赋权，以乡人民政府名义统一行使权以及与其行政处罚权有关的行政检查、行政强制措施。根据县级相关部门委托，以委托行政机关名义实施委托范围内的行政处罚权。负责联合县级有关行政主管部门开展行政执法工作。负责依据有关法律、法规和规章，参与起草本辖区实行综合行政执法领域相关方面的工作计划，并具体实施。负责乡党委、人民政府交办的其他工作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本单位为重庆市石柱土家族自治县三益乡人民政府所属二级预算单位，单位类型为公益一类事业单位，决算编报类型为单户表 ，按照政府会计准则</w:t>
      </w:r>
      <w:r>
        <w:rPr>
          <w:rFonts w:hint="eastAsia" w:ascii="方正仿宋_GBK" w:hAnsi="方正仿宋_GBK" w:eastAsia="方正仿宋_GBK" w:cs="方正仿宋_GBK"/>
          <w:sz w:val="32"/>
          <w:szCs w:val="32"/>
          <w:shd w:val="clear" w:color="auto" w:fill="FFFFFF"/>
          <w:lang w:eastAsia="zh-CN"/>
        </w:rPr>
        <w:t>制度填报决算数据。</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纳入本套决算编制范围的独立核算单位共</w:t>
      </w:r>
      <w:r>
        <w:rPr>
          <w:rFonts w:hint="eastAsia" w:ascii="Times New Roman" w:hAnsi="Times New Roman" w:eastAsia="方正仿宋_GBK"/>
          <w:sz w:val="32"/>
          <w:szCs w:val="32"/>
          <w:shd w:val="clear" w:color="auto" w:fill="FFFFFF"/>
          <w:lang w:eastAsia="zh-CN"/>
        </w:rPr>
        <w:t>1</w:t>
      </w:r>
      <w:r>
        <w:rPr>
          <w:rFonts w:hint="eastAsia" w:ascii="方正仿宋_GBK" w:hAnsi="方正仿宋_GBK" w:eastAsia="方正仿宋_GBK" w:cs="方正仿宋_GBK"/>
          <w:sz w:val="32"/>
          <w:szCs w:val="32"/>
          <w:shd w:val="clear" w:color="auto" w:fill="FFFFFF"/>
          <w:lang w:eastAsia="zh-CN"/>
        </w:rPr>
        <w:t>个，比上年增减 </w:t>
      </w:r>
      <w:r>
        <w:rPr>
          <w:rFonts w:hint="eastAsia" w:ascii="Times New Roman" w:hAnsi="Times New Roman" w:eastAsia="方正仿宋_GBK"/>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个。</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39.25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收、支与2023年度相比，增加9.63万元，增长32.5%</w:t>
      </w:r>
      <w:r>
        <w:rPr>
          <w:rFonts w:ascii="方正仿宋_GBK" w:hAnsi="方正仿宋_GBK" w:eastAsia="方正仿宋_GBK" w:cs="方正仿宋_GBK"/>
          <w:sz w:val="32"/>
          <w:szCs w:val="32"/>
          <w:shd w:val="clear" w:color="auto" w:fill="FFFFFF"/>
        </w:rPr>
        <w:t>，主</w:t>
      </w:r>
      <w:r>
        <w:rPr>
          <w:rFonts w:ascii="方正仿宋_GBK" w:hAnsi="方正仿宋_GBK" w:eastAsia="方正仿宋_GBK" w:cs="方正仿宋_GBK"/>
          <w:color w:val="auto"/>
          <w:sz w:val="32"/>
          <w:szCs w:val="32"/>
          <w:shd w:val="clear" w:color="auto" w:fill="FFFFFF"/>
        </w:rPr>
        <w:t>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rPr>
        <w:t>2023年7月新招录1人，人员经费2024年较2023年增加半年</w:t>
      </w:r>
      <w:r>
        <w:rPr>
          <w:rFonts w:hint="eastAsia" w:ascii="方正仿宋_GBK" w:hAnsi="方正仿宋_GBK" w:eastAsia="方正仿宋_GBK" w:cs="方正仿宋_GBK"/>
          <w:color w:val="auto"/>
          <w:sz w:val="32"/>
          <w:szCs w:val="32"/>
          <w:shd w:val="clear" w:color="auto" w:fill="FFFFFF"/>
        </w:rPr>
        <w:t>。</w:t>
      </w:r>
    </w:p>
    <w:p>
      <w:pPr>
        <w:pStyle w:val="5"/>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39.25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与2023年度相比，增加9.63万元，增长32.5%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2023年7月新招录1人，人员经费2024年较2023年增加半年</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39.25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39.25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与2023年度相比，增加9.63万元，增长32.5%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2023年7月新招录1人，人员经费2024年较2023年增加半年</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39.25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val="en-US"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39.25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财政拨款收、支总计各增加9.63万元，增长32.5%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2023年7月新招录1人，人员经费2024年较2023年增加半年</w:t>
      </w:r>
      <w:r>
        <w:rPr>
          <w:rFonts w:hint="eastAsia"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39.25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与2023年度相比，增加9.63万元，增长32.5%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2023年7月新招录1人，人员经费2024年较2023年增加半年</w:t>
      </w:r>
      <w:r>
        <w:rPr>
          <w:rFonts w:hint="eastAsia"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较年初预算数增加4.28万元，增长12.2%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石财〔2024〕12号调整预算，超额绩效补发1.50万元</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rPr>
        <w:t>石财〔2024〕24号调剂预算，五险两金清算、工资追加2.14万元，补发2024年7月-2024年12月工资调标0.28万元等。</w:t>
      </w:r>
      <w:r>
        <w:rPr>
          <w:rFonts w:ascii="方正仿宋_GBK" w:hAnsi="方正仿宋_GBK" w:eastAsia="方正仿宋_GBK" w:cs="方正仿宋_GBK"/>
          <w:color w:val="auto"/>
          <w:sz w:val="32"/>
          <w:szCs w:val="32"/>
          <w:shd w:val="clear" w:color="auto" w:fill="FFFFFF"/>
        </w:rPr>
        <w:t>此</w:t>
      </w:r>
      <w:r>
        <w:rPr>
          <w:rFonts w:ascii="方正仿宋_GBK" w:hAnsi="方正仿宋_GBK" w:eastAsia="方正仿宋_GBK" w:cs="方正仿宋_GBK"/>
          <w:sz w:val="32"/>
          <w:szCs w:val="32"/>
          <w:shd w:val="clear" w:color="auto" w:fill="FFFFFF"/>
        </w:rPr>
        <w:t>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39.25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与2023年度相比，增加9.63万元，增长32.5%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2023年7月新招录1人，人员经费2024年较2023年增加半年</w:t>
      </w:r>
      <w:r>
        <w:rPr>
          <w:rFonts w:hint="eastAsia"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较年初预算数增加4.28万元，增长12.2%</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石财〔2024〕12号调整预算，超额绩效补发1.50万元；石财〔2024〕24号调剂预算，五险两金清算、工资追加2.14万元，补发2024年7月-2024年12月工资调标0.28万元等。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w:t>
      </w:r>
      <w:r>
        <w:rPr>
          <w:rFonts w:ascii="方正仿宋_GBK" w:hAnsi="方正仿宋_GBK" w:eastAsia="方正仿宋_GBK" w:cs="方正仿宋_GBK"/>
          <w:color w:val="auto"/>
          <w:sz w:val="32"/>
          <w:szCs w:val="32"/>
          <w:shd w:val="clear" w:color="auto" w:fill="FFFFFF"/>
        </w:rPr>
        <w:t>共服务支出</w:t>
      </w:r>
      <w:r>
        <w:rPr>
          <w:rFonts w:hint="default" w:ascii="Times New Roman" w:hAnsi="Times New Roman" w:eastAsia="方正仿宋_GBK"/>
          <w:color w:val="auto"/>
          <w:sz w:val="32"/>
          <w:szCs w:val="32"/>
          <w:shd w:val="clear" w:color="auto" w:fill="FFFFFF"/>
        </w:rPr>
        <w:t>30.91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较年初预算数增加2.13万元，增长7.4%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本年度补发工资和超额绩效，年中追加人员经费。</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5.19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较年初预算数增加2.14万元，增长70.2%</w:t>
      </w:r>
      <w:r>
        <w:rPr>
          <w:rFonts w:ascii="方正仿宋_GBK" w:hAnsi="方正仿宋_GBK" w:eastAsia="方正仿宋_GBK" w:cs="方正仿宋_GBK"/>
          <w:color w:val="auto"/>
          <w:sz w:val="32"/>
          <w:szCs w:val="32"/>
          <w:shd w:val="clear" w:color="auto" w:fill="FFFFFF"/>
        </w:rPr>
        <w:t>，主要原因</w:t>
      </w:r>
      <w:r>
        <w:rPr>
          <w:rFonts w:hint="default" w:ascii="Times New Roman" w:hAnsi="Times New Roman" w:eastAsia="方正仿宋_GBK"/>
          <w:color w:val="auto"/>
          <w:sz w:val="32"/>
          <w:szCs w:val="32"/>
          <w:shd w:val="clear" w:color="auto" w:fill="FFFFFF"/>
        </w:rPr>
        <w:t>是</w:t>
      </w:r>
      <w:r>
        <w:rPr>
          <w:rFonts w:hint="eastAsia" w:ascii="Times New Roman" w:hAnsi="Times New Roman" w:eastAsia="方正仿宋_GBK"/>
          <w:color w:val="auto"/>
          <w:sz w:val="32"/>
          <w:szCs w:val="32"/>
          <w:shd w:val="clear" w:color="auto" w:fill="FFFFFF"/>
          <w:lang w:val="en-US" w:eastAsia="zh-CN"/>
        </w:rPr>
        <w:t>2024年</w:t>
      </w:r>
      <w:r>
        <w:rPr>
          <w:rFonts w:hint="eastAsia" w:ascii="方正仿宋_GBK" w:hAnsi="方正仿宋_GBK" w:eastAsia="方正仿宋_GBK" w:cs="方正仿宋_GBK"/>
          <w:color w:val="auto"/>
          <w:sz w:val="32"/>
          <w:szCs w:val="32"/>
          <w:shd w:val="clear" w:color="auto" w:fill="FFFFFF"/>
          <w:lang w:val="en-US" w:eastAsia="zh-CN"/>
        </w:rPr>
        <w:t>度事业人员把超额绩效纳入养老保险和职业年金计算基数，年中清算追加保险。</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5"/>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39.25</w:t>
      </w:r>
      <w:r>
        <w:rPr>
          <w:rFonts w:ascii="方正仿宋_GBK" w:hAnsi="方正仿宋_GBK" w:eastAsia="方正仿宋_GBK" w:cs="方正仿宋_GBK"/>
          <w:sz w:val="32"/>
          <w:szCs w:val="32"/>
          <w:shd w:val="clear" w:color="auto" w:fill="FFFFFF"/>
        </w:rPr>
        <w:t>万元。其中：</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31.50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与2023年度相比，增加9.51万元，增长43.3%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2023年7月新招录1人，人员经费2024年较2023年增加半年</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w:t>
      </w:r>
      <w:r>
        <w:rPr>
          <w:rFonts w:ascii="方正仿宋_GBK" w:hAnsi="方正仿宋_GBK" w:eastAsia="方正仿宋_GBK" w:cs="方正仿宋_GBK"/>
          <w:color w:val="auto"/>
          <w:sz w:val="32"/>
          <w:szCs w:val="32"/>
          <w:shd w:val="clear" w:color="auto" w:fill="FFFFFF"/>
        </w:rPr>
        <w:t>要包括</w:t>
      </w:r>
      <w:r>
        <w:rPr>
          <w:rFonts w:hint="eastAsia" w:ascii="方正仿宋_GBK" w:hAnsi="方正仿宋_GBK" w:eastAsia="方正仿宋_GBK" w:cs="方正仿宋_GBK"/>
          <w:color w:val="auto"/>
          <w:sz w:val="32"/>
          <w:szCs w:val="32"/>
          <w:shd w:val="clear" w:color="auto" w:fill="FFFFFF"/>
        </w:rPr>
        <w:t>基本工资、津贴补贴、奖金、其他社会保障缴费、伙食补助费、绩效工资、机关事业单位基本养老保险缴费、职业年金缴费、其他工资福利支出、生活补助、奖励金、住房公积金。</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与2023年度相比，增加0.12万元，增长1.6%</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主要原因是工会经费增加。公用经费用途主要包括办公费、印刷费、咨询费、手续费、水费、电费、邮电费、差旅费、维修（护）费、会议费、培训费、公务接待费、劳务费、公务用车运行维护费、其他交通费用、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我单位属于乡镇下属事业单位</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年度未发生“三公”经费支出。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与2023年度相比，减少3.01万元，下降100.0%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我单位属于乡镇下属事业单位，</w:t>
      </w:r>
      <w:r>
        <w:rPr>
          <w:rFonts w:hint="eastAsia" w:ascii="方正仿宋_GBK" w:hAnsi="方正仿宋_GBK" w:eastAsia="方正仿宋_GBK" w:cs="方正仿宋_GBK"/>
          <w:color w:val="auto"/>
          <w:sz w:val="32"/>
          <w:szCs w:val="32"/>
          <w:shd w:val="clear" w:color="auto" w:fill="FFFFFF"/>
          <w:lang w:eastAsia="zh-CN"/>
        </w:rPr>
        <w:t>差旅费本年度在机关本级支出，</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未发生</w:t>
      </w:r>
      <w:r>
        <w:rPr>
          <w:rFonts w:hint="eastAsia" w:ascii="方正仿宋_GBK" w:hAnsi="方正仿宋_GBK" w:eastAsia="方正仿宋_GBK" w:cs="方正仿宋_GBK"/>
          <w:color w:val="auto"/>
          <w:sz w:val="32"/>
          <w:szCs w:val="32"/>
          <w:shd w:val="clear" w:color="auto" w:fill="FFFFFF"/>
          <w:lang w:eastAsia="zh-CN"/>
        </w:rPr>
        <w:t>差旅费</w:t>
      </w:r>
      <w:r>
        <w:rPr>
          <w:rFonts w:hint="eastAsia" w:ascii="方正仿宋_GBK" w:hAnsi="方正仿宋_GBK" w:eastAsia="方正仿宋_GBK" w:cs="方正仿宋_GBK"/>
          <w:color w:val="auto"/>
          <w:sz w:val="32"/>
          <w:szCs w:val="32"/>
          <w:shd w:val="clear" w:color="auto" w:fill="FFFFFF"/>
        </w:rPr>
        <w:t>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kern w:val="0"/>
          <w:sz w:val="24"/>
          <w:szCs w:val="24"/>
        </w:rPr>
      </w:pPr>
      <w:r>
        <w:rPr>
          <w:rFonts w:hint="eastAsia" w:ascii="方正仿宋_GBK" w:hAnsi="方正仿宋_GBK" w:eastAsia="方正仿宋_GBK" w:cs="方正仿宋_GBK"/>
          <w:kern w:val="0"/>
          <w:sz w:val="32"/>
          <w:szCs w:val="32"/>
          <w:shd w:val="clear" w:color="auto" w:fill="FFFFFF"/>
          <w:lang w:val="en-US" w:eastAsia="zh-CN" w:bidi="ar-SA"/>
        </w:rPr>
        <w:t>因资产系统未独立核算，由乡镇汇总录入，我单位资产未纳入部门决算报表。</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b w:val="0"/>
          <w:bCs w:val="0"/>
          <w:color w:val="auto"/>
          <w:sz w:val="32"/>
          <w:szCs w:val="32"/>
          <w:highlight w:val="none"/>
          <w:shd w:val="clear" w:color="auto" w:fill="FFFFFF"/>
        </w:rPr>
        <w:t>我</w:t>
      </w:r>
      <w:r>
        <w:rPr>
          <w:rFonts w:hint="eastAsia" w:ascii="方正仿宋_GBK" w:hAnsi="方正仿宋_GBK" w:eastAsia="方正仿宋_GBK" w:cs="方正仿宋_GBK"/>
          <w:b w:val="0"/>
          <w:bCs w:val="0"/>
          <w:color w:val="auto"/>
          <w:sz w:val="32"/>
          <w:szCs w:val="32"/>
          <w:highlight w:val="none"/>
          <w:shd w:val="clear" w:color="auto" w:fill="FFFFFF"/>
          <w:lang w:eastAsia="zh-CN"/>
        </w:rPr>
        <w:t>单位</w:t>
      </w:r>
      <w:r>
        <w:rPr>
          <w:rFonts w:ascii="方正仿宋_GBK" w:hAnsi="方正仿宋_GBK" w:eastAsia="方正仿宋_GBK" w:cs="方正仿宋_GBK"/>
          <w:b w:val="0"/>
          <w:bCs w:val="0"/>
          <w:color w:val="auto"/>
          <w:sz w:val="32"/>
          <w:szCs w:val="32"/>
          <w:highlight w:val="none"/>
          <w:shd w:val="clear" w:color="auto" w:fill="FFFFFF"/>
        </w:rPr>
        <w:t>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eastAsia" w:ascii="黑体" w:hAnsi="黑体" w:eastAsia="黑体" w:cs="黑体"/>
          <w:sz w:val="32"/>
          <w:szCs w:val="32"/>
          <w:shd w:val="clear" w:color="auto" w:fill="FFFFFF"/>
          <w:lang w:val="en-US" w:eastAsia="zh-CN"/>
        </w:rPr>
      </w:pPr>
      <w:r>
        <w:rPr>
          <w:rStyle w:val="8"/>
          <w:rFonts w:hint="eastAsia" w:ascii="黑体" w:hAnsi="黑体" w:eastAsia="黑体" w:cs="黑体"/>
          <w:sz w:val="32"/>
          <w:szCs w:val="32"/>
          <w:shd w:val="clear" w:color="auto" w:fill="FFFFFF"/>
          <w:lang w:val="en-US" w:eastAsia="zh-CN"/>
        </w:rPr>
        <w:t>五、预算绩效管理情况说明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年度无项目，未开展绩效自评。</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我单位未组织开展绩效评价。</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市财政局未委托第三方对我单位开展绩效评价。</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石柱土家族自治县三益乡综合行政执法大队</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309,119.08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51,877.44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16,262.34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15,236.64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392,495.50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392,495.50</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石柱土家族自治县三益乡综合行政执法大队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392,495.50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392,495.50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309,119.08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309,119.08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309,119.08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309,119.08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309,119.08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309,119.08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51,877.44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51,877.44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51,877.44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51,877.44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34,584.96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34,584.96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16,262.34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16,262.34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16,262.34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16,262.34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12,062.34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12,062.34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15,236.64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15,236.64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石柱土家族自治县三益乡综合行政执法大队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392,495.50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392,495.50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309,119.08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309,119.08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309,119.08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309,119.08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309,119.08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309,119.08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51,877.44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51,877.44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51,877.44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51,877.44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34,584.96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34,584.96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16,262.34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16,262.34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16,262.34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16,262.34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12,062.34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12,062.34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15,236.64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15,236.64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15,236.64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石柱土家族自治县三益乡综合行政执法大队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309,119.08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309,119.08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51,877.44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51,877.44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16,262.34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16,262.34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15,236.64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15,236.64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392,495.50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392,495.50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392,495.50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392,495.50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392,495.50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309,119.08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309,119.08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309,119.08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309,119.08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309,119.08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309,119.08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309,119.08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309,119.08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309,119.08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309,119.08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309,119.08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309,119.08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51,877.44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51,877.44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51,877.44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51,877.44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51,877.44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51,877.44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51,877.44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51,877.44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34,584.96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34,584.96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34,584.96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34,584.96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16,262.34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16,262.34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16,262.34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16,262.34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16,262.34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16,262.34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16,262.34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16,262.34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12,062.34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12,062.34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12,062.34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12,062.34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15,236.64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15,236.64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15,236.64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15,236.64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15,236.64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15,236.64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15,236.64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15,236.64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15,236.64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15,236.64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15,236.64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15,236.64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石柱土家族自治县三益乡综合行政执法大队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314,956.06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77,539.44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61,518.00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71,161.78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21,891.00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146,520.00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34,584.96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3,472.82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17,292.48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12,697.20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1,015.78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15,236.64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2,539.44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314,956.06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77,539.44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石柱土家族自治县三益乡综合行政执法大队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石柱土家族自治县三益乡综合行政执法大队</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0B34251"/>
    <w:rsid w:val="01213BFE"/>
    <w:rsid w:val="01474EBF"/>
    <w:rsid w:val="01F3521E"/>
    <w:rsid w:val="03020C32"/>
    <w:rsid w:val="03E3214F"/>
    <w:rsid w:val="04446191"/>
    <w:rsid w:val="044C50BA"/>
    <w:rsid w:val="0536621F"/>
    <w:rsid w:val="05653FBC"/>
    <w:rsid w:val="05E71467"/>
    <w:rsid w:val="06A2550B"/>
    <w:rsid w:val="06F80EE2"/>
    <w:rsid w:val="07001CCA"/>
    <w:rsid w:val="075321D2"/>
    <w:rsid w:val="075678DB"/>
    <w:rsid w:val="07932335"/>
    <w:rsid w:val="08051BCA"/>
    <w:rsid w:val="080A21BB"/>
    <w:rsid w:val="08BA052C"/>
    <w:rsid w:val="08DB07BA"/>
    <w:rsid w:val="098305D0"/>
    <w:rsid w:val="09B72B6E"/>
    <w:rsid w:val="09CB082F"/>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0FA605E4"/>
    <w:rsid w:val="103645A3"/>
    <w:rsid w:val="107B59E5"/>
    <w:rsid w:val="10AA219D"/>
    <w:rsid w:val="11003CB0"/>
    <w:rsid w:val="11124E18"/>
    <w:rsid w:val="111445C7"/>
    <w:rsid w:val="111F3E95"/>
    <w:rsid w:val="1158083A"/>
    <w:rsid w:val="11A622AD"/>
    <w:rsid w:val="11F03528"/>
    <w:rsid w:val="12C921C4"/>
    <w:rsid w:val="12DA353E"/>
    <w:rsid w:val="13850DCB"/>
    <w:rsid w:val="13871C70"/>
    <w:rsid w:val="13A71CB4"/>
    <w:rsid w:val="13AF1D43"/>
    <w:rsid w:val="13CE1647"/>
    <w:rsid w:val="14200702"/>
    <w:rsid w:val="144F3F11"/>
    <w:rsid w:val="1580711B"/>
    <w:rsid w:val="16B207CA"/>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1722B1"/>
    <w:rsid w:val="1D694DFF"/>
    <w:rsid w:val="1D794AE5"/>
    <w:rsid w:val="1DD26311"/>
    <w:rsid w:val="1DE57DAF"/>
    <w:rsid w:val="1EF67CA4"/>
    <w:rsid w:val="1F213FD9"/>
    <w:rsid w:val="1FCD26AF"/>
    <w:rsid w:val="20642787"/>
    <w:rsid w:val="207B2B57"/>
    <w:rsid w:val="20C83310"/>
    <w:rsid w:val="20EC77A3"/>
    <w:rsid w:val="21556F04"/>
    <w:rsid w:val="223162C6"/>
    <w:rsid w:val="22403BD3"/>
    <w:rsid w:val="24B92327"/>
    <w:rsid w:val="251C29DF"/>
    <w:rsid w:val="2533755C"/>
    <w:rsid w:val="26396DF4"/>
    <w:rsid w:val="266B763B"/>
    <w:rsid w:val="27167136"/>
    <w:rsid w:val="27B23302"/>
    <w:rsid w:val="27D424D7"/>
    <w:rsid w:val="285722C3"/>
    <w:rsid w:val="2898496C"/>
    <w:rsid w:val="28B91041"/>
    <w:rsid w:val="28DC1FF8"/>
    <w:rsid w:val="29310A5F"/>
    <w:rsid w:val="29C37A35"/>
    <w:rsid w:val="2A076083"/>
    <w:rsid w:val="2A306CA5"/>
    <w:rsid w:val="2A73162E"/>
    <w:rsid w:val="2AFA2E94"/>
    <w:rsid w:val="2B167953"/>
    <w:rsid w:val="2B200583"/>
    <w:rsid w:val="2B8209DE"/>
    <w:rsid w:val="2C6762A3"/>
    <w:rsid w:val="2D5F4C37"/>
    <w:rsid w:val="2EB43CEA"/>
    <w:rsid w:val="2EBB5B93"/>
    <w:rsid w:val="2F182039"/>
    <w:rsid w:val="2FE029D7"/>
    <w:rsid w:val="2FF06E00"/>
    <w:rsid w:val="315F0B22"/>
    <w:rsid w:val="31BE24D6"/>
    <w:rsid w:val="31D84415"/>
    <w:rsid w:val="32285F6F"/>
    <w:rsid w:val="32770556"/>
    <w:rsid w:val="329C0913"/>
    <w:rsid w:val="3337290D"/>
    <w:rsid w:val="34BF4F4F"/>
    <w:rsid w:val="352930DB"/>
    <w:rsid w:val="35573069"/>
    <w:rsid w:val="358C217E"/>
    <w:rsid w:val="359E7284"/>
    <w:rsid w:val="359F188C"/>
    <w:rsid w:val="36C9128A"/>
    <w:rsid w:val="37841E99"/>
    <w:rsid w:val="379C594F"/>
    <w:rsid w:val="37BF1123"/>
    <w:rsid w:val="37C85E36"/>
    <w:rsid w:val="38BE4696"/>
    <w:rsid w:val="3908184F"/>
    <w:rsid w:val="39B82A39"/>
    <w:rsid w:val="39F33306"/>
    <w:rsid w:val="3B1705E5"/>
    <w:rsid w:val="3B18334B"/>
    <w:rsid w:val="3B36794F"/>
    <w:rsid w:val="3B544954"/>
    <w:rsid w:val="3B793FF0"/>
    <w:rsid w:val="3B97076E"/>
    <w:rsid w:val="3BA75D16"/>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3346644"/>
    <w:rsid w:val="443A3B12"/>
    <w:rsid w:val="44487B36"/>
    <w:rsid w:val="44EF6BE8"/>
    <w:rsid w:val="45A30364"/>
    <w:rsid w:val="465B470D"/>
    <w:rsid w:val="469D6AD4"/>
    <w:rsid w:val="47674801"/>
    <w:rsid w:val="48225EF7"/>
    <w:rsid w:val="48A36D47"/>
    <w:rsid w:val="495C4A24"/>
    <w:rsid w:val="49A21DF3"/>
    <w:rsid w:val="49C811E4"/>
    <w:rsid w:val="4A216E30"/>
    <w:rsid w:val="4B675EE4"/>
    <w:rsid w:val="4B7951CB"/>
    <w:rsid w:val="4B7C315C"/>
    <w:rsid w:val="4B9300D7"/>
    <w:rsid w:val="4BAB7F90"/>
    <w:rsid w:val="4BD53EDA"/>
    <w:rsid w:val="4BE11807"/>
    <w:rsid w:val="4BEA2CBE"/>
    <w:rsid w:val="4C484CE5"/>
    <w:rsid w:val="4C613484"/>
    <w:rsid w:val="4CC6456C"/>
    <w:rsid w:val="4DAC4ACA"/>
    <w:rsid w:val="4DD06F63"/>
    <w:rsid w:val="4DF0398D"/>
    <w:rsid w:val="4E043596"/>
    <w:rsid w:val="4EA8523F"/>
    <w:rsid w:val="4EE908E7"/>
    <w:rsid w:val="4F186D58"/>
    <w:rsid w:val="4F224836"/>
    <w:rsid w:val="4FA90297"/>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C7A4DD1"/>
    <w:rsid w:val="5D290C69"/>
    <w:rsid w:val="5EFA176D"/>
    <w:rsid w:val="5F0247F9"/>
    <w:rsid w:val="5F2D4A41"/>
    <w:rsid w:val="601C34ED"/>
    <w:rsid w:val="60A511FB"/>
    <w:rsid w:val="61025A59"/>
    <w:rsid w:val="613D5BBC"/>
    <w:rsid w:val="61536C39"/>
    <w:rsid w:val="616D60F9"/>
    <w:rsid w:val="62205F47"/>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260A0B"/>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DB4488"/>
    <w:rsid w:val="71ED38AA"/>
    <w:rsid w:val="72DB435C"/>
    <w:rsid w:val="74ED1B1B"/>
    <w:rsid w:val="750837F0"/>
    <w:rsid w:val="76257DC8"/>
    <w:rsid w:val="762A73EF"/>
    <w:rsid w:val="7631412E"/>
    <w:rsid w:val="764F62AB"/>
    <w:rsid w:val="765C45EC"/>
    <w:rsid w:val="768A7619"/>
    <w:rsid w:val="770611BC"/>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D30075"/>
    <w:rsid w:val="7CE56AF6"/>
    <w:rsid w:val="7CF02E5B"/>
    <w:rsid w:val="7D213FB2"/>
    <w:rsid w:val="7EDE320A"/>
    <w:rsid w:val="7FE73659"/>
    <w:rsid w:val="7FF723E4"/>
    <w:rsid w:val="7FF9B26A"/>
    <w:rsid w:val="FDF653BD"/>
    <w:rsid w:val="FF9F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4998</Words>
  <Characters>8097</Characters>
  <Lines>161</Lines>
  <Paragraphs>45</Paragraphs>
  <TotalTime>5</TotalTime>
  <ScaleCrop>false</ScaleCrop>
  <LinksUpToDate>false</LinksUpToDate>
  <CharactersWithSpaces>8860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2025-10-14T15:27:05Z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eyJoZGlkIjoiMjZmMGQ0YzQ3MzVkY2MzYjQ0NGQ1ODUwNGQ5MTg0ZWIifQ==</vt:lpwstr>
  </property>
</Properties>
</file>