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991C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石柱土家族自治县三益乡人民政府</w:t>
      </w:r>
    </w:p>
    <w:p w14:paraId="02ABA2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年部门预算情况说明</w:t>
      </w:r>
    </w:p>
    <w:p w14:paraId="7F128E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p>
    <w:p w14:paraId="6534EB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14:paraId="6D9A82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14:paraId="34EA7A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益乡党政机构具有党委和政府两种职责，党委领导政府工作，主要是政治思想和方针政策的领导，干部的选拔、考核和监督，经济和行政工作中重大问题的决策。乡政府是基层国家行政机关，行使本行政区的行政职能。</w:t>
      </w:r>
    </w:p>
    <w:p w14:paraId="58465D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党委工作职责：（1）保证党的路线、方针、政策的坚决贯彻执行。（2）保证监督职能。（3）教育和管理职能。（4）服从和服务于经济建设的职能。（5）负责抓好本乡党建工作、群团工作、精神文明建设工作、新闻宣传工作。（6）完成县委、县政府交给的其他工作任务。</w:t>
      </w:r>
    </w:p>
    <w:p w14:paraId="742181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政府工作职责：（1）制定并组织实施村镇建设规划，部署重点工程建设，地方道路建设及公共设施，水利设施的管理，负责土地、林木、水等自然资源和生态环境的保护，做好护林防火工作。（2）负责本行政区域内的民政、计划生育、文化教育、卫生、体育等社会公益事业的综合性工作，维护一切经济单位和个人的正当经济权益，取缔非法经济活动，调解和处理民事纠纷，打击刑事犯罪维护社会稳定。（3）抓好精神文明建设，丰富群众文化生活，提倡移风易俗，反对封建迷信，破除陈规陋习，树立社会主义新风尚。（4）完成上级政府交办的其他事项。</w:t>
      </w:r>
    </w:p>
    <w:p w14:paraId="4E5578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（二）单位构成</w:t>
      </w:r>
    </w:p>
    <w:p w14:paraId="773B51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部门本级内设机构</w:t>
      </w:r>
      <w:r>
        <w:rPr>
          <w:rFonts w:hint="eastAsia" w:ascii="Times New Roman" w:hAnsi="Times New Roman" w:eastAsia="方正仿宋_GBK" w:cs="Times New Roman"/>
          <w:sz w:val="32"/>
          <w:szCs w:val="32"/>
          <w:lang w:val="en-US" w:eastAsia="zh-CN"/>
        </w:rPr>
        <w:t>5个，各机构规范简称依次为：基层治理综合指挥室、党的建设办公室、经济发展办公室、民生服务办公室、平安法治办公室。</w:t>
      </w:r>
      <w:r>
        <w:rPr>
          <w:rFonts w:ascii="Times New Roman" w:hAnsi="Times New Roman" w:eastAsia="方正仿宋_GBK"/>
          <w:sz w:val="32"/>
          <w:szCs w:val="32"/>
        </w:rPr>
        <w:t>下设二级预算单位</w:t>
      </w:r>
      <w:r>
        <w:rPr>
          <w:rFonts w:hint="eastAsia" w:ascii="Times New Roman" w:hAnsi="Times New Roman" w:eastAsia="方正仿宋_GBK" w:cs="Times New Roman"/>
          <w:sz w:val="32"/>
          <w:szCs w:val="32"/>
          <w:lang w:val="en-US" w:eastAsia="zh-CN"/>
        </w:rPr>
        <w:t>4个，分别是：</w:t>
      </w:r>
      <w:r>
        <w:rPr>
          <w:rFonts w:hint="eastAsia" w:ascii="Times New Roman" w:hAnsi="Times New Roman" w:eastAsia="方正仿宋_GBK" w:cs="Times New Roman"/>
          <w:sz w:val="32"/>
          <w:szCs w:val="32"/>
          <w:lang w:eastAsia="zh-CN"/>
        </w:rPr>
        <w:t>产业发展服务中心，新时代文明实践服务</w:t>
      </w:r>
      <w:r>
        <w:rPr>
          <w:rFonts w:hint="default" w:ascii="Times New Roman" w:hAnsi="Times New Roman" w:eastAsia="方正仿宋_GBK" w:cs="Times New Roman"/>
          <w:sz w:val="32"/>
          <w:szCs w:val="32"/>
        </w:rPr>
        <w:t>中心</w:t>
      </w:r>
      <w:r>
        <w:rPr>
          <w:rFonts w:hint="eastAsia" w:ascii="Times New Roman" w:hAnsi="Times New Roman" w:eastAsia="方正仿宋_GBK" w:cs="Times New Roman"/>
          <w:sz w:val="32"/>
          <w:szCs w:val="32"/>
          <w:lang w:eastAsia="zh-CN"/>
        </w:rPr>
        <w:t>，便民服务中心，综合行政执法大队</w:t>
      </w:r>
      <w:r>
        <w:rPr>
          <w:rFonts w:hint="default" w:ascii="Times New Roman" w:hAnsi="Times New Roman" w:eastAsia="方正仿宋_GBK" w:cs="Times New Roman"/>
          <w:sz w:val="32"/>
          <w:szCs w:val="32"/>
        </w:rPr>
        <w:t>。</w:t>
      </w:r>
    </w:p>
    <w:p w14:paraId="562EA6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二、部门收支总体情况</w:t>
      </w:r>
    </w:p>
    <w:p w14:paraId="04F769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yellow"/>
          <w:lang w:eastAsia="zh-CN"/>
        </w:rPr>
      </w:pPr>
      <w:r>
        <w:rPr>
          <w:rFonts w:hint="default" w:ascii="Times New Roman" w:hAnsi="Times New Roman" w:eastAsia="方正楷体_GBK" w:cs="Times New Roman"/>
          <w:sz w:val="32"/>
          <w:szCs w:val="32"/>
        </w:rPr>
        <w:t>（一）收入预算：</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年初预算数</w:t>
      </w:r>
      <w:r>
        <w:rPr>
          <w:rFonts w:hint="eastAsia" w:ascii="Times New Roman" w:hAnsi="Times New Roman" w:eastAsia="方正仿宋_GBK" w:cs="Times New Roman"/>
          <w:sz w:val="32"/>
          <w:szCs w:val="32"/>
          <w:lang w:val="en-US" w:eastAsia="zh-CN"/>
        </w:rPr>
        <w:t>736.66</w:t>
      </w:r>
      <w:r>
        <w:rPr>
          <w:rFonts w:hint="default" w:ascii="Times New Roman" w:hAnsi="Times New Roman" w:eastAsia="方正仿宋_GBK" w:cs="Times New Roman"/>
          <w:sz w:val="32"/>
          <w:szCs w:val="32"/>
        </w:rPr>
        <w:t>万元，其中：一般公共预算拨款</w:t>
      </w:r>
      <w:r>
        <w:rPr>
          <w:rFonts w:hint="eastAsia" w:ascii="Times New Roman" w:hAnsi="Times New Roman" w:eastAsia="方正仿宋_GBK" w:cs="Times New Roman"/>
          <w:sz w:val="32"/>
          <w:szCs w:val="32"/>
          <w:lang w:val="en-US" w:eastAsia="zh-CN"/>
        </w:rPr>
        <w:t>736.66</w:t>
      </w:r>
      <w:r>
        <w:rPr>
          <w:rFonts w:hint="default" w:ascii="Times New Roman" w:hAnsi="Times New Roman" w:eastAsia="方正仿宋_GBK" w:cs="Times New Roman"/>
          <w:sz w:val="32"/>
          <w:szCs w:val="32"/>
        </w:rPr>
        <w:t>万元，政府性基金预算拨款</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万元，国有资本经营预算拨款</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万元，财政专户管理资金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万元，事业收入资金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万元，上级补助收入资金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万元，附属单位上缴收入资金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万元，事业单位经营收入资金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万元，其他收入资金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万元；收入</w:t>
      </w:r>
      <w:r>
        <w:rPr>
          <w:rFonts w:hint="eastAsia" w:ascii="Times New Roman" w:hAnsi="Times New Roman" w:eastAsia="方正仿宋_GBK" w:cs="Times New Roman"/>
          <w:sz w:val="32"/>
          <w:szCs w:val="32"/>
          <w:lang w:eastAsia="zh-CN"/>
        </w:rPr>
        <w:t>比2024年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10.16</w:t>
      </w:r>
      <w:r>
        <w:rPr>
          <w:rFonts w:hint="default" w:ascii="Times New Roman" w:hAnsi="Times New Roman" w:eastAsia="方正仿宋_GBK" w:cs="Times New Roman"/>
          <w:sz w:val="32"/>
          <w:szCs w:val="32"/>
        </w:rPr>
        <w:t>万元，主要是一般公共预算拨款增加</w:t>
      </w:r>
      <w:r>
        <w:rPr>
          <w:rFonts w:hint="eastAsia" w:ascii="Times New Roman" w:hAnsi="Times New Roman" w:eastAsia="方正仿宋_GBK" w:cs="Times New Roman"/>
          <w:sz w:val="32"/>
          <w:szCs w:val="32"/>
          <w:lang w:val="en-US" w:eastAsia="zh-CN"/>
        </w:rPr>
        <w:t>10.16</w:t>
      </w:r>
      <w:r>
        <w:rPr>
          <w:rFonts w:hint="default" w:ascii="Times New Roman" w:hAnsi="Times New Roman" w:eastAsia="方正仿宋_GBK" w:cs="Times New Roman"/>
          <w:sz w:val="32"/>
          <w:szCs w:val="32"/>
        </w:rPr>
        <w:t>万元。</w:t>
      </w:r>
    </w:p>
    <w:p w14:paraId="13C880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（二）支出预算：</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年初预算数</w:t>
      </w:r>
      <w:r>
        <w:rPr>
          <w:rFonts w:hint="eastAsia" w:ascii="Times New Roman" w:hAnsi="Times New Roman" w:eastAsia="方正仿宋_GBK" w:cs="Times New Roman"/>
          <w:sz w:val="32"/>
          <w:szCs w:val="32"/>
          <w:lang w:val="en-US" w:eastAsia="zh-CN"/>
        </w:rPr>
        <w:t>736.66</w:t>
      </w:r>
      <w:r>
        <w:rPr>
          <w:rFonts w:hint="default" w:ascii="Times New Roman" w:hAnsi="Times New Roman" w:eastAsia="方正仿宋_GBK" w:cs="Times New Roman"/>
          <w:sz w:val="32"/>
          <w:szCs w:val="32"/>
        </w:rPr>
        <w:t>万元，其中：一般公共服务支出</w:t>
      </w:r>
      <w:r>
        <w:rPr>
          <w:rFonts w:hint="eastAsia" w:ascii="Times New Roman" w:hAnsi="Times New Roman" w:eastAsia="方正仿宋_GBK" w:cs="Times New Roman"/>
          <w:sz w:val="32"/>
          <w:szCs w:val="32"/>
          <w:lang w:val="en-US" w:eastAsia="zh-CN"/>
        </w:rPr>
        <w:t>301.22</w:t>
      </w:r>
      <w:r>
        <w:rPr>
          <w:rFonts w:hint="default" w:ascii="Times New Roman" w:hAnsi="Times New Roman" w:eastAsia="方正仿宋_GBK" w:cs="Times New Roman"/>
          <w:sz w:val="32"/>
          <w:szCs w:val="32"/>
        </w:rPr>
        <w:t>万元，文化旅游体育与传媒支出</w:t>
      </w:r>
      <w:r>
        <w:rPr>
          <w:rFonts w:hint="eastAsia" w:ascii="Times New Roman" w:hAnsi="Times New Roman" w:eastAsia="方正仿宋_GBK" w:cs="Times New Roman"/>
          <w:sz w:val="32"/>
          <w:szCs w:val="32"/>
          <w:lang w:val="en-US" w:eastAsia="zh-CN"/>
        </w:rPr>
        <w:t>28.28</w:t>
      </w:r>
      <w:r>
        <w:rPr>
          <w:rFonts w:hint="default" w:ascii="Times New Roman" w:hAnsi="Times New Roman" w:eastAsia="方正仿宋_GBK" w:cs="Times New Roman"/>
          <w:sz w:val="32"/>
          <w:szCs w:val="32"/>
        </w:rPr>
        <w:t>万元，社会保障和就业支出</w:t>
      </w:r>
      <w:r>
        <w:rPr>
          <w:rFonts w:hint="eastAsia" w:ascii="Times New Roman" w:hAnsi="Times New Roman" w:eastAsia="方正仿宋_GBK" w:cs="Times New Roman"/>
          <w:sz w:val="32"/>
          <w:szCs w:val="32"/>
          <w:lang w:val="en-US" w:eastAsia="zh-CN"/>
        </w:rPr>
        <w:t>129.73</w:t>
      </w:r>
      <w:r>
        <w:rPr>
          <w:rFonts w:hint="default" w:ascii="Times New Roman" w:hAnsi="Times New Roman" w:eastAsia="方正仿宋_GBK" w:cs="Times New Roman"/>
          <w:sz w:val="32"/>
          <w:szCs w:val="32"/>
        </w:rPr>
        <w:t>万元，卫生健康支出</w:t>
      </w:r>
      <w:r>
        <w:rPr>
          <w:rFonts w:hint="eastAsia" w:ascii="Times New Roman" w:hAnsi="Times New Roman" w:eastAsia="方正仿宋_GBK" w:cs="Times New Roman"/>
          <w:sz w:val="32"/>
          <w:szCs w:val="32"/>
          <w:lang w:val="en-US" w:eastAsia="zh-CN"/>
        </w:rPr>
        <w:t>32.28</w:t>
      </w:r>
      <w:r>
        <w:rPr>
          <w:rFonts w:hint="default" w:ascii="Times New Roman" w:hAnsi="Times New Roman" w:eastAsia="方正仿宋_GBK" w:cs="Times New Roman"/>
          <w:sz w:val="32"/>
          <w:szCs w:val="32"/>
        </w:rPr>
        <w:t>万元，住房保障支出</w:t>
      </w:r>
      <w:r>
        <w:rPr>
          <w:rFonts w:hint="eastAsia" w:ascii="Times New Roman" w:hAnsi="Times New Roman" w:eastAsia="方正仿宋_GBK" w:cs="Times New Roman"/>
          <w:sz w:val="32"/>
          <w:szCs w:val="32"/>
          <w:lang w:val="en-US" w:eastAsia="zh-CN"/>
        </w:rPr>
        <w:t>33.54</w:t>
      </w:r>
      <w:r>
        <w:rPr>
          <w:rFonts w:hint="default" w:ascii="Times New Roman" w:hAnsi="Times New Roman" w:eastAsia="方正仿宋_GBK" w:cs="Times New Roman"/>
          <w:sz w:val="32"/>
          <w:szCs w:val="32"/>
        </w:rPr>
        <w:t>万元，农林水支出</w:t>
      </w:r>
      <w:r>
        <w:rPr>
          <w:rFonts w:hint="eastAsia" w:ascii="Times New Roman" w:hAnsi="Times New Roman" w:eastAsia="方正仿宋_GBK" w:cs="Times New Roman"/>
          <w:sz w:val="32"/>
          <w:szCs w:val="32"/>
          <w:lang w:val="en-US" w:eastAsia="zh-CN"/>
        </w:rPr>
        <w:t>208.61</w:t>
      </w:r>
      <w:r>
        <w:rPr>
          <w:rFonts w:hint="default" w:ascii="Times New Roman" w:hAnsi="Times New Roman" w:eastAsia="方正仿宋_GBK" w:cs="Times New Roman"/>
          <w:sz w:val="32"/>
          <w:szCs w:val="32"/>
        </w:rPr>
        <w:t>万元，灾害防治及应急管理支出</w:t>
      </w:r>
      <w:r>
        <w:rPr>
          <w:rFonts w:hint="eastAsia" w:ascii="Times New Roman" w:hAnsi="Times New Roman" w:eastAsia="方正仿宋_GBK" w:cs="Times New Roman"/>
          <w:sz w:val="32"/>
          <w:szCs w:val="32"/>
          <w:lang w:val="en-US" w:eastAsia="zh-CN"/>
        </w:rPr>
        <w:t>3.00</w:t>
      </w:r>
      <w:r>
        <w:rPr>
          <w:rFonts w:hint="default" w:ascii="Times New Roman" w:hAnsi="Times New Roman" w:eastAsia="方正仿宋_GBK" w:cs="Times New Roman"/>
          <w:sz w:val="32"/>
          <w:szCs w:val="32"/>
        </w:rPr>
        <w:t>万元；支出</w:t>
      </w:r>
      <w:r>
        <w:rPr>
          <w:rFonts w:hint="eastAsia" w:ascii="Times New Roman" w:hAnsi="Times New Roman" w:eastAsia="方正仿宋_GBK" w:cs="Times New Roman"/>
          <w:sz w:val="32"/>
          <w:szCs w:val="32"/>
          <w:lang w:eastAsia="zh-CN"/>
        </w:rPr>
        <w:t>比2024年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10.16</w:t>
      </w:r>
      <w:r>
        <w:rPr>
          <w:rFonts w:hint="default" w:ascii="Times New Roman" w:hAnsi="Times New Roman" w:eastAsia="方正仿宋_GBK" w:cs="Times New Roman"/>
          <w:sz w:val="32"/>
          <w:szCs w:val="32"/>
        </w:rPr>
        <w:t>万元，主要是基本支出增加</w:t>
      </w:r>
      <w:r>
        <w:rPr>
          <w:rFonts w:hint="eastAsia" w:ascii="Times New Roman" w:hAnsi="Times New Roman" w:eastAsia="方正仿宋_GBK" w:cs="Times New Roman"/>
          <w:sz w:val="32"/>
          <w:szCs w:val="32"/>
          <w:lang w:val="en-US" w:eastAsia="zh-CN"/>
        </w:rPr>
        <w:t>21.32</w:t>
      </w:r>
      <w:r>
        <w:rPr>
          <w:rFonts w:hint="default" w:ascii="Times New Roman" w:hAnsi="Times New Roman" w:eastAsia="方正仿宋_GBK" w:cs="Times New Roman"/>
          <w:sz w:val="32"/>
          <w:szCs w:val="32"/>
        </w:rPr>
        <w:t>万元，项目支出</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11.16</w:t>
      </w:r>
      <w:r>
        <w:rPr>
          <w:rFonts w:hint="default" w:ascii="Times New Roman" w:hAnsi="Times New Roman" w:eastAsia="方正仿宋_GBK" w:cs="Times New Roman"/>
          <w:sz w:val="32"/>
          <w:szCs w:val="32"/>
        </w:rPr>
        <w:t>万元。</w:t>
      </w:r>
    </w:p>
    <w:p w14:paraId="3C2AFF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三、部门预算情况说明</w:t>
      </w:r>
    </w:p>
    <w:p w14:paraId="040948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一般公共预算财政拨款收入</w:t>
      </w:r>
      <w:r>
        <w:rPr>
          <w:rFonts w:hint="eastAsia" w:ascii="Times New Roman" w:hAnsi="Times New Roman" w:eastAsia="方正仿宋_GBK" w:cs="Times New Roman"/>
          <w:sz w:val="32"/>
          <w:szCs w:val="32"/>
          <w:lang w:val="en-US" w:eastAsia="zh-CN"/>
        </w:rPr>
        <w:t>736.66</w:t>
      </w:r>
      <w:r>
        <w:rPr>
          <w:rFonts w:hint="default" w:ascii="Times New Roman" w:hAnsi="Times New Roman" w:eastAsia="方正仿宋_GBK" w:cs="Times New Roman"/>
          <w:sz w:val="32"/>
          <w:szCs w:val="32"/>
        </w:rPr>
        <w:t>万元，一般公共预算财政拨款支出</w:t>
      </w:r>
      <w:r>
        <w:rPr>
          <w:rFonts w:hint="eastAsia" w:ascii="Times New Roman" w:hAnsi="Times New Roman" w:eastAsia="方正仿宋_GBK" w:cs="Times New Roman"/>
          <w:sz w:val="32"/>
          <w:szCs w:val="32"/>
          <w:lang w:val="en-US" w:eastAsia="zh-CN"/>
        </w:rPr>
        <w:t>736.66</w:t>
      </w:r>
      <w:r>
        <w:rPr>
          <w:rFonts w:hint="default" w:ascii="Times New Roman" w:hAnsi="Times New Roman" w:eastAsia="方正仿宋_GBK" w:cs="Times New Roman"/>
          <w:sz w:val="32"/>
          <w:szCs w:val="32"/>
        </w:rPr>
        <w:t>万元，比</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10.16</w:t>
      </w:r>
      <w:r>
        <w:rPr>
          <w:rFonts w:hint="default"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lang w:val="en-US" w:eastAsia="zh-CN"/>
        </w:rPr>
        <w:t>581.46</w:t>
      </w:r>
      <w:r>
        <w:rPr>
          <w:rFonts w:hint="default" w:ascii="Times New Roman" w:hAnsi="Times New Roman" w:eastAsia="方正仿宋_GBK" w:cs="Times New Roman"/>
          <w:sz w:val="32"/>
          <w:szCs w:val="32"/>
        </w:rPr>
        <w:t>万元，主要用于保障在职人员工资福利及社会保险缴费、离休人员离休费、退休人员补助等，保障部门正常运转的各项商品服务支出，比</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21.32</w:t>
      </w:r>
      <w:r>
        <w:rPr>
          <w:rFonts w:hint="default" w:ascii="Times New Roman" w:hAnsi="Times New Roman" w:eastAsia="方正仿宋_GBK" w:cs="Times New Roman"/>
          <w:sz w:val="32"/>
          <w:szCs w:val="32"/>
        </w:rPr>
        <w:t>万元，主要原因是2024年机构改革，本</w:t>
      </w:r>
      <w:r>
        <w:rPr>
          <w:rFonts w:hint="eastAsia" w:ascii="Times New Roman" w:hAnsi="Times New Roman" w:eastAsia="方正仿宋_GBK" w:cs="Times New Roman"/>
          <w:sz w:val="32"/>
          <w:szCs w:val="32"/>
          <w:lang w:eastAsia="zh-CN"/>
        </w:rPr>
        <w:t>部门下属事业</w:t>
      </w:r>
      <w:r>
        <w:rPr>
          <w:rFonts w:hint="default" w:ascii="Times New Roman" w:hAnsi="Times New Roman" w:eastAsia="方正仿宋_GBK" w:cs="Times New Roman"/>
          <w:sz w:val="32"/>
          <w:szCs w:val="32"/>
        </w:rPr>
        <w:t>单位2024年新招录2人，人员经费预算增加；项目支出</w:t>
      </w:r>
      <w:r>
        <w:rPr>
          <w:rFonts w:hint="eastAsia" w:ascii="Times New Roman" w:hAnsi="Times New Roman" w:eastAsia="方正仿宋_GBK" w:cs="Times New Roman"/>
          <w:sz w:val="32"/>
          <w:szCs w:val="32"/>
          <w:lang w:val="en-US" w:eastAsia="zh-CN"/>
        </w:rPr>
        <w:t>155.20</w:t>
      </w:r>
      <w:r>
        <w:rPr>
          <w:rFonts w:hint="default" w:ascii="Times New Roman" w:hAnsi="Times New Roman" w:eastAsia="方正仿宋_GBK" w:cs="Times New Roman"/>
          <w:sz w:val="32"/>
          <w:szCs w:val="32"/>
        </w:rPr>
        <w:t>万元，主要用于对村民委员会和村党支部的补助、三支一扶补助、遗属人员补助等重点工作，比</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11.16</w:t>
      </w:r>
      <w:r>
        <w:rPr>
          <w:rFonts w:hint="default" w:ascii="Times New Roman" w:hAnsi="Times New Roman" w:eastAsia="方正仿宋_GBK" w:cs="Times New Roman"/>
          <w:sz w:val="32"/>
          <w:szCs w:val="32"/>
        </w:rPr>
        <w:t>万元，主要原因是较2024年减少了辣椒规模基地建设项目资金11.96万元。</w:t>
      </w:r>
    </w:p>
    <w:p w14:paraId="3C9D40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政府性基金预算财政拨款收入</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万元，政府性基金预算支出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万元，三益乡人民政府202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年无使用政府性基金预算拨款安排的支出，与上年保持一致</w:t>
      </w:r>
      <w:r>
        <w:rPr>
          <w:rFonts w:hint="eastAsia" w:ascii="Times New Roman" w:hAnsi="Times New Roman" w:eastAsia="方正仿宋_GBK" w:cs="Times New Roman"/>
          <w:sz w:val="32"/>
          <w:szCs w:val="32"/>
          <w:lang w:eastAsia="zh-CN"/>
        </w:rPr>
        <w:t>。</w:t>
      </w:r>
    </w:p>
    <w:p w14:paraId="21D5EA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14:paraId="710651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2025年“三公”经费预算8万元，比2024年减少0.24万元。其中：因公出国（境）费用0万元，与2024年相比不变；公务接待费2.00万元，比2024年减少0.24万元；公务用车运行维护费6万元，与2024年相比不变；公务用车购置费0万元，与2024年相比不变</w:t>
      </w:r>
      <w:r>
        <w:rPr>
          <w:rFonts w:hint="default" w:ascii="Times New Roman" w:hAnsi="Times New Roman" w:eastAsia="方正仿宋_GBK" w:cs="Times New Roman"/>
          <w:sz w:val="32"/>
          <w:szCs w:val="32"/>
          <w:lang w:eastAsia="zh-CN"/>
        </w:rPr>
        <w:t>。</w:t>
      </w:r>
    </w:p>
    <w:p w14:paraId="5B9ED3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14:paraId="5C4461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机关运行经费。</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一般公共预算财政拨款运行经费</w:t>
      </w:r>
      <w:r>
        <w:rPr>
          <w:rFonts w:hint="eastAsia" w:ascii="Times New Roman" w:hAnsi="Times New Roman" w:eastAsia="方正仿宋_GBK" w:cs="Times New Roman"/>
          <w:sz w:val="32"/>
          <w:szCs w:val="32"/>
          <w:lang w:val="en-US" w:eastAsia="zh-CN"/>
        </w:rPr>
        <w:t>88.23</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比2024年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2.37</w:t>
      </w:r>
      <w:r>
        <w:rPr>
          <w:rFonts w:hint="default" w:ascii="Times New Roman" w:hAnsi="Times New Roman" w:eastAsia="方正仿宋_GBK" w:cs="Times New Roman"/>
          <w:sz w:val="32"/>
          <w:szCs w:val="32"/>
        </w:rPr>
        <w:t>万元，主要原因</w:t>
      </w:r>
      <w:r>
        <w:rPr>
          <w:rFonts w:hint="eastAsia" w:ascii="Times New Roman" w:hAnsi="Times New Roman" w:eastAsia="方正仿宋_GBK" w:cs="Times New Roman"/>
          <w:sz w:val="32"/>
          <w:szCs w:val="32"/>
          <w:lang w:eastAsia="zh-CN"/>
        </w:rPr>
        <w:t>是</w:t>
      </w:r>
      <w:r>
        <w:rPr>
          <w:rFonts w:hint="eastAsia" w:ascii="Times New Roman" w:hAnsi="Times New Roman" w:eastAsia="方正仿宋_GBK"/>
          <w:sz w:val="32"/>
          <w:lang w:eastAsia="zh-CN"/>
        </w:rPr>
        <w:t>政府落实过紧日子，压缩运行经费，按实有人数预算运行经费，以前是按编制人数预算</w:t>
      </w:r>
      <w:r>
        <w:rPr>
          <w:rFonts w:hint="default" w:ascii="Times New Roman" w:hAnsi="Times New Roman" w:eastAsia="方正仿宋_GBK" w:cs="Times New Roman"/>
          <w:sz w:val="32"/>
          <w:szCs w:val="32"/>
        </w:rPr>
        <w:t>；主要用于办公费、印刷费、邮电费、水电</w:t>
      </w:r>
      <w:r>
        <w:rPr>
          <w:rFonts w:hint="default" w:ascii="Times New Roman" w:hAnsi="Times New Roman" w:eastAsia="方正仿宋_GBK" w:cs="Times New Roman"/>
          <w:sz w:val="32"/>
        </w:rPr>
        <w:t>费、物管费、差旅费、会议费、培训费及其他商品和服务支出等。</w:t>
      </w:r>
    </w:p>
    <w:p w14:paraId="786EF2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政府采购情况。所属各预算单位政府采购预算总额</w:t>
      </w:r>
      <w:r>
        <w:rPr>
          <w:rFonts w:hint="eastAsia" w:ascii="Times New Roman" w:hAnsi="Times New Roman" w:eastAsia="方正仿宋_GBK" w:cs="Times New Roman"/>
          <w:sz w:val="32"/>
          <w:szCs w:val="32"/>
          <w:lang w:val="en-US" w:eastAsia="zh-CN"/>
        </w:rPr>
        <w:t>6.00</w:t>
      </w:r>
      <w:r>
        <w:rPr>
          <w:rFonts w:hint="default"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6.00</w:t>
      </w:r>
      <w:r>
        <w:rPr>
          <w:rFonts w:hint="default" w:ascii="Times New Roman" w:hAnsi="Times New Roman" w:eastAsia="方正仿宋_GBK" w:cs="Times New Roman"/>
          <w:sz w:val="32"/>
          <w:szCs w:val="32"/>
        </w:rPr>
        <w:t>万元、政府采购工程预算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万元；其中一般公共预算拨款政府采购</w:t>
      </w:r>
      <w:r>
        <w:rPr>
          <w:rFonts w:hint="eastAsia" w:ascii="Times New Roman" w:hAnsi="Times New Roman" w:eastAsia="方正仿宋_GBK" w:cs="Times New Roman"/>
          <w:sz w:val="32"/>
          <w:szCs w:val="32"/>
          <w:lang w:val="en-US" w:eastAsia="zh-CN"/>
        </w:rPr>
        <w:t>6.00</w:t>
      </w:r>
      <w:r>
        <w:rPr>
          <w:rFonts w:hint="default"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6.00</w:t>
      </w:r>
      <w:r>
        <w:rPr>
          <w:rFonts w:hint="default" w:ascii="Times New Roman" w:hAnsi="Times New Roman" w:eastAsia="方正仿宋_GBK" w:cs="Times New Roman"/>
          <w:sz w:val="32"/>
          <w:szCs w:val="32"/>
        </w:rPr>
        <w:t>万元、政府采购工程预算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14:paraId="06B07028">
      <w:pPr>
        <w:keepNext w:val="0"/>
        <w:keepLines w:val="0"/>
        <w:pageBreakBefore w:val="0"/>
        <w:widowControl w:val="0"/>
        <w:kinsoku/>
        <w:wordWrap/>
        <w:overflowPunct/>
        <w:topLinePunct w:val="0"/>
        <w:autoSpaceDE/>
        <w:autoSpaceDN/>
        <w:bidi w:val="0"/>
        <w:adjustRightInd/>
        <w:snapToGrid/>
        <w:ind w:left="105" w:leftChars="5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绩效目标设置情况。</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项目支出均实行了绩效目标管理，涉及一般公共预算财政拨款</w:t>
      </w:r>
      <w:r>
        <w:rPr>
          <w:rFonts w:hint="eastAsia" w:ascii="Times New Roman" w:hAnsi="Times New Roman" w:eastAsia="方正仿宋_GBK" w:cs="Times New Roman"/>
          <w:sz w:val="32"/>
          <w:szCs w:val="32"/>
          <w:lang w:val="en-US" w:eastAsia="zh-CN"/>
        </w:rPr>
        <w:t>146.17</w:t>
      </w:r>
      <w:r>
        <w:rPr>
          <w:rFonts w:hint="default" w:ascii="Times New Roman" w:hAnsi="Times New Roman" w:eastAsia="方正仿宋_GBK" w:cs="Times New Roman"/>
          <w:sz w:val="32"/>
          <w:szCs w:val="32"/>
        </w:rPr>
        <w:t>万元。</w:t>
      </w:r>
    </w:p>
    <w:p w14:paraId="747E01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国有资产占有使用情况。截止</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12月，所属各预算单位共有车辆</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辆，其中一般公务用车</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辆、执勤执法用车</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辆。</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一般公共预算安排购置车辆</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辆，其中一般公务用车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辆、执勤执法用车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w:t>
      </w:r>
    </w:p>
    <w:p w14:paraId="1319E480">
      <w:pPr>
        <w:spacing w:line="600" w:lineRule="exact"/>
        <w:ind w:firstLine="640" w:firstLineChars="200"/>
        <w:rPr>
          <w:rFonts w:hint="eastAsia" w:ascii="Times New Roman" w:hAnsi="Times New Roman" w:eastAsia="方正黑体_GBK" w:cs="仿宋_GB2312"/>
          <w:sz w:val="32"/>
        </w:rPr>
      </w:pPr>
      <w:r>
        <w:rPr>
          <w:rFonts w:hint="default" w:ascii="Times New Roman" w:hAnsi="Times New Roman" w:eastAsia="方正黑体_GBK" w:cs="Times New Roman"/>
          <w:sz w:val="32"/>
        </w:rPr>
        <w:t>六、专业性名词解释</w:t>
      </w:r>
    </w:p>
    <w:p w14:paraId="22290DAE">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（一）财政拨款收入</w:t>
      </w:r>
      <w:r>
        <w:rPr>
          <w:rFonts w:hint="default" w:ascii="Times New Roman" w:hAnsi="Times New Roman" w:eastAsia="方正仿宋_GBK" w:cs="Times New Roman"/>
          <w:sz w:val="32"/>
        </w:rPr>
        <w:t>：指本年度从本级财政部门取得的财政拨款，包括一般公共预算财政拨款</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政府性基金预算财政拨款和</w:t>
      </w:r>
      <w:r>
        <w:rPr>
          <w:rFonts w:hint="default" w:ascii="Times New Roman" w:hAnsi="Times New Roman" w:eastAsia="方正仿宋_GBK" w:cs="Times New Roman"/>
          <w:sz w:val="32"/>
          <w:szCs w:val="32"/>
        </w:rPr>
        <w:t>国有资本经营预算</w:t>
      </w:r>
      <w:r>
        <w:rPr>
          <w:rFonts w:hint="default" w:ascii="Times New Roman" w:hAnsi="Times New Roman" w:eastAsia="方正仿宋_GBK" w:cs="Times New Roman"/>
          <w:sz w:val="32"/>
        </w:rPr>
        <w:t>财政拨款。</w:t>
      </w:r>
    </w:p>
    <w:p w14:paraId="662EC52B">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（二）其他收入</w:t>
      </w:r>
      <w:r>
        <w:rPr>
          <w:rFonts w:hint="default" w:ascii="Times New Roman" w:hAnsi="Times New Roman" w:eastAsia="方正仿宋_GBK" w:cs="Times New Roman"/>
          <w:sz w:val="32"/>
        </w:rPr>
        <w:t>：指单位取得的除“财政拨款收入”、“事业收入”、“经营收入”等以外的收入。</w:t>
      </w:r>
    </w:p>
    <w:p w14:paraId="5F48DDA6">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（三）基本支出</w:t>
      </w:r>
      <w:r>
        <w:rPr>
          <w:rFonts w:hint="default" w:ascii="Times New Roman" w:hAnsi="Times New Roman" w:eastAsia="方正仿宋_GBK" w:cs="Times New Roman"/>
          <w:sz w:val="32"/>
        </w:rPr>
        <w:t>：指为保障机构正常运转、完成日常工作任务而发生的人员经费和公用经费。</w:t>
      </w:r>
    </w:p>
    <w:p w14:paraId="66F11CD4">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（四）项目支出</w:t>
      </w:r>
      <w:r>
        <w:rPr>
          <w:rFonts w:hint="default" w:ascii="Times New Roman" w:hAnsi="Times New Roman" w:eastAsia="方正仿宋_GBK" w:cs="Times New Roman"/>
          <w:sz w:val="32"/>
        </w:rPr>
        <w:t>：指在基本支出之外为完成特定行政任务和事业发展目标所发生的支出。</w:t>
      </w:r>
    </w:p>
    <w:p w14:paraId="0C593370">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（五）“三公”经费</w:t>
      </w:r>
      <w:r>
        <w:rPr>
          <w:rFonts w:hint="default" w:ascii="Times New Roman" w:hAnsi="Times New Roman" w:eastAsia="方正仿宋_GBK" w:cs="Times New Roman"/>
          <w:sz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25497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14:paraId="5FF99EE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highlight w:val="yellow"/>
          <w:lang w:val="en-US" w:eastAsia="zh-CN"/>
        </w:rPr>
      </w:pPr>
      <w:r>
        <w:rPr>
          <w:rFonts w:hint="default" w:ascii="Times New Roman" w:hAnsi="Times New Roman" w:eastAsia="方正仿宋_GBK" w:cs="Times New Roman"/>
          <w:sz w:val="32"/>
          <w:szCs w:val="32"/>
        </w:rPr>
        <w:t>部门预算公开联系人：</w:t>
      </w:r>
      <w:r>
        <w:rPr>
          <w:rFonts w:hint="eastAsia" w:ascii="Times New Roman" w:hAnsi="Times New Roman" w:eastAsia="方正仿宋_GBK" w:cs="Times New Roman"/>
          <w:sz w:val="32"/>
          <w:szCs w:val="32"/>
          <w:lang w:val="en-US" w:eastAsia="zh-CN"/>
        </w:rPr>
        <w:t>白琴</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联系方式：</w:t>
      </w:r>
      <w:r>
        <w:rPr>
          <w:rFonts w:hint="default" w:ascii="Times New Roman" w:hAnsi="Times New Roman" w:eastAsia="方正仿宋_GBK" w:cs="Times New Roman"/>
          <w:sz w:val="32"/>
          <w:szCs w:val="32"/>
          <w:highlight w:val="none"/>
          <w:lang w:val="en-US" w:eastAsia="zh-CN"/>
        </w:rPr>
        <w:t>023-</w:t>
      </w:r>
      <w:r>
        <w:rPr>
          <w:rFonts w:hint="eastAsia" w:ascii="Times New Roman" w:hAnsi="Times New Roman" w:eastAsia="方正仿宋_GBK" w:cs="Times New Roman"/>
          <w:sz w:val="32"/>
          <w:szCs w:val="32"/>
          <w:highlight w:val="none"/>
          <w:lang w:val="en-US" w:eastAsia="zh-CN"/>
        </w:rPr>
        <w:t>73386001</w:t>
      </w:r>
      <w:bookmarkStart w:id="0" w:name="_GoBack"/>
      <w:bookmarkEnd w:id="0"/>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E3041"/>
    <w:rsid w:val="04D017D9"/>
    <w:rsid w:val="05E308BC"/>
    <w:rsid w:val="08144436"/>
    <w:rsid w:val="0D7A365A"/>
    <w:rsid w:val="0F8C57E5"/>
    <w:rsid w:val="12DA1AE3"/>
    <w:rsid w:val="133B1901"/>
    <w:rsid w:val="13A9607C"/>
    <w:rsid w:val="17D86F39"/>
    <w:rsid w:val="184B14B9"/>
    <w:rsid w:val="19DB55F5"/>
    <w:rsid w:val="1ABD4ADE"/>
    <w:rsid w:val="1DD801A3"/>
    <w:rsid w:val="1EAF42D1"/>
    <w:rsid w:val="1ECE5E00"/>
    <w:rsid w:val="211801B7"/>
    <w:rsid w:val="2335471F"/>
    <w:rsid w:val="26E21FE3"/>
    <w:rsid w:val="274B199A"/>
    <w:rsid w:val="2A1750A8"/>
    <w:rsid w:val="2BE20CDE"/>
    <w:rsid w:val="32513FE1"/>
    <w:rsid w:val="385C6972"/>
    <w:rsid w:val="387110B4"/>
    <w:rsid w:val="3A720DEA"/>
    <w:rsid w:val="3B9B3520"/>
    <w:rsid w:val="3C1119BE"/>
    <w:rsid w:val="3E5A184D"/>
    <w:rsid w:val="433F72C0"/>
    <w:rsid w:val="45B8638D"/>
    <w:rsid w:val="489617E1"/>
    <w:rsid w:val="4D5D69EE"/>
    <w:rsid w:val="51E31FB9"/>
    <w:rsid w:val="531C5EFC"/>
    <w:rsid w:val="5A254D94"/>
    <w:rsid w:val="5B8E1A9F"/>
    <w:rsid w:val="5BC63D59"/>
    <w:rsid w:val="5CF21E57"/>
    <w:rsid w:val="5E4C21C0"/>
    <w:rsid w:val="65A30990"/>
    <w:rsid w:val="67920983"/>
    <w:rsid w:val="67C50DDA"/>
    <w:rsid w:val="67C940D7"/>
    <w:rsid w:val="6A0A7FC8"/>
    <w:rsid w:val="6AA0021E"/>
    <w:rsid w:val="6E3336CF"/>
    <w:rsid w:val="71597F39"/>
    <w:rsid w:val="79CF62B4"/>
    <w:rsid w:val="7A6A3DA2"/>
    <w:rsid w:val="7B1B3F68"/>
    <w:rsid w:val="7DC9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 w:type="character" w:customStyle="1" w:styleId="12">
    <w:name w:val="23"/>
    <w:basedOn w:val="7"/>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1785</Words>
  <Characters>1892</Characters>
  <Lines>8</Lines>
  <Paragraphs>2</Paragraphs>
  <TotalTime>1</TotalTime>
  <ScaleCrop>false</ScaleCrop>
  <LinksUpToDate>false</LinksUpToDate>
  <CharactersWithSpaces>2022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Administrator</cp:lastModifiedBy>
  <cp:lastPrinted>2018-01-02T08:11:00Z</cp:lastPrinted>
  <dcterms:modified xsi:type="dcterms:W3CDTF">2025-02-24T11:07:38Z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BC46DE40CF9B4776AA076014997ADBE0</vt:lpwstr>
  </property>
  <property fmtid="{D5CDD505-2E9C-101B-9397-08002B2CF9AE}" pid="4" name="KSOTemplateDocerSaveRecord">
    <vt:lpwstr>eyJoZGlkIjoiMjZmMGQ0YzQ3MzVkY2MzYjQ0NGQ1ODUwNGQ5MTg0ZWIifQ==</vt:lpwstr>
  </property>
</Properties>
</file>