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石柱土家族自治县三星乡便民服务中心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eastAsia="方正仿宋_GBK"/>
          <w:sz w:val="32"/>
          <w:szCs w:val="32"/>
        </w:rPr>
      </w:pPr>
      <w:r>
        <w:rPr>
          <w:rFonts w:hint="eastAsia" w:ascii="仿宋" w:hAnsi="仿宋" w:eastAsia="仿宋" w:cs="仿宋"/>
          <w:b/>
          <w:bCs/>
          <w:sz w:val="32"/>
          <w:szCs w:val="32"/>
        </w:rPr>
        <w:t>宗旨：</w:t>
      </w:r>
      <w:r>
        <w:rPr>
          <w:rFonts w:hint="eastAsia" w:ascii="Times New Roman" w:hAnsi="Times New Roman" w:eastAsia="方正仿宋_GBK"/>
          <w:sz w:val="32"/>
          <w:szCs w:val="32"/>
        </w:rPr>
        <w:t>为辖区群众提供优质高效的便民服务。</w:t>
      </w:r>
    </w:p>
    <w:p>
      <w:pPr>
        <w:keepNext w:val="0"/>
        <w:keepLines w:val="0"/>
        <w:pageBreakBefore w:val="0"/>
        <w:widowControl/>
        <w:kinsoku/>
        <w:wordWrap/>
        <w:overflowPunct/>
        <w:topLinePunct w:val="0"/>
        <w:autoSpaceDE/>
        <w:autoSpaceDN/>
        <w:bidi w:val="0"/>
        <w:adjustRightInd/>
        <w:spacing w:line="594" w:lineRule="exact"/>
        <w:ind w:firstLine="643" w:firstLineChars="200"/>
        <w:rPr>
          <w:rFonts w:hint="eastAsia" w:ascii="仿宋" w:hAnsi="仿宋" w:eastAsia="仿宋" w:cs="仿宋"/>
          <w:kern w:val="0"/>
          <w:sz w:val="32"/>
          <w:szCs w:val="32"/>
        </w:rPr>
      </w:pPr>
      <w:r>
        <w:rPr>
          <w:rFonts w:hint="eastAsia" w:ascii="仿宋" w:hAnsi="仿宋" w:eastAsia="仿宋" w:cs="仿宋"/>
          <w:b/>
          <w:sz w:val="32"/>
          <w:szCs w:val="32"/>
        </w:rPr>
        <w:t>主要职责任务：</w:t>
      </w:r>
      <w:r>
        <w:rPr>
          <w:rFonts w:hint="eastAsia" w:ascii="Times New Roman" w:hAnsi="Times New Roman" w:eastAsia="方正仿宋_GBK"/>
          <w:sz w:val="32"/>
          <w:szCs w:val="32"/>
        </w:rPr>
        <w:t>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退役军人服务站的业务指导工作。负责乡党委、人民政府交办的其他工作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keepNext w:val="0"/>
        <w:keepLines w:val="0"/>
        <w:pageBreakBefore w:val="0"/>
        <w:numPr>
          <w:ilvl w:val="0"/>
          <w:numId w:val="0"/>
        </w:numPr>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重庆市石柱土家族自治县</w:t>
      </w:r>
      <w:r>
        <w:rPr>
          <w:rFonts w:hint="eastAsia" w:eastAsia="仿宋_GB2312" w:cs="Times New Roman"/>
          <w:kern w:val="2"/>
          <w:sz w:val="32"/>
          <w:szCs w:val="32"/>
          <w:lang w:val="en-US" w:eastAsia="zh-CN" w:bidi="ar-SA"/>
        </w:rPr>
        <w:t>三星乡便民服务中心</w:t>
      </w:r>
      <w:r>
        <w:rPr>
          <w:rFonts w:hint="default" w:ascii="Times New Roman" w:hAnsi="Times New Roman" w:eastAsia="仿宋_GB2312" w:cs="Times New Roman"/>
          <w:kern w:val="2"/>
          <w:sz w:val="32"/>
          <w:szCs w:val="32"/>
          <w:lang w:val="en-US" w:eastAsia="zh-CN" w:bidi="ar-SA"/>
        </w:rPr>
        <w:t>隶属于</w:t>
      </w:r>
      <w:r>
        <w:rPr>
          <w:rFonts w:hint="eastAsia" w:eastAsia="仿宋_GB2312" w:cs="Times New Roman"/>
          <w:kern w:val="2"/>
          <w:sz w:val="32"/>
          <w:szCs w:val="32"/>
          <w:lang w:val="en-US" w:eastAsia="zh-CN" w:bidi="ar-SA"/>
        </w:rPr>
        <w:t>三星乡</w:t>
      </w:r>
      <w:r>
        <w:rPr>
          <w:rFonts w:hint="default" w:ascii="Times New Roman" w:hAnsi="Times New Roman" w:eastAsia="仿宋_GB2312" w:cs="Times New Roman"/>
          <w:kern w:val="2"/>
          <w:sz w:val="32"/>
          <w:szCs w:val="32"/>
          <w:lang w:val="en-US" w:eastAsia="zh-CN" w:bidi="ar-SA"/>
        </w:rPr>
        <w:t>人民政府的财政全额拨款公益一类副科级事业单位。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本单位机构改革新增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人，人员经费增加</w:t>
      </w:r>
      <w:r>
        <w:rPr>
          <w:rFonts w:hint="eastAsia" w:ascii="Times New Roman" w:hAnsi="Times New Roman" w:eastAsia="仿宋" w:cs="仿宋"/>
          <w:kern w:val="0"/>
          <w:sz w:val="32"/>
          <w:szCs w:val="32"/>
          <w:lang w:val="en-US" w:eastAsia="zh-CN" w:bidi="ar"/>
        </w:rPr>
        <w:t>22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86</w:t>
      </w:r>
      <w:r>
        <w:rPr>
          <w:rFonts w:hint="eastAsia" w:ascii="仿宋" w:hAnsi="仿宋" w:eastAsia="仿宋" w:cs="仿宋"/>
          <w:kern w:val="0"/>
          <w:sz w:val="32"/>
          <w:szCs w:val="32"/>
          <w:lang w:val="en-US" w:eastAsia="zh-CN" w:bidi="ar"/>
        </w:rPr>
        <w:t>万元，公用经费增加</w:t>
      </w:r>
      <w:r>
        <w:rPr>
          <w:rFonts w:hint="eastAsia" w:ascii="Times New Roman" w:hAnsi="Times New Roman" w:eastAsia="仿宋" w:cs="仿宋"/>
          <w:kern w:val="0"/>
          <w:sz w:val="32"/>
          <w:szCs w:val="32"/>
          <w:lang w:val="en-US" w:eastAsia="zh-CN" w:bidi="ar"/>
        </w:rPr>
        <w:t>4</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38</w:t>
      </w:r>
      <w:r>
        <w:rPr>
          <w:rFonts w:hint="eastAsia" w:ascii="仿宋" w:hAnsi="仿宋" w:eastAsia="仿宋" w:cs="仿宋"/>
          <w:kern w:val="0"/>
          <w:sz w:val="32"/>
          <w:szCs w:val="32"/>
          <w:lang w:val="en-US" w:eastAsia="zh-CN" w:bidi="ar"/>
        </w:rPr>
        <w:t>万元，导致全年收支增加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本单位人员增加2人，导致全年收入增加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本单位人员增加2人，导致全年支出增加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3" w:firstLineChars="200"/>
        <w:textAlignment w:val="auto"/>
        <w:rPr>
          <w:rFonts w:hint="eastAsia" w:ascii="Times New Roman" w:hAnsi="Times New Roman" w:eastAsia="方正仿宋_GBK" w:cs="Times New Roman"/>
          <w:kern w:val="0"/>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本单位</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4年无结转结余。</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本单位机构改革新增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人，人员经费增加</w:t>
      </w:r>
      <w:r>
        <w:rPr>
          <w:rFonts w:hint="eastAsia" w:ascii="Times New Roman" w:hAnsi="Times New Roman" w:eastAsia="仿宋" w:cs="仿宋"/>
          <w:kern w:val="0"/>
          <w:sz w:val="32"/>
          <w:szCs w:val="32"/>
          <w:lang w:val="en-US" w:eastAsia="zh-CN" w:bidi="ar"/>
        </w:rPr>
        <w:t>22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86</w:t>
      </w:r>
      <w:r>
        <w:rPr>
          <w:rFonts w:hint="eastAsia" w:ascii="仿宋" w:hAnsi="仿宋" w:eastAsia="仿宋" w:cs="仿宋"/>
          <w:kern w:val="0"/>
          <w:sz w:val="32"/>
          <w:szCs w:val="32"/>
          <w:lang w:val="en-US" w:eastAsia="zh-CN" w:bidi="ar"/>
        </w:rPr>
        <w:t>万元，公用经费增加</w:t>
      </w:r>
      <w:r>
        <w:rPr>
          <w:rFonts w:hint="eastAsia" w:ascii="Times New Roman" w:hAnsi="Times New Roman" w:eastAsia="仿宋" w:cs="仿宋"/>
          <w:kern w:val="0"/>
          <w:sz w:val="32"/>
          <w:szCs w:val="32"/>
          <w:lang w:val="en-US" w:eastAsia="zh-CN" w:bidi="ar"/>
        </w:rPr>
        <w:t>4</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38</w:t>
      </w:r>
      <w:r>
        <w:rPr>
          <w:rFonts w:hint="eastAsia" w:ascii="仿宋" w:hAnsi="仿宋" w:eastAsia="仿宋" w:cs="仿宋"/>
          <w:kern w:val="0"/>
          <w:sz w:val="32"/>
          <w:szCs w:val="32"/>
          <w:lang w:val="en-US" w:eastAsia="zh-CN" w:bidi="ar"/>
        </w:rPr>
        <w:t>万元，导致全年收支增加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本单位人员增加2人，导致全年收入增加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较年初预算数增加36.69万元，增长50.8%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工资调标，社保公积金调标，年中追加预算。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与2023年度相比，增加27.24万元，增长33.3%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本单位人员增加2人，导致全年支出增加</w:t>
      </w:r>
      <w:r>
        <w:rPr>
          <w:rFonts w:hint="eastAsia" w:ascii="Times New Roman" w:hAnsi="Times New Roman" w:eastAsia="仿宋" w:cs="仿宋"/>
          <w:kern w:val="0"/>
          <w:sz w:val="32"/>
          <w:szCs w:val="32"/>
          <w:lang w:val="en-US" w:eastAsia="zh-CN" w:bidi="ar"/>
        </w:rPr>
        <w:t>27</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24</w:t>
      </w:r>
      <w:r>
        <w:rPr>
          <w:rFonts w:hint="eastAsia" w:ascii="仿宋" w:hAnsi="仿宋" w:eastAsia="仿宋" w:cs="仿宋"/>
          <w:kern w:val="0"/>
          <w:sz w:val="32"/>
          <w:szCs w:val="32"/>
          <w:lang w:val="en-US" w:eastAsia="zh-CN" w:bidi="ar"/>
        </w:rPr>
        <w:t>万元。</w:t>
      </w:r>
      <w:r>
        <w:rPr>
          <w:rFonts w:hint="default" w:ascii="Times New Roman" w:hAnsi="Times New Roman" w:eastAsia="方正仿宋_GBK"/>
          <w:sz w:val="32"/>
          <w:szCs w:val="32"/>
          <w:shd w:val="clear" w:color="auto" w:fill="FFFFFF"/>
        </w:rPr>
        <w:t>较年初预算数增加36.69万元，增长50.8%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工资调标，社保公积金调标，年中追加预算。</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7"/>
        <w:numPr>
          <w:numId w:val="0"/>
        </w:numPr>
        <w:snapToGrid w:val="0"/>
        <w:spacing w:before="0" w:beforeAutospacing="0" w:after="0" w:afterAutospacing="0" w:line="596" w:lineRule="exact"/>
        <w:ind w:firstLine="320" w:firstLineChars="100"/>
        <w:jc w:val="both"/>
        <w:rPr>
          <w:rFonts w:hint="eastAsia" w:eastAsia="仿宋_GB2312" w:cs="Times New Roman"/>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97.40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较年初预算数增加33.07万元，增长51.4%</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机构改革合并单位，人员增加，工资、</w:t>
      </w:r>
      <w:r>
        <w:rPr>
          <w:rFonts w:hint="default" w:ascii="Times New Roman" w:hAnsi="Times New Roman" w:eastAsia="仿宋_GB2312" w:cs="Times New Roman"/>
          <w:sz w:val="32"/>
          <w:szCs w:val="32"/>
          <w:highlight w:val="none"/>
          <w:lang w:eastAsia="zh-CN"/>
        </w:rPr>
        <w:t>养老保险</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职业年金</w:t>
      </w:r>
      <w:r>
        <w:rPr>
          <w:rFonts w:hint="eastAsia" w:eastAsia="仿宋_GB2312" w:cs="Times New Roman"/>
          <w:sz w:val="32"/>
          <w:szCs w:val="32"/>
          <w:highlight w:val="none"/>
          <w:lang w:val="en-US" w:eastAsia="zh-CN"/>
        </w:rPr>
        <w:t>等各项费用支出增加。</w:t>
      </w:r>
    </w:p>
    <w:p>
      <w:pPr>
        <w:pStyle w:val="7"/>
        <w:keepNext w:val="0"/>
        <w:keepLines w:val="0"/>
        <w:pageBreakBefore w:val="0"/>
        <w:widowControl/>
        <w:numPr>
          <w:numId w:val="0"/>
        </w:numPr>
        <w:kinsoku/>
        <w:wordWrap/>
        <w:overflowPunct/>
        <w:topLinePunct w:val="0"/>
        <w:autoSpaceDE/>
        <w:autoSpaceDN/>
        <w:bidi w:val="0"/>
        <w:adjustRightInd/>
        <w:snapToGrid w:val="0"/>
        <w:spacing w:before="0" w:beforeAutospacing="0" w:after="0" w:afterAutospacing="0" w:line="596" w:lineRule="exact"/>
        <w:ind w:leftChars="0" w:firstLine="640" w:firstLineChars="200"/>
        <w:jc w:val="both"/>
        <w:textAlignment w:val="auto"/>
        <w:rPr>
          <w:rFonts w:hint="eastAsia" w:eastAsia="仿宋_GB2312" w:cs="Times New Roman"/>
          <w:sz w:val="32"/>
          <w:szCs w:val="32"/>
          <w:highlight w:val="none"/>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较年初预算数增加1.83万元，增长46.1%</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人员增加，医疗保险支出增加。</w:t>
      </w:r>
    </w:p>
    <w:p>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_GB2312" w:cs="Times New Roman"/>
          <w:b/>
          <w:sz w:val="32"/>
          <w:szCs w:val="32"/>
          <w:highlight w:val="none"/>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较年初预算数增加1.78万元，增长45.1%</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人员增加，住房公积金支出增加</w:t>
      </w:r>
      <w:r>
        <w:rPr>
          <w:rFonts w:hint="default" w:ascii="Times New Roman" w:hAnsi="Times New Roman" w:eastAsia="仿宋_GB2312" w:cs="Times New Roman"/>
          <w:sz w:val="32"/>
          <w:szCs w:val="32"/>
          <w:highlight w:val="none"/>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i w:val="0"/>
          <w:iCs w:val="0"/>
          <w:caps w:val="0"/>
          <w:color w:val="000000"/>
          <w:spacing w:val="0"/>
          <w:sz w:val="31"/>
          <w:szCs w:val="31"/>
          <w:shd w:val="clear" w:fill="FFFFFF"/>
        </w:rPr>
        <w:t>本单位</w:t>
      </w:r>
      <w:r>
        <w:rPr>
          <w:rFonts w:hint="default" w:ascii="Times New Roman" w:hAnsi="Times New Roman" w:eastAsia="宋体" w:cs="Times New Roman"/>
          <w:i w:val="0"/>
          <w:iCs w:val="0"/>
          <w:caps w:val="0"/>
          <w:color w:val="000000"/>
          <w:spacing w:val="0"/>
          <w:sz w:val="31"/>
          <w:szCs w:val="31"/>
          <w:shd w:val="clear" w:fill="FFFFFF"/>
        </w:rPr>
        <w:t>202</w:t>
      </w:r>
      <w:r>
        <w:rPr>
          <w:rFonts w:hint="eastAsia" w:ascii="Times New Roman" w:hAnsi="Times New Roman" w:eastAsia="宋体" w:cs="Times New Roman"/>
          <w:i w:val="0"/>
          <w:iCs w:val="0"/>
          <w:caps w:val="0"/>
          <w:color w:val="000000"/>
          <w:spacing w:val="0"/>
          <w:sz w:val="31"/>
          <w:szCs w:val="31"/>
          <w:shd w:val="clear" w:fill="FFFFFF"/>
          <w:lang w:val="en-US" w:eastAsia="zh-CN"/>
        </w:rPr>
        <w:t>4</w:t>
      </w:r>
      <w:r>
        <w:rPr>
          <w:rFonts w:hint="eastAsia" w:ascii="方正仿宋_GBK" w:hAnsi="方正仿宋_GBK" w:eastAsia="方正仿宋_GBK" w:cs="方正仿宋_GBK"/>
          <w:i w:val="0"/>
          <w:iCs w:val="0"/>
          <w:caps w:val="0"/>
          <w:color w:val="000000"/>
          <w:spacing w:val="0"/>
          <w:sz w:val="31"/>
          <w:szCs w:val="31"/>
          <w:shd w:val="clear" w:fill="FFFFFF"/>
        </w:rPr>
        <w:t>年无结转结余。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108.94</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95.98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与2023年度相比，增加22.86万元，增长31.3%</w:t>
      </w:r>
      <w:r>
        <w:rPr>
          <w:rFonts w:ascii="方正仿宋_GBK" w:hAnsi="方正仿宋_GBK" w:eastAsia="方正仿宋_GBK" w:cs="方正仿宋_GBK"/>
          <w:sz w:val="32"/>
          <w:szCs w:val="32"/>
          <w:shd w:val="clear" w:color="auto" w:fill="FFFFFF"/>
        </w:rPr>
        <w:t>，主要原因是</w:t>
      </w:r>
      <w:r>
        <w:rPr>
          <w:rFonts w:hint="eastAsia" w:ascii="仿宋" w:hAnsi="仿宋" w:eastAsia="仿宋" w:cs="仿宋"/>
          <w:kern w:val="0"/>
          <w:sz w:val="32"/>
          <w:szCs w:val="32"/>
          <w:lang w:val="en-US" w:eastAsia="zh-CN" w:bidi="ar"/>
        </w:rPr>
        <w:t>本单位机构改革新增</w:t>
      </w:r>
      <w:r>
        <w:rPr>
          <w:rFonts w:hint="eastAsia" w:ascii="Times New Roman" w:hAnsi="Times New Roman" w:eastAsia="仿宋" w:cs="仿宋"/>
          <w:kern w:val="0"/>
          <w:sz w:val="32"/>
          <w:szCs w:val="32"/>
          <w:lang w:val="en-US" w:eastAsia="zh-CN" w:bidi="ar"/>
        </w:rPr>
        <w:t>2</w:t>
      </w:r>
      <w:r>
        <w:rPr>
          <w:rFonts w:hint="eastAsia" w:ascii="仿宋" w:hAnsi="仿宋" w:eastAsia="仿宋" w:cs="仿宋"/>
          <w:kern w:val="0"/>
          <w:sz w:val="32"/>
          <w:szCs w:val="32"/>
          <w:lang w:val="en-US" w:eastAsia="zh-CN" w:bidi="ar"/>
        </w:rPr>
        <w:t>人，工资、社保、公积金增加，导致人员经费支出增加</w:t>
      </w:r>
      <w:r>
        <w:rPr>
          <w:rFonts w:hint="eastAsia" w:ascii="Times New Roman" w:hAnsi="Times New Roman" w:eastAsia="仿宋" w:cs="仿宋"/>
          <w:kern w:val="0"/>
          <w:sz w:val="32"/>
          <w:szCs w:val="32"/>
          <w:lang w:val="en-US" w:eastAsia="zh-CN" w:bidi="ar"/>
        </w:rPr>
        <w:t>22</w:t>
      </w:r>
      <w:r>
        <w:rPr>
          <w:rFonts w:hint="eastAsia" w:ascii="仿宋" w:hAnsi="仿宋" w:eastAsia="仿宋" w:cs="仿宋"/>
          <w:kern w:val="0"/>
          <w:sz w:val="32"/>
          <w:szCs w:val="32"/>
          <w:lang w:val="en-US" w:eastAsia="zh-CN" w:bidi="ar"/>
        </w:rPr>
        <w:t>.</w:t>
      </w:r>
      <w:r>
        <w:rPr>
          <w:rFonts w:hint="eastAsia" w:ascii="Times New Roman" w:hAnsi="Times New Roman" w:eastAsia="仿宋" w:cs="仿宋"/>
          <w:kern w:val="0"/>
          <w:sz w:val="32"/>
          <w:szCs w:val="32"/>
          <w:lang w:val="en-US" w:eastAsia="zh-CN" w:bidi="ar"/>
        </w:rPr>
        <w:t>86</w:t>
      </w:r>
      <w:r>
        <w:rPr>
          <w:rFonts w:hint="eastAsia" w:ascii="仿宋" w:hAnsi="仿宋" w:eastAsia="仿宋" w:cs="仿宋"/>
          <w:kern w:val="0"/>
          <w:sz w:val="32"/>
          <w:szCs w:val="32"/>
          <w:lang w:val="en-US" w:eastAsia="zh-CN" w:bidi="ar"/>
        </w:rPr>
        <w:t>万元。</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仿宋_GB2312" w:cs="Times New Roman"/>
          <w:sz w:val="32"/>
          <w:szCs w:val="32"/>
        </w:rPr>
        <w:t>基本工资、绩效工资、社会保障缴费、离退休人员健康休养费等。</w:t>
      </w:r>
    </w:p>
    <w:p>
      <w:pPr>
        <w:keepNext w:val="0"/>
        <w:keepLines w:val="0"/>
        <w:pageBreakBefore w:val="0"/>
        <w:kinsoku/>
        <w:wordWrap/>
        <w:overflowPunct/>
        <w:topLinePunct w:val="0"/>
        <w:autoSpaceDE/>
        <w:autoSpaceDN/>
        <w:bidi w:val="0"/>
        <w:adjustRightInd/>
        <w:snapToGrid w:val="0"/>
        <w:spacing w:line="594" w:lineRule="exact"/>
        <w:ind w:firstLine="640" w:firstLineChars="200"/>
        <w:rPr>
          <w:rFonts w:hint="default" w:ascii="Times New Roman" w:hAnsi="Times New Roman" w:eastAsia="仿宋_GB2312" w:cs="Times New Roman"/>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与2023年度相比，增加4.39万元，增长51.2%</w:t>
      </w:r>
      <w:r>
        <w:rPr>
          <w:rFonts w:ascii="方正仿宋_GBK" w:hAnsi="方正仿宋_GBK" w:eastAsia="方正仿宋_GBK" w:cs="方正仿宋_GBK"/>
          <w:sz w:val="32"/>
          <w:szCs w:val="32"/>
          <w:shd w:val="clear" w:color="auto" w:fill="FFFFFF"/>
        </w:rPr>
        <w:t>，主要原因是</w:t>
      </w:r>
      <w:r>
        <w:rPr>
          <w:rFonts w:hint="eastAsia" w:eastAsia="仿宋_GB2312" w:cs="Times New Roman"/>
          <w:color w:val="000000"/>
          <w:sz w:val="32"/>
          <w:szCs w:val="32"/>
          <w:lang w:eastAsia="zh-CN"/>
        </w:rPr>
        <w:t>本单位机构改革新增</w:t>
      </w:r>
      <w:r>
        <w:rPr>
          <w:rFonts w:hint="eastAsia" w:ascii="Times New Roman" w:hAnsi="Times New Roman" w:eastAsia="仿宋_GB2312" w:cs="Times New Roman"/>
          <w:color w:val="000000"/>
          <w:sz w:val="32"/>
          <w:szCs w:val="32"/>
          <w:lang w:eastAsia="zh-CN"/>
        </w:rPr>
        <w:t>2</w:t>
      </w:r>
      <w:r>
        <w:rPr>
          <w:rFonts w:hint="eastAsia" w:eastAsia="仿宋_GB2312" w:cs="Times New Roman"/>
          <w:color w:val="000000"/>
          <w:sz w:val="32"/>
          <w:szCs w:val="32"/>
          <w:lang w:eastAsia="zh-CN"/>
        </w:rPr>
        <w:t>人，公用经费、工会经费等开支增加，导致日常公用经费支出增加</w:t>
      </w:r>
      <w:r>
        <w:rPr>
          <w:rFonts w:hint="eastAsia" w:ascii="Times New Roman" w:hAnsi="Times New Roman" w:eastAsia="仿宋_GB2312" w:cs="Times New Roman"/>
          <w:color w:val="000000"/>
          <w:sz w:val="32"/>
          <w:szCs w:val="32"/>
          <w:lang w:val="en-US" w:eastAsia="zh-CN"/>
        </w:rPr>
        <w:t>4</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38</w:t>
      </w:r>
      <w:r>
        <w:rPr>
          <w:rFonts w:hint="eastAsia" w:eastAsia="仿宋_GB2312" w:cs="Times New Roman"/>
          <w:color w:val="000000"/>
          <w:sz w:val="32"/>
          <w:szCs w:val="32"/>
          <w:lang w:val="en-US" w:eastAsia="zh-CN"/>
        </w:rPr>
        <w:t>万</w:t>
      </w:r>
      <w:r>
        <w:rPr>
          <w:rFonts w:hint="eastAsia" w:eastAsia="仿宋_GB2312" w:cs="Times New Roman"/>
          <w:color w:val="000000"/>
          <w:sz w:val="32"/>
          <w:szCs w:val="32"/>
          <w:lang w:eastAsia="zh-CN"/>
        </w:rPr>
        <w:t>元。</w:t>
      </w:r>
      <w:r>
        <w:rPr>
          <w:rFonts w:hint="default" w:ascii="Times New Roman" w:hAnsi="Times New Roman" w:eastAsia="仿宋_GB2312" w:cs="Times New Roman"/>
          <w:sz w:val="32"/>
          <w:szCs w:val="32"/>
        </w:rPr>
        <w:t>公用经费用途主要包括办公费、水费、电费、邮电费、差旅费、工会经费、劳务费等。</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仿宋_GB2312" w:cs="Times New Roman"/>
          <w:color w:val="auto"/>
          <w:sz w:val="32"/>
          <w:szCs w:val="32"/>
          <w:lang w:val="en-US" w:eastAsia="zh-CN" w:bidi="ar-SA"/>
        </w:rPr>
        <w:t>本单位202</w:t>
      </w:r>
      <w:r>
        <w:rPr>
          <w:rFonts w:hint="eastAsia" w:ascii="Times New Roman" w:hAnsi="Times New Roman" w:eastAsia="仿宋_GB2312" w:cs="Times New Roman"/>
          <w:color w:val="auto"/>
          <w:sz w:val="32"/>
          <w:szCs w:val="32"/>
          <w:lang w:val="en-US" w:eastAsia="zh-CN" w:bidi="ar-SA"/>
        </w:rPr>
        <w:t>4</w:t>
      </w:r>
      <w:r>
        <w:rPr>
          <w:rFonts w:hint="default" w:ascii="Times New Roman" w:hAnsi="Times New Roman" w:eastAsia="仿宋_GB2312" w:cs="Times New Roman"/>
          <w:color w:val="auto"/>
          <w:sz w:val="32"/>
          <w:szCs w:val="32"/>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我单位属于公益一类副科级事业单位，“</w:t>
      </w:r>
      <w:r>
        <w:rPr>
          <w:rFonts w:hint="eastAsia" w:ascii="Times New Roman" w:hAnsi="Times New Roman" w:eastAsia="仿宋_GB2312" w:cs="Times New Roman"/>
          <w:color w:val="auto"/>
          <w:sz w:val="32"/>
          <w:szCs w:val="32"/>
          <w:lang w:val="en-US" w:eastAsia="zh-CN" w:bidi="ar-SA"/>
        </w:rPr>
        <w:t>三公</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 xml:space="preserve">经费已在三星乡人民政府本级决算，故本二级事业单位决算中无“三公”经费数据。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keepNext w:val="0"/>
        <w:keepLines w:val="0"/>
        <w:pageBreakBefore w:val="0"/>
        <w:widowControl w:val="0"/>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Times New Roman"/>
          <w:color w:val="auto"/>
          <w:sz w:val="32"/>
          <w:szCs w:val="32"/>
          <w:lang w:val="en-US" w:eastAsia="zh-CN" w:bidi="ar-SA"/>
        </w:rPr>
        <w:t>我单位属于公益一类副科级事业单位，财政拨款会议费和培训费已在三星乡人民政府本级决算，故本二级事业单位决算中无会议费、培训费和差旅费。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kern w:val="0"/>
          <w:sz w:val="32"/>
          <w:szCs w:val="32"/>
          <w:lang w:val="en-US" w:eastAsia="zh-CN" w:bidi="ar-SA"/>
        </w:rPr>
      </w:pPr>
      <w:r>
        <w:rPr>
          <w:rFonts w:hint="default" w:ascii="方正仿宋_GBK" w:hAnsi="方正仿宋_GBK" w:eastAsia="方正仿宋_GBK" w:cs="方正仿宋_GBK"/>
          <w:kern w:val="0"/>
          <w:sz w:val="32"/>
          <w:szCs w:val="32"/>
          <w:lang w:val="en-US" w:eastAsia="zh-CN" w:bidi="ar-SA"/>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w:t>
      </w:r>
      <w:r>
        <w:rPr>
          <w:rFonts w:hint="default" w:ascii="Times New Roman" w:hAnsi="Times New Roman" w:eastAsia="仿宋_GB2312" w:cs="Times New Roman"/>
          <w:color w:val="auto"/>
          <w:sz w:val="32"/>
          <w:szCs w:val="32"/>
          <w:lang w:val="en-US" w:eastAsia="zh-CN" w:bidi="ar-SA"/>
        </w:rPr>
        <w:t>本单位共有车辆0辆。单价100万元（含）以上专用设备0台（套）。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default" w:ascii="Times New Roman" w:hAnsi="Times New Roman" w:eastAsia="仿宋_GB2312" w:cs="Times New Roman"/>
          <w:color w:val="auto"/>
          <w:sz w:val="32"/>
          <w:szCs w:val="32"/>
          <w:lang w:val="en-US" w:eastAsia="zh-CN" w:bidi="ar-SA"/>
        </w:rPr>
        <w:t>我单位未发生政府采购事项，无相关经费支出。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bookmarkStart w:id="0" w:name="_GoBack"/>
      <w:bookmarkEnd w:id="0"/>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石柱土家族自治县三星乡便民服务中心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974,047.93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57,995.94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57,342.24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1,089,386.11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1,089,386.11</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1,089,386.11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1,089,386.11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974,047.93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974,047.93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677,899.84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677,899.84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157,119.83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157,119.83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104,746.56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139,028.26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139,028.26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139,028.26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139,028.26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45,395.94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57,342.24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石柱土家族自治县三星乡便民服务中心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1,089,386.11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1,089,386.11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974,047.93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974,047.93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677,899.84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677,899.84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677,899.84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157,119.83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157,119.83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104,746.56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52,373.27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139,028.26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139,028.26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139,028.26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139,028.26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57,995.94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57,342.24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974,047.93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974,047.93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57,995.94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57,995.94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57,342.24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57,342.24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1,089,386.11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1,089,386.11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1,089,386.11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1,089,386.11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1,089,386.11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974,047.93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974,047.93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974,047.93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974,047.93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677,899.84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677,899.84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677,899.84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677,899.84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677,899.84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677,899.84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677,899.84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677,899.84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157,119.83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157,119.83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157,119.83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157,119.83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104,746.56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104,746.56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104,746.56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104,746.56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52,373.27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52,373.27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52,373.27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52,373.27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139,028.26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139,028.26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139,028.26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139,028.26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139,028.26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139,028.26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139,028.26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139,028.26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57,995.94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45,395.94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45,395.94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45,395.94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45,395.94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57,342.24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57,342.24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57,342.24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57,342.24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57,342.24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959,829.07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129,557.04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181,123.00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22,916.66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59,460.00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16,636.92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440,576.00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104,746.56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16,900.00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52,373.27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13,865.18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47,723.32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3,884.68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17,438.56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57,342.24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19,000.01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9,557.04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3,522.67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959,829.07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129,557.04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石柱土家族自治县三星乡便民服务中心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17,438.56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0540C9"/>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7B707A"/>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2025-10-06T11:27:19Z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A2B8212874A148B48D6E1023133F42DC</vt:lpwstr>
  </property>
</Properties>
</file>