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石柱土家族自治县三星乡综合行政执法大队</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eastAsia="方正仿宋_GBK"/>
          <w:sz w:val="32"/>
          <w:szCs w:val="32"/>
        </w:rPr>
      </w:pPr>
      <w:r>
        <w:rPr>
          <w:rFonts w:hint="eastAsia" w:ascii="仿宋" w:hAnsi="仿宋" w:eastAsia="仿宋" w:cs="仿宋"/>
          <w:b/>
          <w:bCs/>
          <w:sz w:val="32"/>
          <w:szCs w:val="32"/>
        </w:rPr>
        <w:t>宗旨：</w:t>
      </w:r>
      <w:r>
        <w:rPr>
          <w:rFonts w:hint="eastAsia" w:eastAsia="方正仿宋_GBK"/>
          <w:sz w:val="32"/>
          <w:szCs w:val="32"/>
        </w:rPr>
        <w:t>开展综合行政执法。</w:t>
      </w:r>
    </w:p>
    <w:p>
      <w:pPr>
        <w:keepNext w:val="0"/>
        <w:keepLines w:val="0"/>
        <w:pageBreakBefore w:val="0"/>
        <w:widowControl/>
        <w:kinsoku/>
        <w:wordWrap/>
        <w:overflowPunct/>
        <w:topLinePunct w:val="0"/>
        <w:autoSpaceDE/>
        <w:autoSpaceDN/>
        <w:bidi w:val="0"/>
        <w:adjustRightInd/>
        <w:spacing w:line="594" w:lineRule="exact"/>
        <w:ind w:firstLine="643" w:firstLineChars="200"/>
        <w:rPr>
          <w:rFonts w:hint="eastAsia" w:ascii="仿宋" w:hAnsi="仿宋" w:eastAsia="仿宋" w:cs="仿宋"/>
          <w:kern w:val="0"/>
          <w:sz w:val="32"/>
          <w:szCs w:val="32"/>
        </w:rPr>
      </w:pPr>
      <w:r>
        <w:rPr>
          <w:rFonts w:hint="eastAsia" w:ascii="仿宋" w:hAnsi="仿宋" w:eastAsia="仿宋" w:cs="仿宋"/>
          <w:b/>
          <w:sz w:val="32"/>
          <w:szCs w:val="32"/>
        </w:rPr>
        <w:t>主要职责任务：</w:t>
      </w:r>
      <w:r>
        <w:rPr>
          <w:rFonts w:hint="eastAsia" w:ascii="Times New Roman" w:hAnsi="Times New Roman" w:eastAsia="方正仿宋_GBK"/>
          <w:sz w:val="32"/>
          <w:szCs w:val="32"/>
        </w:rPr>
        <w:t>贯彻落实综合行政执法相关法律法规及政策。</w:t>
      </w:r>
      <w:r>
        <w:rPr>
          <w:rFonts w:hint="eastAsia" w:ascii="Times New Roman" w:hAnsi="Times New Roman" w:eastAsia="方正仿宋_GBK"/>
          <w:bCs/>
          <w:sz w:val="32"/>
          <w:szCs w:val="32"/>
        </w:rPr>
        <w:t>根据法律法规规定、市政府赋权，以乡人民政府名义统一行使权以及与其行政处罚权有关的行政检查、行政强制措施。根据县级相关部门委托，以委托行政机关名义实施委托范围内的行政处罚权。</w:t>
      </w:r>
      <w:r>
        <w:rPr>
          <w:rFonts w:hint="eastAsia" w:ascii="Times New Roman" w:hAnsi="Times New Roman" w:eastAsia="方正仿宋_GBK"/>
          <w:sz w:val="32"/>
          <w:szCs w:val="32"/>
        </w:rPr>
        <w:t>负责联合县级有关行政主管部门开展行政执法工作。负责依据有关法律、法规和规章，参与起草本辖区实行综合行政执法领域相关方面的工作计划，并具体实施。负责乡党委、人民政府交办的其他工作任务。</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keepNext w:val="0"/>
        <w:keepLines w:val="0"/>
        <w:pageBreakBefore w:val="0"/>
        <w:numPr>
          <w:ilvl w:val="0"/>
          <w:numId w:val="0"/>
        </w:numPr>
        <w:kinsoku/>
        <w:wordWrap/>
        <w:overflowPunct/>
        <w:topLinePunct w:val="0"/>
        <w:autoSpaceDE/>
        <w:autoSpaceDN/>
        <w:bidi w:val="0"/>
        <w:adjustRightInd/>
        <w:snapToGrid w:val="0"/>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重庆市石柱土家族自治县</w:t>
      </w:r>
      <w:r>
        <w:rPr>
          <w:rFonts w:hint="eastAsia" w:eastAsia="仿宋_GB2312" w:cs="Times New Roman"/>
          <w:kern w:val="2"/>
          <w:sz w:val="32"/>
          <w:szCs w:val="32"/>
          <w:lang w:val="en-US" w:eastAsia="zh-CN" w:bidi="ar-SA"/>
        </w:rPr>
        <w:t>三星乡综合行政执法大队</w:t>
      </w:r>
      <w:r>
        <w:rPr>
          <w:rFonts w:hint="default" w:ascii="Times New Roman" w:hAnsi="Times New Roman" w:eastAsia="仿宋_GB2312" w:cs="Times New Roman"/>
          <w:kern w:val="2"/>
          <w:sz w:val="32"/>
          <w:szCs w:val="32"/>
          <w:lang w:val="en-US" w:eastAsia="zh-CN" w:bidi="ar-SA"/>
        </w:rPr>
        <w:t>隶属于</w:t>
      </w:r>
      <w:r>
        <w:rPr>
          <w:rFonts w:hint="eastAsia" w:eastAsia="仿宋_GB2312" w:cs="Times New Roman"/>
          <w:kern w:val="2"/>
          <w:sz w:val="32"/>
          <w:szCs w:val="32"/>
          <w:lang w:val="en-US" w:eastAsia="zh-CN" w:bidi="ar-SA"/>
        </w:rPr>
        <w:t>三星乡</w:t>
      </w:r>
      <w:r>
        <w:rPr>
          <w:rFonts w:hint="default" w:ascii="Times New Roman" w:hAnsi="Times New Roman" w:eastAsia="仿宋_GB2312" w:cs="Times New Roman"/>
          <w:kern w:val="2"/>
          <w:sz w:val="32"/>
          <w:szCs w:val="32"/>
          <w:lang w:val="en-US" w:eastAsia="zh-CN" w:bidi="ar-SA"/>
        </w:rPr>
        <w:t>人民政府的财政全额拨款公益一类副科级事业单位。</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91.31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收、支与2023年度相比，增加25.67万元，增长39.1%</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w:t>
      </w:r>
      <w:r>
        <w:rPr>
          <w:rFonts w:hint="eastAsia" w:ascii="Times New Roman" w:hAnsi="Times New Roman" w:eastAsia="仿宋" w:cs="仿宋"/>
          <w:kern w:val="0"/>
          <w:sz w:val="32"/>
          <w:szCs w:val="32"/>
          <w:lang w:val="en-US" w:eastAsia="zh-CN" w:bidi="ar"/>
        </w:rPr>
        <w:t>2024</w:t>
      </w:r>
      <w:r>
        <w:rPr>
          <w:rFonts w:hint="eastAsia" w:ascii="仿宋" w:hAnsi="仿宋" w:eastAsia="仿宋" w:cs="仿宋"/>
          <w:kern w:val="0"/>
          <w:sz w:val="32"/>
          <w:szCs w:val="32"/>
          <w:lang w:val="en-US" w:eastAsia="zh-CN" w:bidi="ar"/>
        </w:rPr>
        <w:t>年新增</w:t>
      </w:r>
      <w:r>
        <w:rPr>
          <w:rFonts w:hint="eastAsia" w:ascii="Times New Roman" w:hAnsi="Times New Roman" w:eastAsia="仿宋" w:cs="仿宋"/>
          <w:kern w:val="0"/>
          <w:sz w:val="32"/>
          <w:szCs w:val="32"/>
          <w:lang w:val="en-US" w:eastAsia="zh-CN" w:bidi="ar"/>
        </w:rPr>
        <w:t>2</w:t>
      </w:r>
      <w:r>
        <w:rPr>
          <w:rFonts w:hint="eastAsia" w:ascii="仿宋" w:hAnsi="仿宋" w:eastAsia="仿宋" w:cs="仿宋"/>
          <w:kern w:val="0"/>
          <w:sz w:val="32"/>
          <w:szCs w:val="32"/>
          <w:lang w:val="en-US" w:eastAsia="zh-CN" w:bidi="ar"/>
        </w:rPr>
        <w:t>人，人员经费增加</w:t>
      </w:r>
      <w:r>
        <w:rPr>
          <w:rFonts w:hint="eastAsia" w:ascii="Times New Roman" w:hAnsi="Times New Roman" w:eastAsia="仿宋" w:cs="仿宋"/>
          <w:kern w:val="0"/>
          <w:sz w:val="32"/>
          <w:szCs w:val="32"/>
          <w:lang w:val="en-US" w:eastAsia="zh-CN" w:bidi="ar"/>
        </w:rPr>
        <w:t>25</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34</w:t>
      </w:r>
      <w:r>
        <w:rPr>
          <w:rFonts w:hint="eastAsia" w:ascii="仿宋" w:hAnsi="仿宋" w:eastAsia="仿宋" w:cs="仿宋"/>
          <w:kern w:val="0"/>
          <w:sz w:val="32"/>
          <w:szCs w:val="32"/>
          <w:lang w:val="en-US" w:eastAsia="zh-CN" w:bidi="ar"/>
        </w:rPr>
        <w:t>万元，日常公用经费增加</w:t>
      </w:r>
      <w:r>
        <w:rPr>
          <w:rFonts w:hint="eastAsia" w:ascii="Times New Roman" w:hAnsi="Times New Roman" w:eastAsia="仿宋" w:cs="仿宋"/>
          <w:kern w:val="0"/>
          <w:sz w:val="32"/>
          <w:szCs w:val="32"/>
          <w:lang w:val="en-US" w:eastAsia="zh-CN" w:bidi="ar"/>
        </w:rPr>
        <w:t>0</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32</w:t>
      </w:r>
      <w:r>
        <w:rPr>
          <w:rFonts w:hint="eastAsia" w:ascii="仿宋" w:hAnsi="仿宋" w:eastAsia="仿宋" w:cs="仿宋"/>
          <w:kern w:val="0"/>
          <w:sz w:val="32"/>
          <w:szCs w:val="32"/>
          <w:lang w:val="en-US" w:eastAsia="zh-CN" w:bidi="ar"/>
        </w:rPr>
        <w:t>万元，导致全年收支增加</w:t>
      </w:r>
      <w:r>
        <w:rPr>
          <w:rFonts w:hint="eastAsia" w:ascii="Times New Roman" w:hAnsi="Times New Roman" w:eastAsia="仿宋" w:cs="仿宋"/>
          <w:kern w:val="0"/>
          <w:sz w:val="32"/>
          <w:szCs w:val="32"/>
          <w:lang w:val="en-US" w:eastAsia="zh-CN" w:bidi="ar"/>
        </w:rPr>
        <w:t>25</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67</w:t>
      </w:r>
      <w:r>
        <w:rPr>
          <w:rFonts w:hint="eastAsia" w:ascii="仿宋" w:hAnsi="仿宋" w:eastAsia="仿宋" w:cs="仿宋"/>
          <w:kern w:val="0"/>
          <w:sz w:val="32"/>
          <w:szCs w:val="32"/>
          <w:lang w:val="en-US" w:eastAsia="zh-CN" w:bidi="ar"/>
        </w:rPr>
        <w:t>万元。</w:t>
      </w:r>
    </w:p>
    <w:p>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91.31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与2023年度相比，增加25.67万元，增长39.1%</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w:t>
      </w:r>
      <w:r>
        <w:rPr>
          <w:rFonts w:hint="eastAsia" w:ascii="Times New Roman" w:hAnsi="Times New Roman" w:eastAsia="仿宋" w:cs="仿宋"/>
          <w:kern w:val="0"/>
          <w:sz w:val="32"/>
          <w:szCs w:val="32"/>
          <w:lang w:val="en-US" w:eastAsia="zh-CN" w:bidi="ar"/>
        </w:rPr>
        <w:t>2024</w:t>
      </w:r>
      <w:r>
        <w:rPr>
          <w:rFonts w:hint="eastAsia" w:ascii="仿宋" w:hAnsi="仿宋" w:eastAsia="仿宋" w:cs="仿宋"/>
          <w:kern w:val="0"/>
          <w:sz w:val="32"/>
          <w:szCs w:val="32"/>
          <w:lang w:val="en-US" w:eastAsia="zh-CN" w:bidi="ar"/>
        </w:rPr>
        <w:t>年新增</w:t>
      </w:r>
      <w:r>
        <w:rPr>
          <w:rFonts w:hint="eastAsia" w:ascii="Times New Roman" w:hAnsi="Times New Roman" w:eastAsia="仿宋" w:cs="仿宋"/>
          <w:kern w:val="0"/>
          <w:sz w:val="32"/>
          <w:szCs w:val="32"/>
          <w:lang w:val="en-US" w:eastAsia="zh-CN" w:bidi="ar"/>
        </w:rPr>
        <w:t>2</w:t>
      </w:r>
      <w:r>
        <w:rPr>
          <w:rFonts w:hint="eastAsia" w:ascii="仿宋" w:hAnsi="仿宋" w:eastAsia="仿宋" w:cs="仿宋"/>
          <w:kern w:val="0"/>
          <w:sz w:val="32"/>
          <w:szCs w:val="32"/>
          <w:lang w:val="en-US" w:eastAsia="zh-CN" w:bidi="ar"/>
        </w:rPr>
        <w:t>人，人员经费和日常公用经费增加，导致全年收入增加</w:t>
      </w:r>
      <w:r>
        <w:rPr>
          <w:rFonts w:hint="eastAsia" w:ascii="Times New Roman" w:hAnsi="Times New Roman" w:eastAsia="仿宋" w:cs="仿宋"/>
          <w:kern w:val="0"/>
          <w:sz w:val="32"/>
          <w:szCs w:val="32"/>
          <w:lang w:val="en-US" w:eastAsia="zh-CN" w:bidi="ar"/>
        </w:rPr>
        <w:t>25</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67</w:t>
      </w:r>
      <w:r>
        <w:rPr>
          <w:rFonts w:hint="eastAsia" w:ascii="仿宋" w:hAnsi="仿宋" w:eastAsia="仿宋" w:cs="仿宋"/>
          <w:kern w:val="0"/>
          <w:sz w:val="32"/>
          <w:szCs w:val="32"/>
          <w:lang w:val="en-US" w:eastAsia="zh-CN" w:bidi="ar"/>
        </w:rPr>
        <w:t>万元。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91.31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91.31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与2023年度相比，增加25.67万元，增长39.1%</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w:t>
      </w:r>
      <w:r>
        <w:rPr>
          <w:rFonts w:hint="eastAsia" w:ascii="Times New Roman" w:hAnsi="Times New Roman" w:eastAsia="仿宋" w:cs="仿宋"/>
          <w:kern w:val="0"/>
          <w:sz w:val="32"/>
          <w:szCs w:val="32"/>
          <w:lang w:val="en-US" w:eastAsia="zh-CN" w:bidi="ar"/>
        </w:rPr>
        <w:t>2024</w:t>
      </w:r>
      <w:r>
        <w:rPr>
          <w:rFonts w:hint="eastAsia" w:ascii="仿宋" w:hAnsi="仿宋" w:eastAsia="仿宋" w:cs="仿宋"/>
          <w:kern w:val="0"/>
          <w:sz w:val="32"/>
          <w:szCs w:val="32"/>
          <w:lang w:val="en-US" w:eastAsia="zh-CN" w:bidi="ar"/>
        </w:rPr>
        <w:t>年新增</w:t>
      </w:r>
      <w:r>
        <w:rPr>
          <w:rFonts w:hint="eastAsia" w:ascii="Times New Roman" w:hAnsi="Times New Roman" w:eastAsia="仿宋" w:cs="仿宋"/>
          <w:kern w:val="0"/>
          <w:sz w:val="32"/>
          <w:szCs w:val="32"/>
          <w:lang w:val="en-US" w:eastAsia="zh-CN" w:bidi="ar"/>
        </w:rPr>
        <w:t>2</w:t>
      </w:r>
      <w:r>
        <w:rPr>
          <w:rFonts w:hint="eastAsia" w:ascii="仿宋" w:hAnsi="仿宋" w:eastAsia="仿宋" w:cs="仿宋"/>
          <w:kern w:val="0"/>
          <w:sz w:val="32"/>
          <w:szCs w:val="32"/>
          <w:lang w:val="en-US" w:eastAsia="zh-CN" w:bidi="ar"/>
        </w:rPr>
        <w:t>人，人员经费和日常公用经费增加，导致全年支出增加</w:t>
      </w:r>
      <w:r>
        <w:rPr>
          <w:rFonts w:hint="eastAsia" w:ascii="Times New Roman" w:hAnsi="Times New Roman" w:eastAsia="仿宋" w:cs="仿宋"/>
          <w:kern w:val="0"/>
          <w:sz w:val="32"/>
          <w:szCs w:val="32"/>
          <w:lang w:val="en-US" w:eastAsia="zh-CN" w:bidi="ar"/>
        </w:rPr>
        <w:t>25</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67</w:t>
      </w:r>
      <w:r>
        <w:rPr>
          <w:rFonts w:hint="eastAsia" w:ascii="仿宋" w:hAnsi="仿宋" w:eastAsia="仿宋" w:cs="仿宋"/>
          <w:kern w:val="0"/>
          <w:sz w:val="32"/>
          <w:szCs w:val="32"/>
          <w:lang w:val="en-US" w:eastAsia="zh-CN" w:bidi="ar"/>
        </w:rPr>
        <w:t>万元。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91.31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3" w:firstLineChars="200"/>
        <w:textAlignment w:val="auto"/>
        <w:rPr>
          <w:rFonts w:hint="eastAsia" w:ascii="Times New Roman" w:hAnsi="Times New Roman" w:eastAsia="方正仿宋_GBK" w:cs="Times New Roman"/>
          <w:kern w:val="0"/>
          <w:sz w:val="32"/>
          <w:szCs w:val="32"/>
          <w:lang w:val="en-US" w:eastAsia="zh-CN" w:bidi="ar-SA"/>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0"/>
          <w:sz w:val="32"/>
          <w:szCs w:val="32"/>
          <w:lang w:val="en-US" w:eastAsia="zh-CN" w:bidi="ar-SA"/>
        </w:rPr>
        <w:t>本单位</w:t>
      </w:r>
      <w:r>
        <w:rPr>
          <w:rFonts w:hint="default" w:ascii="Times New Roman" w:hAnsi="Times New Roman" w:eastAsia="方正仿宋_GBK" w:cs="Times New Roman"/>
          <w:kern w:val="0"/>
          <w:sz w:val="32"/>
          <w:szCs w:val="32"/>
          <w:lang w:val="en-US" w:eastAsia="zh-CN" w:bidi="ar-SA"/>
        </w:rPr>
        <w:t>202</w:t>
      </w:r>
      <w:r>
        <w:rPr>
          <w:rFonts w:hint="eastAsia" w:ascii="Times New Roman" w:hAnsi="Times New Roman" w:eastAsia="方正仿宋_GBK" w:cs="Times New Roman"/>
          <w:kern w:val="0"/>
          <w:sz w:val="32"/>
          <w:szCs w:val="32"/>
          <w:lang w:val="en-US" w:eastAsia="zh-CN" w:bidi="ar-SA"/>
        </w:rPr>
        <w:t>4年无结转结余。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91.31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财政拨款收、支总计各增加25.67万元，增长39.1%</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w:t>
      </w:r>
      <w:r>
        <w:rPr>
          <w:rFonts w:hint="eastAsia" w:ascii="Times New Roman" w:hAnsi="Times New Roman" w:eastAsia="仿宋" w:cs="仿宋"/>
          <w:kern w:val="0"/>
          <w:sz w:val="32"/>
          <w:szCs w:val="32"/>
          <w:lang w:val="en-US" w:eastAsia="zh-CN" w:bidi="ar"/>
        </w:rPr>
        <w:t>2024</w:t>
      </w:r>
      <w:r>
        <w:rPr>
          <w:rFonts w:hint="eastAsia" w:ascii="仿宋" w:hAnsi="仿宋" w:eastAsia="仿宋" w:cs="仿宋"/>
          <w:kern w:val="0"/>
          <w:sz w:val="32"/>
          <w:szCs w:val="32"/>
          <w:lang w:val="en-US" w:eastAsia="zh-CN" w:bidi="ar"/>
        </w:rPr>
        <w:t>年新增</w:t>
      </w:r>
      <w:r>
        <w:rPr>
          <w:rFonts w:hint="eastAsia" w:ascii="Times New Roman" w:hAnsi="Times New Roman" w:eastAsia="仿宋" w:cs="仿宋"/>
          <w:kern w:val="0"/>
          <w:sz w:val="32"/>
          <w:szCs w:val="32"/>
          <w:lang w:val="en-US" w:eastAsia="zh-CN" w:bidi="ar"/>
        </w:rPr>
        <w:t>2</w:t>
      </w:r>
      <w:r>
        <w:rPr>
          <w:rFonts w:hint="eastAsia" w:ascii="仿宋" w:hAnsi="仿宋" w:eastAsia="仿宋" w:cs="仿宋"/>
          <w:kern w:val="0"/>
          <w:sz w:val="32"/>
          <w:szCs w:val="32"/>
          <w:lang w:val="en-US" w:eastAsia="zh-CN" w:bidi="ar"/>
        </w:rPr>
        <w:t>人，人员经费增加</w:t>
      </w:r>
      <w:r>
        <w:rPr>
          <w:rFonts w:hint="eastAsia" w:ascii="Times New Roman" w:hAnsi="Times New Roman" w:eastAsia="仿宋" w:cs="仿宋"/>
          <w:kern w:val="0"/>
          <w:sz w:val="32"/>
          <w:szCs w:val="32"/>
          <w:lang w:val="en-US" w:eastAsia="zh-CN" w:bidi="ar"/>
        </w:rPr>
        <w:t>25</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34</w:t>
      </w:r>
      <w:r>
        <w:rPr>
          <w:rFonts w:hint="eastAsia" w:ascii="仿宋" w:hAnsi="仿宋" w:eastAsia="仿宋" w:cs="仿宋"/>
          <w:kern w:val="0"/>
          <w:sz w:val="32"/>
          <w:szCs w:val="32"/>
          <w:lang w:val="en-US" w:eastAsia="zh-CN" w:bidi="ar"/>
        </w:rPr>
        <w:t>万元，日常公用经费增加</w:t>
      </w:r>
      <w:r>
        <w:rPr>
          <w:rFonts w:hint="eastAsia" w:ascii="Times New Roman" w:hAnsi="Times New Roman" w:eastAsia="仿宋" w:cs="仿宋"/>
          <w:kern w:val="0"/>
          <w:sz w:val="32"/>
          <w:szCs w:val="32"/>
          <w:lang w:val="en-US" w:eastAsia="zh-CN" w:bidi="ar"/>
        </w:rPr>
        <w:t>0</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32</w:t>
      </w:r>
      <w:r>
        <w:rPr>
          <w:rFonts w:hint="eastAsia" w:ascii="仿宋" w:hAnsi="仿宋" w:eastAsia="仿宋" w:cs="仿宋"/>
          <w:kern w:val="0"/>
          <w:sz w:val="32"/>
          <w:szCs w:val="32"/>
          <w:lang w:val="en-US" w:eastAsia="zh-CN" w:bidi="ar"/>
        </w:rPr>
        <w:t>万元，导致全年收支增加</w:t>
      </w:r>
      <w:r>
        <w:rPr>
          <w:rFonts w:hint="eastAsia" w:ascii="Times New Roman" w:hAnsi="Times New Roman" w:eastAsia="仿宋" w:cs="仿宋"/>
          <w:kern w:val="0"/>
          <w:sz w:val="32"/>
          <w:szCs w:val="32"/>
          <w:lang w:val="en-US" w:eastAsia="zh-CN" w:bidi="ar"/>
        </w:rPr>
        <w:t>25</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67</w:t>
      </w:r>
      <w:r>
        <w:rPr>
          <w:rFonts w:hint="eastAsia" w:ascii="仿宋" w:hAnsi="仿宋" w:eastAsia="仿宋" w:cs="仿宋"/>
          <w:kern w:val="0"/>
          <w:sz w:val="32"/>
          <w:szCs w:val="32"/>
          <w:lang w:val="en-US" w:eastAsia="zh-CN" w:bidi="ar"/>
        </w:rPr>
        <w:t>万元。</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91.31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与2023年度相比，增加25.67万元，增长39.1%</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w:t>
      </w:r>
      <w:r>
        <w:rPr>
          <w:rFonts w:hint="eastAsia" w:ascii="Times New Roman" w:hAnsi="Times New Roman" w:eastAsia="仿宋" w:cs="仿宋"/>
          <w:kern w:val="0"/>
          <w:sz w:val="32"/>
          <w:szCs w:val="32"/>
          <w:lang w:val="en-US" w:eastAsia="zh-CN" w:bidi="ar"/>
        </w:rPr>
        <w:t>2024</w:t>
      </w:r>
      <w:r>
        <w:rPr>
          <w:rFonts w:hint="eastAsia" w:ascii="仿宋" w:hAnsi="仿宋" w:eastAsia="仿宋" w:cs="仿宋"/>
          <w:kern w:val="0"/>
          <w:sz w:val="32"/>
          <w:szCs w:val="32"/>
          <w:lang w:val="en-US" w:eastAsia="zh-CN" w:bidi="ar"/>
        </w:rPr>
        <w:t>年新增</w:t>
      </w:r>
      <w:r>
        <w:rPr>
          <w:rFonts w:hint="eastAsia" w:ascii="Times New Roman" w:hAnsi="Times New Roman" w:eastAsia="仿宋" w:cs="仿宋"/>
          <w:kern w:val="0"/>
          <w:sz w:val="32"/>
          <w:szCs w:val="32"/>
          <w:lang w:val="en-US" w:eastAsia="zh-CN" w:bidi="ar"/>
        </w:rPr>
        <w:t>2</w:t>
      </w:r>
      <w:r>
        <w:rPr>
          <w:rFonts w:hint="eastAsia" w:ascii="仿宋" w:hAnsi="仿宋" w:eastAsia="仿宋" w:cs="仿宋"/>
          <w:kern w:val="0"/>
          <w:sz w:val="32"/>
          <w:szCs w:val="32"/>
          <w:lang w:val="en-US" w:eastAsia="zh-CN" w:bidi="ar"/>
        </w:rPr>
        <w:t>人，人员经费和日常公用经费增加，导致全年收入增加</w:t>
      </w:r>
      <w:r>
        <w:rPr>
          <w:rFonts w:hint="eastAsia" w:ascii="Times New Roman" w:hAnsi="Times New Roman" w:eastAsia="仿宋" w:cs="仿宋"/>
          <w:kern w:val="0"/>
          <w:sz w:val="32"/>
          <w:szCs w:val="32"/>
          <w:lang w:val="en-US" w:eastAsia="zh-CN" w:bidi="ar"/>
        </w:rPr>
        <w:t>25</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67</w:t>
      </w:r>
      <w:r>
        <w:rPr>
          <w:rFonts w:hint="eastAsia" w:ascii="仿宋" w:hAnsi="仿宋" w:eastAsia="仿宋" w:cs="仿宋"/>
          <w:kern w:val="0"/>
          <w:sz w:val="32"/>
          <w:szCs w:val="32"/>
          <w:lang w:val="en-US" w:eastAsia="zh-CN" w:bidi="ar"/>
        </w:rPr>
        <w:t>万元。</w:t>
      </w:r>
      <w:r>
        <w:rPr>
          <w:rFonts w:hint="default" w:ascii="Times New Roman" w:hAnsi="Times New Roman" w:eastAsia="方正仿宋_GBK"/>
          <w:sz w:val="32"/>
          <w:szCs w:val="32"/>
          <w:shd w:val="clear" w:color="auto" w:fill="FFFFFF"/>
        </w:rPr>
        <w:t>较年初预算数增加17.70万元，增长24.1%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0"/>
          <w:sz w:val="32"/>
          <w:szCs w:val="32"/>
          <w:lang w:val="en-US" w:eastAsia="zh-CN" w:bidi="ar-SA"/>
        </w:rPr>
        <w:t>人员增加，年中追加人员经费</w:t>
      </w:r>
      <w:r>
        <w:rPr>
          <w:rFonts w:hint="default" w:ascii="Times New Roman" w:hAnsi="Times New Roman" w:eastAsia="方正仿宋_GBK" w:cs="Times New Roman"/>
          <w:kern w:val="0"/>
          <w:sz w:val="32"/>
          <w:szCs w:val="32"/>
          <w:lang w:val="en-US" w:eastAsia="zh-CN" w:bidi="ar-SA"/>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91.31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与2023年度相比，增加25.67万元，增长39.1%</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w:t>
      </w:r>
      <w:r>
        <w:rPr>
          <w:rFonts w:hint="eastAsia" w:ascii="Times New Roman" w:hAnsi="Times New Roman" w:eastAsia="仿宋" w:cs="仿宋"/>
          <w:kern w:val="0"/>
          <w:sz w:val="32"/>
          <w:szCs w:val="32"/>
          <w:lang w:val="en-US" w:eastAsia="zh-CN" w:bidi="ar"/>
        </w:rPr>
        <w:t>2024</w:t>
      </w:r>
      <w:r>
        <w:rPr>
          <w:rFonts w:hint="eastAsia" w:ascii="仿宋" w:hAnsi="仿宋" w:eastAsia="仿宋" w:cs="仿宋"/>
          <w:kern w:val="0"/>
          <w:sz w:val="32"/>
          <w:szCs w:val="32"/>
          <w:lang w:val="en-US" w:eastAsia="zh-CN" w:bidi="ar"/>
        </w:rPr>
        <w:t>年新增</w:t>
      </w:r>
      <w:r>
        <w:rPr>
          <w:rFonts w:hint="eastAsia" w:ascii="Times New Roman" w:hAnsi="Times New Roman" w:eastAsia="仿宋" w:cs="仿宋"/>
          <w:kern w:val="0"/>
          <w:sz w:val="32"/>
          <w:szCs w:val="32"/>
          <w:lang w:val="en-US" w:eastAsia="zh-CN" w:bidi="ar"/>
        </w:rPr>
        <w:t>2</w:t>
      </w:r>
      <w:r>
        <w:rPr>
          <w:rFonts w:hint="eastAsia" w:ascii="仿宋" w:hAnsi="仿宋" w:eastAsia="仿宋" w:cs="仿宋"/>
          <w:kern w:val="0"/>
          <w:sz w:val="32"/>
          <w:szCs w:val="32"/>
          <w:lang w:val="en-US" w:eastAsia="zh-CN" w:bidi="ar"/>
        </w:rPr>
        <w:t>人，人员经费和日常公用经费增加，导致全年支出增加</w:t>
      </w:r>
      <w:r>
        <w:rPr>
          <w:rFonts w:hint="eastAsia" w:ascii="Times New Roman" w:hAnsi="Times New Roman" w:eastAsia="仿宋" w:cs="仿宋"/>
          <w:kern w:val="0"/>
          <w:sz w:val="32"/>
          <w:szCs w:val="32"/>
          <w:lang w:val="en-US" w:eastAsia="zh-CN" w:bidi="ar"/>
        </w:rPr>
        <w:t>25</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67</w:t>
      </w:r>
      <w:r>
        <w:rPr>
          <w:rFonts w:hint="eastAsia" w:ascii="仿宋" w:hAnsi="仿宋" w:eastAsia="仿宋" w:cs="仿宋"/>
          <w:kern w:val="0"/>
          <w:sz w:val="32"/>
          <w:szCs w:val="32"/>
          <w:lang w:val="en-US" w:eastAsia="zh-CN" w:bidi="ar"/>
        </w:rPr>
        <w:t>万元。</w:t>
      </w:r>
      <w:r>
        <w:rPr>
          <w:rFonts w:hint="default" w:ascii="Times New Roman" w:hAnsi="Times New Roman" w:eastAsia="方正仿宋_GBK"/>
          <w:sz w:val="32"/>
          <w:szCs w:val="32"/>
          <w:shd w:val="clear" w:color="auto" w:fill="FFFFFF"/>
        </w:rPr>
        <w:t>较年初预算数增加17.70万元，增长24.1%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0"/>
          <w:sz w:val="32"/>
          <w:szCs w:val="32"/>
          <w:lang w:val="en-US" w:eastAsia="zh-CN" w:bidi="ar-SA"/>
        </w:rPr>
        <w:t>人员增加，年中追加人员经费</w:t>
      </w:r>
      <w:r>
        <w:rPr>
          <w:rFonts w:hint="default" w:ascii="Times New Roman" w:hAnsi="Times New Roman" w:eastAsia="方正仿宋_GBK" w:cs="Times New Roman"/>
          <w:kern w:val="0"/>
          <w:sz w:val="32"/>
          <w:szCs w:val="32"/>
          <w:lang w:val="en-US" w:eastAsia="zh-CN" w:bidi="ar-SA"/>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7"/>
        <w:numPr>
          <w:numId w:val="0"/>
        </w:numPr>
        <w:snapToGrid w:val="0"/>
        <w:spacing w:before="0" w:beforeAutospacing="0" w:after="0" w:afterAutospacing="0" w:line="596" w:lineRule="exact"/>
        <w:ind w:firstLine="640" w:firstLineChars="200"/>
        <w:jc w:val="both"/>
        <w:rPr>
          <w:rFonts w:hint="eastAsia" w:ascii="仿宋" w:hAnsi="仿宋" w:eastAsia="仿宋" w:cs="仿宋"/>
          <w:kern w:val="0"/>
          <w:sz w:val="32"/>
          <w:szCs w:val="32"/>
          <w:highlight w:val="none"/>
          <w:lang w:val="en-US" w:eastAsia="zh-CN" w:bidi="ar"/>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70.02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较年初预算数增加13.65万元，增长24.2%</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highlight w:val="none"/>
          <w:lang w:val="en-US" w:eastAsia="zh-CN" w:bidi="ar"/>
        </w:rPr>
        <w:t>新招录</w:t>
      </w:r>
      <w:r>
        <w:rPr>
          <w:rFonts w:hint="eastAsia" w:ascii="Times New Roman" w:hAnsi="Times New Roman" w:eastAsia="仿宋" w:cs="仿宋"/>
          <w:kern w:val="0"/>
          <w:sz w:val="32"/>
          <w:szCs w:val="32"/>
          <w:highlight w:val="none"/>
          <w:lang w:val="en-US" w:eastAsia="zh-CN" w:bidi="ar"/>
        </w:rPr>
        <w:t>1</w:t>
      </w:r>
      <w:r>
        <w:rPr>
          <w:rFonts w:hint="eastAsia" w:ascii="仿宋" w:hAnsi="仿宋" w:eastAsia="仿宋" w:cs="仿宋"/>
          <w:kern w:val="0"/>
          <w:sz w:val="32"/>
          <w:szCs w:val="32"/>
          <w:highlight w:val="none"/>
          <w:lang w:val="en-US" w:eastAsia="zh-CN" w:bidi="ar"/>
        </w:rPr>
        <w:t>人，调入</w:t>
      </w:r>
      <w:r>
        <w:rPr>
          <w:rFonts w:hint="eastAsia" w:ascii="Times New Roman" w:hAnsi="Times New Roman" w:eastAsia="仿宋" w:cs="仿宋"/>
          <w:kern w:val="0"/>
          <w:sz w:val="32"/>
          <w:szCs w:val="32"/>
          <w:highlight w:val="none"/>
          <w:lang w:val="en-US" w:eastAsia="zh-CN" w:bidi="ar"/>
        </w:rPr>
        <w:t>1</w:t>
      </w:r>
      <w:r>
        <w:rPr>
          <w:rFonts w:hint="eastAsia" w:ascii="仿宋" w:hAnsi="仿宋" w:eastAsia="仿宋" w:cs="仿宋"/>
          <w:kern w:val="0"/>
          <w:sz w:val="32"/>
          <w:szCs w:val="32"/>
          <w:highlight w:val="none"/>
          <w:lang w:val="en-US" w:eastAsia="zh-CN" w:bidi="ar"/>
        </w:rPr>
        <w:t>人，人员增加，年中追加人员经费、公用经费等基本支出。</w:t>
      </w:r>
    </w:p>
    <w:p>
      <w:pPr>
        <w:pStyle w:val="7"/>
        <w:numPr>
          <w:numId w:val="0"/>
        </w:numPr>
        <w:snapToGrid w:val="0"/>
        <w:spacing w:before="0" w:beforeAutospacing="0" w:after="0" w:afterAutospacing="0" w:line="596"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13.55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较年初预算数增加4.05万元，增长42.6%</w:t>
      </w:r>
      <w:r>
        <w:rPr>
          <w:rFonts w:ascii="方正仿宋_GBK" w:hAnsi="方正仿宋_GBK" w:eastAsia="方正仿宋_GBK" w:cs="方正仿宋_GBK"/>
          <w:sz w:val="32"/>
          <w:szCs w:val="32"/>
          <w:shd w:val="clear" w:color="auto" w:fill="FFFFFF"/>
        </w:rPr>
        <w:t>，主要原因是</w:t>
      </w:r>
      <w:r>
        <w:rPr>
          <w:rFonts w:hint="eastAsia" w:eastAsia="仿宋_GB2312" w:cs="Times New Roman"/>
          <w:sz w:val="32"/>
          <w:szCs w:val="32"/>
          <w:highlight w:val="none"/>
          <w:lang w:val="en-US" w:eastAsia="zh-CN"/>
        </w:rPr>
        <w:t>年中追加</w:t>
      </w:r>
      <w:r>
        <w:rPr>
          <w:rFonts w:hint="default" w:ascii="Times New Roman" w:hAnsi="Times New Roman" w:eastAsia="仿宋_GB2312" w:cs="Times New Roman"/>
          <w:sz w:val="32"/>
          <w:szCs w:val="32"/>
          <w:highlight w:val="none"/>
          <w:lang w:eastAsia="zh-CN"/>
        </w:rPr>
        <w:t>养老保险与</w:t>
      </w:r>
      <w:r>
        <w:rPr>
          <w:rFonts w:hint="default" w:ascii="Times New Roman" w:hAnsi="Times New Roman" w:eastAsia="仿宋_GB2312" w:cs="Times New Roman"/>
          <w:sz w:val="32"/>
          <w:szCs w:val="32"/>
          <w:highlight w:val="none"/>
          <w:lang w:val="en-US" w:eastAsia="zh-CN"/>
        </w:rPr>
        <w:t>职业年金</w:t>
      </w:r>
      <w:r>
        <w:rPr>
          <w:rFonts w:hint="eastAsia" w:ascii="Times New Roman" w:hAnsi="Times New Roman" w:eastAsia="仿宋_GB2312" w:cs="Times New Roman"/>
          <w:sz w:val="32"/>
          <w:szCs w:val="32"/>
          <w:highlight w:val="none"/>
          <w:lang w:val="en-US" w:eastAsia="zh-CN"/>
        </w:rPr>
        <w:t>。</w:t>
      </w:r>
    </w:p>
    <w:p>
      <w:pPr>
        <w:pStyle w:val="7"/>
        <w:numPr>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3" w:firstLineChars="200"/>
        <w:textAlignment w:val="auto"/>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0"/>
          <w:sz w:val="32"/>
          <w:szCs w:val="32"/>
          <w:lang w:val="en-US" w:eastAsia="zh-CN" w:bidi="ar-SA"/>
        </w:rPr>
        <w:t>本单位</w:t>
      </w:r>
      <w:r>
        <w:rPr>
          <w:rFonts w:hint="default" w:ascii="Times New Roman" w:hAnsi="Times New Roman" w:eastAsia="方正仿宋_GBK" w:cs="Times New Roman"/>
          <w:kern w:val="0"/>
          <w:sz w:val="32"/>
          <w:szCs w:val="32"/>
          <w:lang w:val="en-US" w:eastAsia="zh-CN" w:bidi="ar-SA"/>
        </w:rPr>
        <w:t>202</w:t>
      </w:r>
      <w:r>
        <w:rPr>
          <w:rFonts w:hint="eastAsia" w:ascii="Times New Roman" w:hAnsi="Times New Roman" w:eastAsia="方正仿宋_GBK" w:cs="Times New Roman"/>
          <w:kern w:val="0"/>
          <w:sz w:val="32"/>
          <w:szCs w:val="32"/>
          <w:lang w:val="en-US" w:eastAsia="zh-CN" w:bidi="ar-SA"/>
        </w:rPr>
        <w:t>4年无结转结余。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91.31</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其中：人员经费</w:t>
      </w:r>
      <w:r>
        <w:rPr>
          <w:rFonts w:hint="default" w:ascii="Times New Roman" w:hAnsi="Times New Roman" w:eastAsia="方正仿宋_GBK"/>
          <w:sz w:val="32"/>
          <w:szCs w:val="32"/>
          <w:shd w:val="clear" w:color="auto" w:fill="FFFFFF"/>
        </w:rPr>
        <w:t>80.69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与2023年度相比，增加25.34万元，增长45.8%</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w:t>
      </w:r>
      <w:r>
        <w:rPr>
          <w:rFonts w:hint="eastAsia" w:ascii="Times New Roman" w:hAnsi="Times New Roman" w:eastAsia="仿宋" w:cs="仿宋"/>
          <w:kern w:val="0"/>
          <w:sz w:val="32"/>
          <w:szCs w:val="32"/>
          <w:lang w:val="en-US" w:eastAsia="zh-CN" w:bidi="ar"/>
        </w:rPr>
        <w:t>2024</w:t>
      </w:r>
      <w:r>
        <w:rPr>
          <w:rFonts w:hint="eastAsia" w:ascii="仿宋" w:hAnsi="仿宋" w:eastAsia="仿宋" w:cs="仿宋"/>
          <w:kern w:val="0"/>
          <w:sz w:val="32"/>
          <w:szCs w:val="32"/>
          <w:lang w:val="en-US" w:eastAsia="zh-CN" w:bidi="ar"/>
        </w:rPr>
        <w:t>年人员新增</w:t>
      </w:r>
      <w:r>
        <w:rPr>
          <w:rFonts w:hint="eastAsia" w:ascii="Times New Roman" w:hAnsi="Times New Roman" w:eastAsia="仿宋" w:cs="仿宋"/>
          <w:kern w:val="0"/>
          <w:sz w:val="32"/>
          <w:szCs w:val="32"/>
          <w:lang w:val="en-US" w:eastAsia="zh-CN" w:bidi="ar"/>
        </w:rPr>
        <w:t>2</w:t>
      </w:r>
      <w:r>
        <w:rPr>
          <w:rFonts w:hint="eastAsia" w:ascii="仿宋" w:hAnsi="仿宋" w:eastAsia="仿宋" w:cs="仿宋"/>
          <w:kern w:val="0"/>
          <w:sz w:val="32"/>
          <w:szCs w:val="32"/>
          <w:lang w:val="en-US" w:eastAsia="zh-CN" w:bidi="ar"/>
        </w:rPr>
        <w:t>人，工资、社保、公积金增加，导致人员经费增加</w:t>
      </w:r>
      <w:r>
        <w:rPr>
          <w:rFonts w:hint="eastAsia" w:ascii="Times New Roman" w:hAnsi="Times New Roman" w:eastAsia="仿宋" w:cs="仿宋"/>
          <w:kern w:val="0"/>
          <w:sz w:val="32"/>
          <w:szCs w:val="32"/>
          <w:lang w:val="en-US" w:eastAsia="zh-CN" w:bidi="ar"/>
        </w:rPr>
        <w:t>25</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34</w:t>
      </w:r>
      <w:r>
        <w:rPr>
          <w:rFonts w:hint="eastAsia" w:ascii="仿宋" w:hAnsi="仿宋" w:eastAsia="仿宋" w:cs="仿宋"/>
          <w:kern w:val="0"/>
          <w:sz w:val="32"/>
          <w:szCs w:val="32"/>
          <w:lang w:val="en-US" w:eastAsia="zh-CN" w:bidi="ar"/>
        </w:rPr>
        <w:t>万元。</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仿宋_GB2312" w:cs="Times New Roman"/>
          <w:sz w:val="32"/>
          <w:szCs w:val="32"/>
        </w:rPr>
        <w:t>基本工资、绩效工资、社会保障缴费、离退休人员健康休养费等。</w:t>
      </w:r>
    </w:p>
    <w:p>
      <w:pPr>
        <w:keepNext w:val="0"/>
        <w:keepLines w:val="0"/>
        <w:pageBreakBefore w:val="0"/>
        <w:kinsoku/>
        <w:wordWrap/>
        <w:overflowPunct/>
        <w:topLinePunct w:val="0"/>
        <w:autoSpaceDE/>
        <w:autoSpaceDN/>
        <w:bidi w:val="0"/>
        <w:adjustRightInd/>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与2023年度相比，增加0.32万元，增长3.1%</w:t>
      </w:r>
      <w:r>
        <w:rPr>
          <w:rFonts w:ascii="方正仿宋_GBK" w:hAnsi="方正仿宋_GBK" w:eastAsia="方正仿宋_GBK" w:cs="方正仿宋_GBK"/>
          <w:sz w:val="32"/>
          <w:szCs w:val="32"/>
          <w:shd w:val="clear" w:color="auto" w:fill="FFFFFF"/>
        </w:rPr>
        <w:t>，主要原因是</w:t>
      </w:r>
      <w:r>
        <w:rPr>
          <w:rFonts w:hint="eastAsia" w:eastAsia="仿宋_GB2312" w:cs="Times New Roman"/>
          <w:color w:val="000000"/>
          <w:sz w:val="32"/>
          <w:szCs w:val="32"/>
          <w:lang w:eastAsia="zh-CN"/>
        </w:rPr>
        <w:t>本单位</w:t>
      </w:r>
      <w:r>
        <w:rPr>
          <w:rFonts w:hint="eastAsia" w:ascii="Times New Roman" w:hAnsi="Times New Roman" w:eastAsia="仿宋_GB2312" w:cs="Times New Roman"/>
          <w:color w:val="000000"/>
          <w:sz w:val="32"/>
          <w:szCs w:val="32"/>
          <w:lang w:eastAsia="zh-CN"/>
        </w:rPr>
        <w:t>2024</w:t>
      </w:r>
      <w:r>
        <w:rPr>
          <w:rFonts w:hint="eastAsia" w:eastAsia="仿宋_GB2312" w:cs="Times New Roman"/>
          <w:color w:val="000000"/>
          <w:sz w:val="32"/>
          <w:szCs w:val="32"/>
          <w:lang w:eastAsia="zh-CN"/>
        </w:rPr>
        <w:t>年人员增加，导致日常公用经费支出增加</w:t>
      </w:r>
      <w:r>
        <w:rPr>
          <w:rFonts w:hint="eastAsia" w:ascii="Times New Roman" w:hAnsi="Times New Roman" w:eastAsia="仿宋_GB2312" w:cs="Times New Roman"/>
          <w:color w:val="000000"/>
          <w:sz w:val="32"/>
          <w:szCs w:val="32"/>
          <w:lang w:val="en-US" w:eastAsia="zh-CN"/>
        </w:rPr>
        <w:t>0</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32</w:t>
      </w:r>
      <w:r>
        <w:rPr>
          <w:rFonts w:hint="eastAsia" w:eastAsia="仿宋_GB2312" w:cs="Times New Roman"/>
          <w:color w:val="000000"/>
          <w:sz w:val="32"/>
          <w:szCs w:val="32"/>
          <w:lang w:val="en-US" w:eastAsia="zh-CN"/>
        </w:rPr>
        <w:t>万</w:t>
      </w:r>
      <w:r>
        <w:rPr>
          <w:rFonts w:hint="eastAsia" w:eastAsia="仿宋_GB2312" w:cs="Times New Roman"/>
          <w:color w:val="000000"/>
          <w:sz w:val="32"/>
          <w:szCs w:val="32"/>
          <w:lang w:eastAsia="zh-CN"/>
        </w:rPr>
        <w:t>元。</w:t>
      </w:r>
      <w:r>
        <w:rPr>
          <w:rFonts w:hint="default" w:ascii="Times New Roman" w:hAnsi="Times New Roman" w:eastAsia="仿宋_GB2312" w:cs="Times New Roman"/>
          <w:sz w:val="32"/>
          <w:szCs w:val="32"/>
        </w:rPr>
        <w:t>公用经费用途主要包括办公费、水费、电费、邮电费、差旅费、工会经费、劳务费等。</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本单位202</w:t>
      </w:r>
      <w:r>
        <w:rPr>
          <w:rFonts w:hint="eastAsia" w:ascii="Times New Roman" w:hAnsi="Times New Roman" w:eastAsia="仿宋_GB2312" w:cs="Times New Roman"/>
          <w:color w:val="auto"/>
          <w:sz w:val="32"/>
          <w:szCs w:val="32"/>
          <w:lang w:val="en-US" w:eastAsia="zh-CN" w:bidi="ar-SA"/>
        </w:rPr>
        <w:t>4</w:t>
      </w:r>
      <w:r>
        <w:rPr>
          <w:rFonts w:hint="default" w:ascii="Times New Roman" w:hAnsi="Times New Roman" w:eastAsia="仿宋_GB2312" w:cs="Times New Roman"/>
          <w:color w:val="auto"/>
          <w:sz w:val="32"/>
          <w:szCs w:val="32"/>
          <w:lang w:val="en-US" w:eastAsia="zh-CN" w:bidi="ar-SA"/>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本单位202</w:t>
      </w:r>
      <w:r>
        <w:rPr>
          <w:rFonts w:hint="eastAsia" w:ascii="Times New Roman" w:hAnsi="Times New Roman" w:eastAsia="仿宋_GB2312" w:cs="Times New Roman"/>
          <w:color w:val="auto"/>
          <w:sz w:val="32"/>
          <w:szCs w:val="32"/>
          <w:lang w:val="en-US" w:eastAsia="zh-CN" w:bidi="ar-SA"/>
        </w:rPr>
        <w:t>4</w:t>
      </w:r>
      <w:r>
        <w:rPr>
          <w:rFonts w:hint="default" w:ascii="Times New Roman" w:hAnsi="Times New Roman" w:eastAsia="仿宋_GB2312" w:cs="Times New Roman"/>
          <w:color w:val="auto"/>
          <w:sz w:val="32"/>
          <w:szCs w:val="32"/>
          <w:lang w:val="en-US" w:eastAsia="zh-CN" w:bidi="ar-SA"/>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i w:val="0"/>
          <w:iCs w:val="0"/>
          <w:caps w:val="0"/>
          <w:color w:val="000000"/>
          <w:spacing w:val="0"/>
          <w:sz w:val="31"/>
          <w:szCs w:val="31"/>
          <w:lang w:val="en-US" w:eastAsia="zh-CN"/>
        </w:rPr>
      </w:pPr>
      <w:r>
        <w:rPr>
          <w:rFonts w:hint="default" w:ascii="Times New Roman" w:hAnsi="Times New Roman" w:eastAsia="仿宋_GB2312" w:cs="Times New Roman"/>
          <w:color w:val="auto"/>
          <w:sz w:val="32"/>
          <w:szCs w:val="32"/>
          <w:lang w:val="en-US" w:eastAsia="zh-CN" w:bidi="ar-SA"/>
        </w:rPr>
        <w:t>我单位属于公益一类副科级事业单位，“</w:t>
      </w:r>
      <w:r>
        <w:rPr>
          <w:rFonts w:hint="eastAsia" w:ascii="Times New Roman" w:hAnsi="Times New Roman" w:eastAsia="仿宋_GB2312" w:cs="Times New Roman"/>
          <w:color w:val="auto"/>
          <w:sz w:val="32"/>
          <w:szCs w:val="32"/>
          <w:lang w:val="en-US" w:eastAsia="zh-CN" w:bidi="ar-SA"/>
        </w:rPr>
        <w:t>三公</w:t>
      </w:r>
      <w:r>
        <w:rPr>
          <w:rFonts w:hint="default" w:ascii="Times New Roman" w:hAnsi="Times New Roman" w:eastAsia="仿宋_GB2312" w:cs="Times New Roman"/>
          <w:color w:val="auto"/>
          <w:sz w:val="32"/>
          <w:szCs w:val="32"/>
          <w:lang w:val="en-US" w:eastAsia="zh-CN" w:bidi="ar-SA"/>
        </w:rPr>
        <w:t>”</w:t>
      </w:r>
      <w:r>
        <w:rPr>
          <w:rFonts w:hint="eastAsia" w:ascii="Times New Roman" w:hAnsi="Times New Roman" w:eastAsia="仿宋_GB2312" w:cs="Times New Roman"/>
          <w:color w:val="auto"/>
          <w:sz w:val="32"/>
          <w:szCs w:val="32"/>
          <w:lang w:val="en-US" w:eastAsia="zh-CN" w:bidi="ar-SA"/>
        </w:rPr>
        <w:t xml:space="preserve">经费已在三星乡人民政府本级决算，故本二级事业单位决算中无“三公”经费数据。 </w:t>
      </w:r>
      <w:r>
        <w:rPr>
          <w:rFonts w:hint="eastAsia" w:ascii="方正仿宋_GBK" w:hAnsi="方正仿宋_GBK" w:eastAsia="方正仿宋_GBK" w:cs="方正仿宋_GBK"/>
          <w:i w:val="0"/>
          <w:iCs w:val="0"/>
          <w:caps w:val="0"/>
          <w:color w:val="000000"/>
          <w:spacing w:val="0"/>
          <w:sz w:val="31"/>
          <w:szCs w:val="31"/>
          <w:lang w:val="en-US" w:eastAsia="zh-CN"/>
        </w:rPr>
        <w:t xml:space="preserve">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keepNext w:val="0"/>
        <w:keepLines w:val="0"/>
        <w:pageBreakBefore w:val="0"/>
        <w:widowControl w:val="0"/>
        <w:suppressLineNumbers w:val="0"/>
        <w:kinsoku/>
        <w:wordWrap/>
        <w:overflowPunct/>
        <w:topLinePunct w:val="0"/>
        <w:autoSpaceDE w:val="0"/>
        <w:autoSpaceDN/>
        <w:bidi w:val="0"/>
        <w:adjustRightInd/>
        <w:spacing w:beforeAutospacing="0" w:afterAutospacing="0" w:line="594"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bidi="ar-SA"/>
        </w:rPr>
      </w:pPr>
      <w:r>
        <w:rPr>
          <w:rFonts w:ascii="方正仿宋_GBK" w:hAnsi="方正仿宋_GBK" w:eastAsia="方正仿宋_GBK" w:cs="方正仿宋_GBK"/>
          <w:sz w:val="32"/>
          <w:szCs w:val="32"/>
          <w:shd w:val="clear" w:color="auto" w:fill="FFFFFF"/>
        </w:rPr>
        <w:t> </w:t>
      </w:r>
      <w:r>
        <w:rPr>
          <w:rFonts w:hint="eastAsia" w:ascii="Times New Roman" w:hAnsi="Times New Roman" w:eastAsia="仿宋_GB2312" w:cs="Times New Roman"/>
          <w:color w:val="auto"/>
          <w:sz w:val="32"/>
          <w:szCs w:val="32"/>
          <w:lang w:val="en-US" w:eastAsia="zh-CN" w:bidi="ar-SA"/>
        </w:rPr>
        <w:t>我单位属于公益一类副科级事业单位，财政拨款会议费和培训费已在三星乡人民政府本级决算，故本二级事业单位决算中无会议费、培训费和差旅费。</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kern w:val="0"/>
          <w:sz w:val="32"/>
          <w:szCs w:val="32"/>
          <w:lang w:val="en-US" w:eastAsia="zh-CN" w:bidi="ar-SA"/>
        </w:rPr>
      </w:pPr>
      <w:r>
        <w:rPr>
          <w:rFonts w:hint="default" w:ascii="方正仿宋_GBK" w:hAnsi="方正仿宋_GBK" w:eastAsia="方正仿宋_GBK" w:cs="方正仿宋_GBK"/>
          <w:kern w:val="0"/>
          <w:sz w:val="32"/>
          <w:szCs w:val="32"/>
          <w:lang w:val="en-US" w:eastAsia="zh-CN" w:bidi="ar-SA"/>
        </w:rPr>
        <w:t>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w:t>
      </w:r>
      <w:r>
        <w:rPr>
          <w:rFonts w:hint="default" w:ascii="Times New Roman" w:hAnsi="Times New Roman" w:eastAsia="仿宋_GB2312" w:cs="Times New Roman"/>
          <w:color w:val="auto"/>
          <w:sz w:val="32"/>
          <w:szCs w:val="32"/>
          <w:lang w:val="en-US" w:eastAsia="zh-CN" w:bidi="ar-SA"/>
        </w:rPr>
        <w:t>本单位共有车辆0辆。单价100万元（含）以上专用设备0台（套）。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202</w:t>
      </w:r>
      <w:r>
        <w:rPr>
          <w:rFonts w:hint="eastAsia" w:ascii="Times New Roman" w:hAnsi="Times New Roman" w:eastAsia="仿宋_GB2312" w:cs="Times New Roman"/>
          <w:color w:val="auto"/>
          <w:sz w:val="32"/>
          <w:szCs w:val="32"/>
          <w:lang w:val="en-US" w:eastAsia="zh-CN" w:bidi="ar-SA"/>
        </w:rPr>
        <w:t>4</w:t>
      </w:r>
      <w:r>
        <w:rPr>
          <w:rFonts w:hint="default" w:ascii="Times New Roman" w:hAnsi="Times New Roman" w:eastAsia="仿宋_GB2312" w:cs="Times New Roman"/>
          <w:color w:val="auto"/>
          <w:sz w:val="32"/>
          <w:szCs w:val="32"/>
          <w:lang w:val="en-US" w:eastAsia="zh-CN" w:bidi="ar-SA"/>
        </w:rPr>
        <w:t>年度我单位未发生政府采购事项，无相关经费支出。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ascii="方正仿宋_GBK" w:hAnsi="方正仿宋_GBK" w:eastAsia="方正仿宋_GBK" w:cs="方正仿宋_GBK"/>
          <w:b/>
          <w:bCs/>
          <w:color w:val="auto"/>
          <w:sz w:val="32"/>
          <w:szCs w:val="32"/>
          <w:highlight w:val="yellow"/>
          <w:shd w:val="clear" w:color="auto" w:fill="FFFFFF"/>
        </w:rPr>
      </w:pPr>
      <w:bookmarkStart w:id="0" w:name="_GoBack"/>
      <w:bookmarkEnd w:id="0"/>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eastAsia" w:ascii="方正仿宋_GBK" w:hAnsi="方正仿宋_GBK" w:eastAsia="方正仿宋_GBK" w:cs="方正仿宋_GBK"/>
          <w:b/>
          <w:bCs/>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石柱土家族自治县三星乡综合行政执法大队</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913,109.49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700,157.43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135,516.44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40,299.46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37,136.16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913,109.49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913,109.49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913,109.49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913,109.49</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石柱土家族自治县三星乡综合行政执法大队</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913,109.49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913,109.49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700,157.43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700,157.43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700,157.43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700,157.43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700,157.43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700,157.43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135,516.44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135,516.44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135,516.44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135,516.44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76,512.42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76,512.42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38,304.02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38,304.02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40,299.46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40,299.46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40,299.46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40,299.46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29,399.46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29,399.46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37,136.16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37,136.16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37,136.16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37,136.16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37,136.16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37,136.16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石柱土家族自治县三星乡综合行政执法大队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913,109.49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913,109.49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700,157.43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700,157.43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700,157.43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700,157.43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700,157.43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700,157.43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135,516.44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135,516.44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135,516.44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135,516.44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76,512.42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76,512.42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38,304.02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38,304.02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40,299.46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40,299.46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40,299.46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40,299.46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29,399.46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29,399.46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37,136.16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37,136.16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37,136.16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37,136.16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37,136.16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37,136.16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石柱土家族自治县三星乡综合行政执法大队</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913,109.49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700,157.43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700,157.43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135,516.44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135,516.44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40,299.46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40,299.46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37,136.16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37,136.16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913,109.49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913,109.49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913,109.49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913,109.49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913,109.49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913,109.49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石柱土家族自治县三星乡综合行政执法大队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913,109.49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913,109.49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913,109.49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913,109.49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700,157.43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700,157.43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700,157.43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700,157.43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700,157.43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700,157.43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700,157.43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700,157.43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700,157.43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700,157.43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700,157.43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700,157.43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135,516.44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135,516.44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135,516.44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135,516.44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135,516.44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135,516.44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135,516.44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135,516.44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76,512.42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76,512.42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76,512.42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76,512.42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38,304.02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38,304.02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38,304.02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38,304.02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40,299.46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40,299.46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40,299.46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40,299.46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40,299.46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40,299.46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40,299.46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40,299.46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29,399.46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29,399.46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29,399.46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29,399.46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37,136.16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37,136.16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37,136.16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37,136.16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37,136.16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37,136.16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37,136.16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37,136.16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37,136.16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37,136.16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37,136.16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37,136.16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石柱土家族自治县三星乡综合行政执法大队</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783,720.13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106,189.36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171,101.00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54,885.00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363,959.00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76,512.42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38,304.02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30,946.80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2,475.73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37,136.16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6,189.36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806,920.13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106,189.36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石柱土家族自治县三星乡综合行政执法大队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石柱土家族自治县三星乡综合行政执法大队</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石柱土家族自治县三星乡综合行政执法大队</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15,000.00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851980"/>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BC11FB"/>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0</TotalTime>
  <ScaleCrop>false</ScaleCrop>
  <LinksUpToDate>false</LinksUpToDate>
  <CharactersWithSpaces>21460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2025-10-06T11:44:52Z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77B59DE58BB641D9B7E5B8CC185AD5A7</vt:lpwstr>
  </property>
</Properties>
</file>