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石柱土家族自治县三星乡新时代文明实践服务中心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420"/>
        <w:textAlignment w:val="auto"/>
        <w:rPr>
          <w:rFonts w:hint="default"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（一）职能职责</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宗旨：为文化、宣传、体育等工作服务。</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主要职责任务：主要承担文化、宣传、广播电视、体育、乡村旅游、科技培训等方面服务工作。</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具体职责任务：</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（1）承担开展文化娱乐和体育活动等方面工作，指导各村（居）开展文体活动。</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（2）承担普及科学文化知识，传递经济、科技、文化信息，为当地经济建设服务。</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（3）承担广播、电视、电影方面的服务工作。</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（4）承担综合文化场地的开放和服务工作。</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（5）承担辖区内文物、非物质文化遗产的挖掘、保护等工作。</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（6）承担乡村旅游服务工作。</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（7）承办乡党委、乡政府交办的其他工作任务。</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420"/>
        <w:textAlignment w:val="auto"/>
        <w:rPr>
          <w:rFonts w:hint="default"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（二）机构设置</w:t>
      </w:r>
    </w:p>
    <w:p>
      <w:pPr>
        <w:pStyle w:val="7"/>
        <w:keepNext w:val="0"/>
        <w:keepLines w:val="0"/>
        <w:pageBreakBefore w:val="0"/>
        <w:shd w:val="clear" w:color="auto" w:fill="FFFFFF"/>
        <w:kinsoku/>
        <w:wordWrap/>
        <w:overflowPunct/>
        <w:topLinePunct w:val="0"/>
        <w:autoSpaceDN/>
        <w:bidi w:val="0"/>
        <w:adjustRightInd/>
        <w:spacing w:beforeAutospacing="0" w:after="0" w:afterAutospacing="0" w:line="594"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石柱县三星乡新时代文明实践服务中心为石柱土家族自治县三星乡人民政府管理的财政全额拨款公益一类副科级事业单位。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收、支与2023年度相比，增加2.35万元，增长11.8%</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年机构改革调入</w:t>
      </w:r>
      <w:r>
        <w:rPr>
          <w:rFonts w:hint="eastAsia" w:ascii="Times New Roman" w:hAnsi="Times New Roman" w:eastAsia="仿宋" w:cs="仿宋"/>
          <w:kern w:val="0"/>
          <w:sz w:val="32"/>
          <w:szCs w:val="32"/>
          <w:lang w:val="en-US" w:eastAsia="zh-CN" w:bidi="ar"/>
        </w:rPr>
        <w:t>1</w:t>
      </w:r>
      <w:r>
        <w:rPr>
          <w:rFonts w:hint="eastAsia" w:ascii="仿宋" w:hAnsi="仿宋" w:eastAsia="仿宋" w:cs="仿宋"/>
          <w:kern w:val="0"/>
          <w:sz w:val="32"/>
          <w:szCs w:val="32"/>
          <w:lang w:val="en-US" w:eastAsia="zh-CN" w:bidi="ar"/>
        </w:rPr>
        <w:t>人，人员经费增加，导致全年收支增加</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35</w:t>
      </w:r>
      <w:r>
        <w:rPr>
          <w:rFonts w:hint="eastAsia" w:ascii="仿宋" w:hAnsi="仿宋" w:eastAsia="仿宋" w:cs="仿宋"/>
          <w:kern w:val="0"/>
          <w:sz w:val="32"/>
          <w:szCs w:val="32"/>
          <w:lang w:val="en-US" w:eastAsia="zh-CN" w:bidi="ar"/>
        </w:rPr>
        <w:t>万元。</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与2023年度相比，增加2.35万元，增长11.8%</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年机构改革调入</w:t>
      </w:r>
      <w:r>
        <w:rPr>
          <w:rFonts w:hint="eastAsia" w:ascii="Times New Roman" w:hAnsi="Times New Roman" w:eastAsia="仿宋" w:cs="仿宋"/>
          <w:kern w:val="0"/>
          <w:sz w:val="32"/>
          <w:szCs w:val="32"/>
          <w:lang w:val="en-US" w:eastAsia="zh-CN" w:bidi="ar"/>
        </w:rPr>
        <w:t>1</w:t>
      </w:r>
      <w:r>
        <w:rPr>
          <w:rFonts w:hint="eastAsia" w:ascii="仿宋" w:hAnsi="仿宋" w:eastAsia="仿宋" w:cs="仿宋"/>
          <w:kern w:val="0"/>
          <w:sz w:val="32"/>
          <w:szCs w:val="32"/>
          <w:lang w:val="en-US" w:eastAsia="zh-CN" w:bidi="ar"/>
        </w:rPr>
        <w:t>人，人员经费增加，导致全年收入增加</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35</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与2023年度相比，增加2.35万元，增长11.8%</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年机构改革调入</w:t>
      </w:r>
      <w:r>
        <w:rPr>
          <w:rFonts w:hint="eastAsia" w:ascii="Times New Roman" w:hAnsi="Times New Roman" w:eastAsia="仿宋" w:cs="仿宋"/>
          <w:kern w:val="0"/>
          <w:sz w:val="32"/>
          <w:szCs w:val="32"/>
          <w:lang w:val="en-US" w:eastAsia="zh-CN" w:bidi="ar"/>
        </w:rPr>
        <w:t>1</w:t>
      </w:r>
      <w:r>
        <w:rPr>
          <w:rFonts w:hint="eastAsia" w:ascii="仿宋" w:hAnsi="仿宋" w:eastAsia="仿宋" w:cs="仿宋"/>
          <w:kern w:val="0"/>
          <w:sz w:val="32"/>
          <w:szCs w:val="32"/>
          <w:lang w:val="en-US" w:eastAsia="zh-CN" w:bidi="ar"/>
        </w:rPr>
        <w:t>人，人员经费增加，导致全年支出增加</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35</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3" w:firstLineChars="200"/>
        <w:textAlignment w:val="auto"/>
        <w:rPr>
          <w:rFonts w:hint="eastAsia" w:ascii="Times New Roman" w:hAnsi="Times New Roman" w:eastAsia="方正仿宋_GBK" w:cs="Times New Roman"/>
          <w:kern w:val="0"/>
          <w:sz w:val="32"/>
          <w:szCs w:val="32"/>
          <w:lang w:val="en-US" w:eastAsia="zh-CN" w:bidi="ar-SA"/>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本单位</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4年无结转结余。</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财政拨款收、支总计各增加2.35万元，增长11.8%</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年机构改革调入</w:t>
      </w:r>
      <w:r>
        <w:rPr>
          <w:rFonts w:hint="eastAsia" w:ascii="Times New Roman" w:hAnsi="Times New Roman" w:eastAsia="仿宋" w:cs="仿宋"/>
          <w:kern w:val="0"/>
          <w:sz w:val="32"/>
          <w:szCs w:val="32"/>
          <w:lang w:val="en-US" w:eastAsia="zh-CN" w:bidi="ar"/>
        </w:rPr>
        <w:t>1</w:t>
      </w:r>
      <w:r>
        <w:rPr>
          <w:rFonts w:hint="eastAsia" w:ascii="仿宋" w:hAnsi="仿宋" w:eastAsia="仿宋" w:cs="仿宋"/>
          <w:kern w:val="0"/>
          <w:sz w:val="32"/>
          <w:szCs w:val="32"/>
          <w:lang w:val="en-US" w:eastAsia="zh-CN" w:bidi="ar"/>
        </w:rPr>
        <w:t>人，人员经费支出增加，导致全年收支增加</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35</w:t>
      </w:r>
      <w:r>
        <w:rPr>
          <w:rFonts w:hint="eastAsia" w:ascii="仿宋" w:hAnsi="仿宋" w:eastAsia="仿宋" w:cs="仿宋"/>
          <w:kern w:val="0"/>
          <w:sz w:val="32"/>
          <w:szCs w:val="32"/>
          <w:lang w:val="en-US" w:eastAsia="zh-CN" w:bidi="ar"/>
        </w:rPr>
        <w:t>万元。</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default" w:ascii="Times New Roman" w:hAnsi="Times New Roman" w:eastAsia="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22.30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与2023年度相比，增加2.35万元，增长11.8%</w:t>
      </w:r>
      <w:r>
        <w:rPr>
          <w:rFonts w:ascii="方正仿宋_GBK" w:hAnsi="方正仿宋_GBK" w:eastAsia="方正仿宋_GBK" w:cs="方正仿宋_GBK"/>
          <w:color w:val="auto"/>
          <w:sz w:val="32"/>
          <w:szCs w:val="32"/>
          <w:shd w:val="clear" w:color="auto" w:fill="FFFFFF"/>
        </w:rPr>
        <w:t>。主要原因是</w:t>
      </w:r>
      <w:r>
        <w:rPr>
          <w:rFonts w:hint="eastAsia" w:ascii="仿宋" w:hAnsi="仿宋" w:eastAsia="仿宋" w:cs="仿宋"/>
          <w:color w:val="auto"/>
          <w:kern w:val="0"/>
          <w:sz w:val="32"/>
          <w:szCs w:val="32"/>
          <w:lang w:val="en-US" w:eastAsia="zh-CN" w:bidi="ar"/>
        </w:rPr>
        <w:t>本单位</w:t>
      </w:r>
      <w:r>
        <w:rPr>
          <w:rFonts w:hint="eastAsia" w:ascii="Times New Roman" w:hAnsi="Times New Roman" w:eastAsia="仿宋" w:cs="仿宋"/>
          <w:color w:val="auto"/>
          <w:kern w:val="0"/>
          <w:sz w:val="32"/>
          <w:szCs w:val="32"/>
          <w:lang w:val="en-US" w:eastAsia="zh-CN" w:bidi="ar"/>
        </w:rPr>
        <w:t>2024</w:t>
      </w:r>
      <w:r>
        <w:rPr>
          <w:rFonts w:hint="eastAsia" w:ascii="仿宋" w:hAnsi="仿宋" w:eastAsia="仿宋" w:cs="仿宋"/>
          <w:color w:val="auto"/>
          <w:kern w:val="0"/>
          <w:sz w:val="32"/>
          <w:szCs w:val="32"/>
          <w:lang w:val="en-US" w:eastAsia="zh-CN" w:bidi="ar"/>
        </w:rPr>
        <w:t>年机构改革调入</w:t>
      </w:r>
      <w:r>
        <w:rPr>
          <w:rFonts w:hint="eastAsia" w:ascii="Times New Roman" w:hAnsi="Times New Roman" w:eastAsia="仿宋" w:cs="仿宋"/>
          <w:color w:val="auto"/>
          <w:kern w:val="0"/>
          <w:sz w:val="32"/>
          <w:szCs w:val="32"/>
          <w:lang w:val="en-US" w:eastAsia="zh-CN" w:bidi="ar"/>
        </w:rPr>
        <w:t>1</w:t>
      </w:r>
      <w:r>
        <w:rPr>
          <w:rFonts w:hint="eastAsia" w:ascii="仿宋" w:hAnsi="仿宋" w:eastAsia="仿宋" w:cs="仿宋"/>
          <w:color w:val="auto"/>
          <w:kern w:val="0"/>
          <w:sz w:val="32"/>
          <w:szCs w:val="32"/>
          <w:lang w:val="en-US" w:eastAsia="zh-CN" w:bidi="ar"/>
        </w:rPr>
        <w:t>人，人员经费支出增加，导致全年收入增加</w:t>
      </w:r>
      <w:r>
        <w:rPr>
          <w:rFonts w:hint="eastAsia" w:ascii="Times New Roman" w:hAnsi="Times New Roman" w:eastAsia="仿宋" w:cs="仿宋"/>
          <w:color w:val="auto"/>
          <w:kern w:val="0"/>
          <w:sz w:val="32"/>
          <w:szCs w:val="32"/>
          <w:lang w:val="en-US" w:eastAsia="zh-CN" w:bidi="ar"/>
        </w:rPr>
        <w:t>2</w:t>
      </w:r>
      <w:r>
        <w:rPr>
          <w:rFonts w:hint="eastAsia" w:ascii="仿宋" w:hAnsi="仿宋" w:eastAsia="仿宋" w:cs="仿宋"/>
          <w:color w:val="auto"/>
          <w:kern w:val="0"/>
          <w:sz w:val="32"/>
          <w:szCs w:val="32"/>
          <w:lang w:val="en-US" w:eastAsia="zh-CN" w:bidi="ar"/>
        </w:rPr>
        <w:t>.</w:t>
      </w:r>
      <w:r>
        <w:rPr>
          <w:rFonts w:hint="eastAsia" w:ascii="Times New Roman" w:hAnsi="Times New Roman" w:eastAsia="仿宋" w:cs="仿宋"/>
          <w:color w:val="auto"/>
          <w:kern w:val="0"/>
          <w:sz w:val="32"/>
          <w:szCs w:val="32"/>
          <w:lang w:val="en-US" w:eastAsia="zh-CN" w:bidi="ar"/>
        </w:rPr>
        <w:t>35</w:t>
      </w:r>
      <w:r>
        <w:rPr>
          <w:rFonts w:hint="eastAsia" w:ascii="仿宋" w:hAnsi="仿宋" w:eastAsia="仿宋" w:cs="仿宋"/>
          <w:color w:val="auto"/>
          <w:kern w:val="0"/>
          <w:sz w:val="32"/>
          <w:szCs w:val="32"/>
          <w:lang w:val="en-US" w:eastAsia="zh-CN" w:bidi="ar"/>
        </w:rPr>
        <w:t>万元。</w:t>
      </w:r>
      <w:r>
        <w:rPr>
          <w:rFonts w:hint="default" w:ascii="Times New Roman" w:hAnsi="Times New Roman" w:eastAsia="方正仿宋_GBK"/>
          <w:color w:val="auto"/>
          <w:sz w:val="32"/>
          <w:szCs w:val="32"/>
          <w:shd w:val="clear" w:color="auto" w:fill="FFFFFF"/>
        </w:rPr>
        <w:t>较年初预算数增加3.79万元，增长20.5%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年中追加人员经费</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22.30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与2023年度相比，增加2.35万元，增长11.8%</w:t>
      </w:r>
      <w:r>
        <w:rPr>
          <w:rFonts w:ascii="方正仿宋_GBK" w:hAnsi="方正仿宋_GBK" w:eastAsia="方正仿宋_GBK" w:cs="方正仿宋_GBK"/>
          <w:color w:val="auto"/>
          <w:sz w:val="32"/>
          <w:szCs w:val="32"/>
          <w:shd w:val="clear" w:color="auto" w:fill="FFFFFF"/>
        </w:rPr>
        <w:t>。主要原因是</w:t>
      </w:r>
      <w:r>
        <w:rPr>
          <w:rFonts w:hint="eastAsia" w:ascii="仿宋" w:hAnsi="仿宋" w:eastAsia="仿宋" w:cs="仿宋"/>
          <w:color w:val="auto"/>
          <w:kern w:val="0"/>
          <w:sz w:val="32"/>
          <w:szCs w:val="32"/>
          <w:lang w:val="en-US" w:eastAsia="zh-CN" w:bidi="ar"/>
        </w:rPr>
        <w:t>本单位</w:t>
      </w:r>
      <w:r>
        <w:rPr>
          <w:rFonts w:hint="eastAsia" w:ascii="Times New Roman" w:hAnsi="Times New Roman" w:eastAsia="仿宋" w:cs="仿宋"/>
          <w:color w:val="auto"/>
          <w:kern w:val="0"/>
          <w:sz w:val="32"/>
          <w:szCs w:val="32"/>
          <w:lang w:val="en-US" w:eastAsia="zh-CN" w:bidi="ar"/>
        </w:rPr>
        <w:t>2024</w:t>
      </w:r>
      <w:r>
        <w:rPr>
          <w:rFonts w:hint="eastAsia" w:ascii="仿宋" w:hAnsi="仿宋" w:eastAsia="仿宋" w:cs="仿宋"/>
          <w:color w:val="auto"/>
          <w:kern w:val="0"/>
          <w:sz w:val="32"/>
          <w:szCs w:val="32"/>
          <w:lang w:val="en-US" w:eastAsia="zh-CN" w:bidi="ar"/>
        </w:rPr>
        <w:t>年机构改革调入</w:t>
      </w:r>
      <w:r>
        <w:rPr>
          <w:rFonts w:hint="eastAsia" w:ascii="Times New Roman" w:hAnsi="Times New Roman" w:eastAsia="仿宋" w:cs="仿宋"/>
          <w:color w:val="auto"/>
          <w:kern w:val="0"/>
          <w:sz w:val="32"/>
          <w:szCs w:val="32"/>
          <w:lang w:val="en-US" w:eastAsia="zh-CN" w:bidi="ar"/>
        </w:rPr>
        <w:t>1</w:t>
      </w:r>
      <w:r>
        <w:rPr>
          <w:rFonts w:hint="eastAsia" w:ascii="仿宋" w:hAnsi="仿宋" w:eastAsia="仿宋" w:cs="仿宋"/>
          <w:color w:val="auto"/>
          <w:kern w:val="0"/>
          <w:sz w:val="32"/>
          <w:szCs w:val="32"/>
          <w:lang w:val="en-US" w:eastAsia="zh-CN" w:bidi="ar"/>
        </w:rPr>
        <w:t>人，人员经费支出增加，导致全年收入增加</w:t>
      </w:r>
      <w:r>
        <w:rPr>
          <w:rFonts w:hint="eastAsia" w:ascii="Times New Roman" w:hAnsi="Times New Roman" w:eastAsia="仿宋" w:cs="仿宋"/>
          <w:color w:val="auto"/>
          <w:kern w:val="0"/>
          <w:sz w:val="32"/>
          <w:szCs w:val="32"/>
          <w:lang w:val="en-US" w:eastAsia="zh-CN" w:bidi="ar"/>
        </w:rPr>
        <w:t>2</w:t>
      </w:r>
      <w:r>
        <w:rPr>
          <w:rFonts w:hint="eastAsia" w:ascii="仿宋" w:hAnsi="仿宋" w:eastAsia="仿宋" w:cs="仿宋"/>
          <w:color w:val="auto"/>
          <w:kern w:val="0"/>
          <w:sz w:val="32"/>
          <w:szCs w:val="32"/>
          <w:lang w:val="en-US" w:eastAsia="zh-CN" w:bidi="ar"/>
        </w:rPr>
        <w:t>.</w:t>
      </w:r>
      <w:r>
        <w:rPr>
          <w:rFonts w:hint="eastAsia" w:ascii="Times New Roman" w:hAnsi="Times New Roman" w:eastAsia="仿宋" w:cs="仿宋"/>
          <w:color w:val="auto"/>
          <w:kern w:val="0"/>
          <w:sz w:val="32"/>
          <w:szCs w:val="32"/>
          <w:lang w:val="en-US" w:eastAsia="zh-CN" w:bidi="ar"/>
        </w:rPr>
        <w:t>35</w:t>
      </w:r>
      <w:r>
        <w:rPr>
          <w:rFonts w:hint="eastAsia" w:ascii="仿宋" w:hAnsi="仿宋" w:eastAsia="仿宋" w:cs="仿宋"/>
          <w:color w:val="auto"/>
          <w:kern w:val="0"/>
          <w:sz w:val="32"/>
          <w:szCs w:val="32"/>
          <w:lang w:val="en-US" w:eastAsia="zh-CN" w:bidi="ar"/>
        </w:rPr>
        <w:t>万元</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较年初预算数增加3.79万元，增长20.5%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年中追加人员经费</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Times New Roman" w:hAnsi="Times New Roman" w:eastAsia="仿宋" w:cs="Times New Roman"/>
          <w:b/>
          <w:color w:val="auto"/>
          <w:sz w:val="32"/>
          <w:szCs w:val="32"/>
          <w:highlight w:val="none"/>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15.88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71.2%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较年初预算数增加3.08万元，增长24.1%</w:t>
      </w:r>
      <w:r>
        <w:rPr>
          <w:rFonts w:ascii="方正仿宋_GBK" w:hAnsi="方正仿宋_GBK" w:eastAsia="方正仿宋_GBK" w:cs="方正仿宋_GBK"/>
          <w:color w:val="auto"/>
          <w:sz w:val="32"/>
          <w:szCs w:val="32"/>
          <w:shd w:val="clear" w:color="auto" w:fill="FFFFFF"/>
        </w:rPr>
        <w:t>，主要原因是</w:t>
      </w:r>
      <w:r>
        <w:rPr>
          <w:rFonts w:hint="eastAsia" w:ascii="仿宋" w:hAnsi="仿宋" w:eastAsia="仿宋" w:cs="仿宋"/>
          <w:color w:val="auto"/>
          <w:sz w:val="32"/>
          <w:highlight w:val="none"/>
          <w:lang w:val="en-US" w:eastAsia="zh-CN"/>
        </w:rPr>
        <w:t>人员增加，工资等各项费用增加。</w:t>
      </w:r>
    </w:p>
    <w:p>
      <w:pPr>
        <w:pStyle w:val="7"/>
        <w:snapToGrid w:val="0"/>
        <w:spacing w:before="0" w:beforeAutospacing="0" w:after="0" w:afterAutospacing="0" w:line="596" w:lineRule="exact"/>
        <w:ind w:firstLine="640" w:firstLineChars="200"/>
        <w:jc w:val="both"/>
        <w:rPr>
          <w:rFonts w:hint="eastAsia" w:eastAsia="仿宋_GB2312" w:cs="Times New Roman"/>
          <w:color w:val="auto"/>
          <w:sz w:val="32"/>
          <w:szCs w:val="32"/>
          <w:highlight w:val="none"/>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4.50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较年初预算数增加0.76万元，增长20.3%</w:t>
      </w:r>
      <w:r>
        <w:rPr>
          <w:rFonts w:ascii="方正仿宋_GBK" w:hAnsi="方正仿宋_GBK" w:eastAsia="方正仿宋_GBK" w:cs="方正仿宋_GBK"/>
          <w:color w:val="auto"/>
          <w:sz w:val="32"/>
          <w:szCs w:val="32"/>
          <w:shd w:val="clear" w:color="auto" w:fill="FFFFFF"/>
        </w:rPr>
        <w:t>，主要原因是</w:t>
      </w:r>
      <w:r>
        <w:rPr>
          <w:rFonts w:hint="eastAsia" w:eastAsia="仿宋_GB2312" w:cs="Times New Roman"/>
          <w:color w:val="auto"/>
          <w:sz w:val="32"/>
          <w:szCs w:val="32"/>
          <w:highlight w:val="none"/>
          <w:lang w:val="en-US" w:eastAsia="zh-CN"/>
        </w:rPr>
        <w:t>人员增加，</w:t>
      </w:r>
      <w:r>
        <w:rPr>
          <w:rFonts w:hint="default" w:ascii="Times New Roman" w:hAnsi="Times New Roman" w:eastAsia="仿宋_GB2312" w:cs="Times New Roman"/>
          <w:color w:val="auto"/>
          <w:sz w:val="32"/>
          <w:szCs w:val="32"/>
          <w:highlight w:val="none"/>
          <w:lang w:eastAsia="zh-CN"/>
        </w:rPr>
        <w:t>养老保险与</w:t>
      </w:r>
      <w:r>
        <w:rPr>
          <w:rFonts w:hint="default" w:ascii="Times New Roman" w:hAnsi="Times New Roman" w:eastAsia="仿宋_GB2312" w:cs="Times New Roman"/>
          <w:color w:val="auto"/>
          <w:sz w:val="32"/>
          <w:szCs w:val="32"/>
          <w:highlight w:val="none"/>
          <w:lang w:val="en-US" w:eastAsia="zh-CN"/>
        </w:rPr>
        <w:t>职业年金</w:t>
      </w:r>
      <w:r>
        <w:rPr>
          <w:rFonts w:hint="eastAsia" w:eastAsia="仿宋_GB2312" w:cs="Times New Roman"/>
          <w:color w:val="auto"/>
          <w:sz w:val="32"/>
          <w:szCs w:val="32"/>
          <w:highlight w:val="none"/>
          <w:lang w:val="en-US" w:eastAsia="zh-CN"/>
        </w:rPr>
        <w:t>支出增加。</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1.08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较年初预算数减少0.04万元，下降3.6%</w:t>
      </w:r>
      <w:r>
        <w:rPr>
          <w:rFonts w:ascii="方正仿宋_GBK" w:hAnsi="方正仿宋_GBK" w:eastAsia="方正仿宋_GBK" w:cs="方正仿宋_GBK"/>
          <w:color w:val="auto"/>
          <w:sz w:val="32"/>
          <w:szCs w:val="32"/>
          <w:shd w:val="clear" w:color="auto" w:fill="FFFFFF"/>
        </w:rPr>
        <w:t>，主要原因是</w:t>
      </w:r>
      <w:r>
        <w:rPr>
          <w:rFonts w:hint="eastAsia" w:eastAsia="仿宋_GB2312" w:cs="Times New Roman"/>
          <w:color w:val="auto"/>
          <w:sz w:val="32"/>
          <w:szCs w:val="32"/>
          <w:highlight w:val="none"/>
          <w:lang w:val="en-US" w:eastAsia="zh-CN"/>
        </w:rPr>
        <w:t>医保垫底资金支出减少。</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0.84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000000"/>
          <w:spacing w:val="0"/>
          <w:sz w:val="31"/>
          <w:szCs w:val="31"/>
          <w:shd w:val="clear" w:fill="FFFFFF"/>
        </w:rPr>
        <w:t>本单位</w:t>
      </w:r>
      <w:r>
        <w:rPr>
          <w:rFonts w:hint="default" w:ascii="Times New Roman" w:hAnsi="Times New Roman" w:eastAsia="宋体" w:cs="Times New Roman"/>
          <w:i w:val="0"/>
          <w:iCs w:val="0"/>
          <w:caps w:val="0"/>
          <w:color w:val="000000"/>
          <w:spacing w:val="0"/>
          <w:sz w:val="31"/>
          <w:szCs w:val="31"/>
          <w:shd w:val="clear" w:fill="FFFFFF"/>
        </w:rPr>
        <w:t>202</w:t>
      </w:r>
      <w:r>
        <w:rPr>
          <w:rFonts w:hint="eastAsia" w:ascii="Times New Roman" w:hAnsi="Times New Roman" w:eastAsia="宋体" w:cs="Times New Roman"/>
          <w:i w:val="0"/>
          <w:iCs w:val="0"/>
          <w:caps w:val="0"/>
          <w:color w:val="000000"/>
          <w:spacing w:val="0"/>
          <w:sz w:val="31"/>
          <w:szCs w:val="31"/>
          <w:shd w:val="clear" w:fill="FFFFFF"/>
          <w:lang w:val="en-US" w:eastAsia="zh-CN"/>
        </w:rPr>
        <w:t>4</w:t>
      </w:r>
      <w:r>
        <w:rPr>
          <w:rFonts w:hint="eastAsia" w:ascii="方正仿宋_GBK" w:hAnsi="方正仿宋_GBK" w:eastAsia="方正仿宋_GBK" w:cs="方正仿宋_GBK"/>
          <w:i w:val="0"/>
          <w:iCs w:val="0"/>
          <w:caps w:val="0"/>
          <w:color w:val="000000"/>
          <w:spacing w:val="0"/>
          <w:sz w:val="31"/>
          <w:szCs w:val="31"/>
          <w:shd w:val="clear" w:fill="FFFFFF"/>
        </w:rPr>
        <w:t>年无结转结余。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20.16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与2023年度相比，增加2.33万元，增长13.1%</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w:t>
      </w:r>
      <w:r>
        <w:rPr>
          <w:rFonts w:hint="eastAsia" w:ascii="Times New Roman" w:hAnsi="Times New Roman" w:eastAsia="仿宋" w:cs="仿宋"/>
          <w:kern w:val="0"/>
          <w:sz w:val="32"/>
          <w:szCs w:val="32"/>
          <w:lang w:val="en-US" w:eastAsia="zh-CN" w:bidi="ar"/>
        </w:rPr>
        <w:t>2024</w:t>
      </w:r>
      <w:r>
        <w:rPr>
          <w:rFonts w:hint="eastAsia" w:ascii="仿宋" w:hAnsi="仿宋" w:eastAsia="仿宋" w:cs="仿宋"/>
          <w:kern w:val="0"/>
          <w:sz w:val="32"/>
          <w:szCs w:val="32"/>
          <w:lang w:val="en-US" w:eastAsia="zh-CN" w:bidi="ar"/>
        </w:rPr>
        <w:t>年机构改革调入</w:t>
      </w:r>
      <w:r>
        <w:rPr>
          <w:rFonts w:hint="eastAsia" w:ascii="Times New Roman" w:hAnsi="Times New Roman" w:eastAsia="仿宋" w:cs="仿宋"/>
          <w:kern w:val="0"/>
          <w:sz w:val="32"/>
          <w:szCs w:val="32"/>
          <w:lang w:val="en-US" w:eastAsia="zh-CN" w:bidi="ar"/>
        </w:rPr>
        <w:t>1</w:t>
      </w:r>
      <w:r>
        <w:rPr>
          <w:rFonts w:hint="eastAsia" w:ascii="仿宋" w:hAnsi="仿宋" w:eastAsia="仿宋" w:cs="仿宋"/>
          <w:kern w:val="0"/>
          <w:sz w:val="32"/>
          <w:szCs w:val="32"/>
          <w:lang w:val="en-US" w:eastAsia="zh-CN" w:bidi="ar"/>
        </w:rPr>
        <w:t>人，工资、社保、公积金增加，导致人员经费增加</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33</w:t>
      </w:r>
      <w:r>
        <w:rPr>
          <w:rFonts w:hint="eastAsia" w:eastAsia="仿宋_GB2312" w:cs="Times New Roman"/>
          <w:sz w:val="32"/>
          <w:szCs w:val="32"/>
          <w:lang w:val="en-US" w:eastAsia="zh-CN"/>
        </w:rPr>
        <w:t>万</w:t>
      </w:r>
      <w:r>
        <w:rPr>
          <w:rFonts w:hint="eastAsia" w:ascii="仿宋" w:hAnsi="仿宋" w:eastAsia="仿宋" w:cs="仿宋"/>
          <w:kern w:val="0"/>
          <w:sz w:val="32"/>
          <w:szCs w:val="32"/>
          <w:lang w:val="en-US" w:eastAsia="zh-CN" w:bidi="ar"/>
        </w:rPr>
        <w:t>元。</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仿宋_GB2312" w:cs="Times New Roman"/>
          <w:sz w:val="32"/>
          <w:szCs w:val="32"/>
        </w:rPr>
        <w:t>基本工资、绩效工资、社会保障缴费、离退休人员健康休养费等。</w:t>
      </w:r>
    </w:p>
    <w:p>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与2023年度相比，增加0.01万元，增长0.5%</w:t>
      </w:r>
      <w:r>
        <w:rPr>
          <w:rFonts w:ascii="方正仿宋_GBK" w:hAnsi="方正仿宋_GBK" w:eastAsia="方正仿宋_GBK" w:cs="方正仿宋_GBK"/>
          <w:sz w:val="32"/>
          <w:szCs w:val="32"/>
          <w:shd w:val="clear" w:color="auto" w:fill="FFFFFF"/>
        </w:rPr>
        <w:t>，主要原因是</w:t>
      </w:r>
      <w:r>
        <w:rPr>
          <w:rFonts w:hint="eastAsia" w:eastAsia="仿宋_GB2312" w:cs="Times New Roman"/>
          <w:color w:val="000000"/>
          <w:sz w:val="32"/>
          <w:szCs w:val="32"/>
          <w:lang w:eastAsia="zh-CN"/>
        </w:rPr>
        <w:t>人员增加，公用经费、工会经费等开支增加，导致日常公用经费支出增加</w:t>
      </w:r>
      <w:r>
        <w:rPr>
          <w:rFonts w:hint="eastAsia" w:ascii="Times New Roman" w:hAnsi="Times New Roman" w:eastAsia="仿宋_GB2312" w:cs="Times New Roman"/>
          <w:color w:val="000000"/>
          <w:sz w:val="32"/>
          <w:szCs w:val="32"/>
          <w:lang w:val="en-US" w:eastAsia="zh-CN"/>
        </w:rPr>
        <w:t>0</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01</w:t>
      </w:r>
      <w:r>
        <w:rPr>
          <w:rFonts w:hint="eastAsia" w:eastAsia="仿宋_GB2312" w:cs="Times New Roman"/>
          <w:color w:val="000000"/>
          <w:sz w:val="32"/>
          <w:szCs w:val="32"/>
          <w:lang w:val="en-US" w:eastAsia="zh-CN"/>
        </w:rPr>
        <w:t>万</w:t>
      </w:r>
      <w:r>
        <w:rPr>
          <w:rFonts w:hint="eastAsia" w:eastAsia="仿宋_GB2312" w:cs="Times New Roman"/>
          <w:color w:val="000000"/>
          <w:sz w:val="32"/>
          <w:szCs w:val="32"/>
          <w:lang w:eastAsia="zh-CN"/>
        </w:rPr>
        <w:t>元。</w:t>
      </w:r>
      <w:r>
        <w:rPr>
          <w:rFonts w:hint="default" w:ascii="Times New Roman" w:hAnsi="Times New Roman" w:eastAsia="仿宋_GB2312" w:cs="Times New Roman"/>
          <w:sz w:val="32"/>
          <w:szCs w:val="32"/>
        </w:rPr>
        <w:t>公用经费用途主要包括办公费、水费、电费、邮电费、差旅费、工会经费、劳务费等。</w:t>
      </w:r>
      <w:bookmarkStart w:id="0" w:name="_GoBack"/>
      <w:bookmarkEnd w:id="0"/>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本单位202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仿宋_GB2312" w:cs="Times New Roman"/>
          <w:color w:val="auto"/>
          <w:sz w:val="32"/>
          <w:szCs w:val="32"/>
          <w:lang w:val="en-US" w:eastAsia="zh-CN" w:bidi="ar-SA"/>
        </w:rPr>
        <w:t>本单位202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我单位属于公益一类副科级事业单位，“</w:t>
      </w:r>
      <w:r>
        <w:rPr>
          <w:rFonts w:hint="eastAsia" w:ascii="Times New Roman" w:hAnsi="Times New Roman" w:eastAsia="仿宋_GB2312" w:cs="Times New Roman"/>
          <w:color w:val="auto"/>
          <w:sz w:val="32"/>
          <w:szCs w:val="32"/>
          <w:lang w:val="en-US" w:eastAsia="zh-CN" w:bidi="ar-SA"/>
        </w:rPr>
        <w:t>三公</w:t>
      </w:r>
      <w:r>
        <w:rPr>
          <w:rFonts w:hint="default" w:ascii="Times New Roman" w:hAnsi="Times New Roman" w:eastAsia="仿宋_GB2312" w:cs="Times New Roman"/>
          <w:color w:val="auto"/>
          <w:sz w:val="32"/>
          <w:szCs w:val="32"/>
          <w:lang w:val="en-US" w:eastAsia="zh-CN" w:bidi="ar-SA"/>
        </w:rPr>
        <w:t>”</w:t>
      </w:r>
      <w:r>
        <w:rPr>
          <w:rFonts w:hint="eastAsia" w:ascii="Times New Roman" w:hAnsi="Times New Roman" w:eastAsia="仿宋_GB2312" w:cs="Times New Roman"/>
          <w:color w:val="auto"/>
          <w:sz w:val="32"/>
          <w:szCs w:val="32"/>
          <w:lang w:val="en-US" w:eastAsia="zh-CN" w:bidi="ar-SA"/>
        </w:rPr>
        <w:t xml:space="preserve">经费已在三星乡人民政府本级决算，故本二级事业单位决算中无“三公”经费数据。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我单位属于公益一类副科级事业单位，财政拨款会议费和培训费已在三星乡人民政府本级决算，故本二级事业单位决算中无会议费、培训费和差旅费。</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kern w:val="0"/>
          <w:sz w:val="32"/>
          <w:szCs w:val="32"/>
          <w:lang w:val="en-US" w:eastAsia="zh-CN" w:bidi="ar-SA"/>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w:t>
      </w:r>
      <w:r>
        <w:rPr>
          <w:rFonts w:hint="default" w:ascii="Times New Roman" w:hAnsi="Times New Roman" w:eastAsia="仿宋_GB2312" w:cs="Times New Roman"/>
          <w:color w:val="auto"/>
          <w:sz w:val="32"/>
          <w:szCs w:val="32"/>
          <w:lang w:val="en-US" w:eastAsia="zh-CN" w:bidi="ar-SA"/>
        </w:rPr>
        <w:t>本单位共有车辆0辆。单价100万元（含）以上专用设备0台（套）。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default" w:ascii="Times New Roman" w:hAnsi="Times New Roman" w:eastAsia="仿宋_GB2312" w:cs="Times New Roman"/>
          <w:color w:val="auto"/>
          <w:sz w:val="32"/>
          <w:szCs w:val="32"/>
          <w:lang w:val="en-US" w:eastAsia="zh-CN" w:bidi="ar-SA"/>
        </w:rPr>
        <w:t>我单位未发生政府采购事项，无相关经费支出。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石柱土家族自治县三星乡新时代文明实践服务中心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158,754.16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45,010.08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10,824.54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8,367.84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222,956.62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222,956.62</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石柱土家族自治县三星乡新时代文明实践服务中心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222,956.62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222,956.62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158,754.16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158,754.16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158,754.16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158,754.16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158,754.16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158,754.16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45,010.08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45,010.08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45,010.08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45,010.08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16,206.72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16,206.72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8,367.84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石柱土家族自治县三星乡新时代文明实践服务中心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222,956.62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222,956.62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158,754.16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158,754.16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158,754.16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158,754.16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158,754.16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158,754.16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45,010.08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45,010.08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45,010.08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45,010.08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16,206.72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16,206.72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10,824.54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6,624.54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8,367.84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8,367.84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石柱土家族自治县三星乡新时代文明实践服务中心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158,754.16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158,754.16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45,010.08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45,010.08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10,824.54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10,824.54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8,367.84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8,367.84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222,956.62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222,956.62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222,956.62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222,956.62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222,956.62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158,754.16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158,754.16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158,754.16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158,754.16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158,754.16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158,754.16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158,754.16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158,754.16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158,754.16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158,754.16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158,754.16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158,754.16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45,010.08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45,010.08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45,010.08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45,010.08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45,010.08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45,010.08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45,010.08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45,010.08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16,206.72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16,206.72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16,206.72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16,206.72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8,103.36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8,103.36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8,103.36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8,103.36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10,824.54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6,624.54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6,624.54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6,624.54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6,624.54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8,367.84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8,367.84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8,367.84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8,367.84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8,367.84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8,367.84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8,367.84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8,367.84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8,367.84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8,367.84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8,367.84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8,367.84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石柱土家族自治县三星乡新时代文明实践服务中心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178,761.98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21,394.64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40,023.00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82,870.00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16,206.72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8,103.36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6,973.20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557.86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8,367.84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1,394.64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201,561.98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21,394.64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石柱土家族自治县三星乡新时代文明实践服务中心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石柱土家族自治县三星乡新时代文明实践服务中心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5E76CA"/>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1904F00"/>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EDD73D1"/>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993783"/>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2025-10-06T11:28:07Z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C61EA5D5CFB64B328057B9789F66E568</vt:lpwstr>
  </property>
</Properties>
</file>