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石柱土家族自治县三星乡产业发展服务中心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42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（一）职能职责</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宗旨：为农业农村工作提供服务。</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主要职责任务：主要承担农技、农机、林业、水利水保、水产、畜牧兽医等方面的重大技术推广、信息服务等工作；承担灾害防治、水利工程管理等方面技术服务工作。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具体职责任务：</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（1）承担农业技术、农业机械化推广服务，引导农业产业结构调整，指导推进农业产业化经营工作。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（2）承担林业技术推广、林业发展、护林防火和退耕还林及资源环境保护工作。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（3）承担水利水保、水利工程、防汛抗旱、供水、大中型水利水电工程移民后期扶持和农田水利基本建设等技术服务工作；承担水利科技推广工作。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（4）承担畜牧兽医技术推广和技术服务，引导畜牧产业发展等工作。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（5）承担动物疫病防疫、动物疫情调查、动物疫病监测、动物疫情报告、畜禽圈舍消毒、参与重大动物疫情控制及扑灭等工作。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（6）承担植物有害生物巡查、发现报告和协助除治等工作。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（7）承担水产和渔业服务工作。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（8）承担农业信息服务、农产品质量安全监测等工作。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（9）承担农村能源建设服务、农业面源污染监测防控服务工作。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（10）指导服务农村土地流转工作。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（11）承担扶贫开发技术服务工作。</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（12）承办乡党委、乡政府交办的其他工作任务。</w:t>
      </w:r>
    </w:p>
    <w:p>
      <w:pPr>
        <w:pStyle w:val="12"/>
        <w:keepNext w:val="0"/>
        <w:keepLines w:val="0"/>
        <w:pageBreakBefore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（二）机构设置</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0"/>
          <w:sz w:val="32"/>
          <w:szCs w:val="32"/>
          <w:lang w:val="en-US" w:eastAsia="zh-CN" w:bidi="ar-SA"/>
        </w:rPr>
        <w:t>石柱县三星乡产业发展服务</w:t>
      </w:r>
      <w:bookmarkStart w:id="0" w:name="_GoBack"/>
      <w:bookmarkEnd w:id="0"/>
      <w:r>
        <w:rPr>
          <w:rFonts w:hint="eastAsia" w:ascii="Times New Roman" w:hAnsi="Times New Roman" w:eastAsia="方正仿宋_GBK" w:cs="Times New Roman"/>
          <w:kern w:val="0"/>
          <w:sz w:val="32"/>
          <w:szCs w:val="32"/>
          <w:lang w:val="en-US" w:eastAsia="zh-CN" w:bidi="ar-SA"/>
        </w:rPr>
        <w:t>中心为石柱土家族自治县三星乡人民政府管理的财政全额拨款公益一类副科级事业单位。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收、支与2023年度相比，减少15.11万元，下降8.7%</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年调出</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03</w:t>
      </w:r>
      <w:r>
        <w:rPr>
          <w:rFonts w:hint="eastAsia" w:ascii="仿宋" w:hAnsi="仿宋" w:eastAsia="仿宋" w:cs="仿宋"/>
          <w:kern w:val="0"/>
          <w:sz w:val="32"/>
          <w:szCs w:val="32"/>
          <w:lang w:val="en-US" w:eastAsia="zh-CN" w:bidi="ar"/>
        </w:rPr>
        <w:t>万元，日常公用经费减少</w:t>
      </w:r>
      <w:r>
        <w:rPr>
          <w:rFonts w:hint="eastAsia" w:ascii="Times New Roman" w:hAnsi="Times New Roman" w:eastAsia="仿宋" w:cs="仿宋"/>
          <w:kern w:val="0"/>
          <w:sz w:val="32"/>
          <w:szCs w:val="32"/>
          <w:lang w:val="en-US" w:eastAsia="zh-CN" w:bidi="ar"/>
        </w:rPr>
        <w:t>0</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07</w:t>
      </w:r>
      <w:r>
        <w:rPr>
          <w:rFonts w:hint="eastAsia" w:ascii="仿宋" w:hAnsi="仿宋" w:eastAsia="仿宋" w:cs="仿宋"/>
          <w:kern w:val="0"/>
          <w:sz w:val="32"/>
          <w:szCs w:val="32"/>
          <w:lang w:val="en-US" w:eastAsia="zh-CN" w:bidi="ar"/>
        </w:rPr>
        <w:t>万元，导致全年收支减少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与2023年度相比，减少15.11万元，下降8.7%</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年人员减少，导致全年收入减少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与2023年度相比，减少15.11万元，下降8.7%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年人员减少，导致全年支出减少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财政拨款收、支总计各减少15.11万元，下降8.7%</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年调出</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03</w:t>
      </w:r>
      <w:r>
        <w:rPr>
          <w:rFonts w:hint="eastAsia" w:ascii="仿宋" w:hAnsi="仿宋" w:eastAsia="仿宋" w:cs="仿宋"/>
          <w:kern w:val="0"/>
          <w:sz w:val="32"/>
          <w:szCs w:val="32"/>
          <w:lang w:val="en-US" w:eastAsia="zh-CN" w:bidi="ar"/>
        </w:rPr>
        <w:t>万元，日常公用经费减少</w:t>
      </w:r>
      <w:r>
        <w:rPr>
          <w:rFonts w:hint="eastAsia" w:ascii="Times New Roman" w:hAnsi="Times New Roman" w:eastAsia="仿宋" w:cs="仿宋"/>
          <w:kern w:val="0"/>
          <w:sz w:val="32"/>
          <w:szCs w:val="32"/>
          <w:lang w:val="en-US" w:eastAsia="zh-CN" w:bidi="ar"/>
        </w:rPr>
        <w:t>0</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07</w:t>
      </w:r>
      <w:r>
        <w:rPr>
          <w:rFonts w:hint="eastAsia" w:ascii="仿宋" w:hAnsi="仿宋" w:eastAsia="仿宋" w:cs="仿宋"/>
          <w:kern w:val="0"/>
          <w:sz w:val="32"/>
          <w:szCs w:val="32"/>
          <w:lang w:val="en-US" w:eastAsia="zh-CN" w:bidi="ar"/>
        </w:rPr>
        <w:t>万元，导致全年收支减少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与2023年度相比，减少15.11万元，下降8.7%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年人员减少，导致全年收入减少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较年初预算数增加11.11万元，增长7.5%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工资调标，社保公积金调标，年中追加预算，导致收入预算增加。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与2023年度相比，减少15.11万元，下降8.7%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年人员减少，导致全年支出减少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11</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较年初预算数增加11.11万元，增长7.5%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 xml:space="preserve">工资调标，社保公积金调标，年中追加预算，导致支出预算增加。 </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numPr>
          <w:ilvl w:val="0"/>
          <w:numId w:val="0"/>
        </w:numPr>
        <w:snapToGrid w:val="0"/>
        <w:spacing w:before="0" w:beforeAutospacing="0" w:after="0" w:afterAutospacing="0" w:line="596"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32.28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较年初预算数增加6.83万元，增长26.8%</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年中追加</w:t>
      </w:r>
      <w:r>
        <w:rPr>
          <w:rFonts w:hint="default" w:ascii="Times New Roman" w:hAnsi="Times New Roman" w:eastAsia="仿宋_GB2312" w:cs="Times New Roman"/>
          <w:sz w:val="32"/>
          <w:szCs w:val="32"/>
          <w:highlight w:val="none"/>
          <w:lang w:eastAsia="zh-CN"/>
        </w:rPr>
        <w:t>养老保险与</w:t>
      </w:r>
      <w:r>
        <w:rPr>
          <w:rFonts w:hint="default" w:ascii="Times New Roman" w:hAnsi="Times New Roman" w:eastAsia="仿宋_GB2312" w:cs="Times New Roman"/>
          <w:sz w:val="32"/>
          <w:szCs w:val="32"/>
          <w:highlight w:val="none"/>
          <w:lang w:val="en-US" w:eastAsia="zh-CN"/>
        </w:rPr>
        <w:t>职业年金</w:t>
      </w:r>
      <w:r>
        <w:rPr>
          <w:rFonts w:hint="eastAsia" w:ascii="Times New Roman" w:hAnsi="Times New Roman" w:eastAsia="仿宋_GB2312" w:cs="Times New Roman"/>
          <w:sz w:val="32"/>
          <w:szCs w:val="32"/>
          <w:highlight w:val="none"/>
          <w:lang w:val="en-US" w:eastAsia="zh-CN"/>
        </w:rPr>
        <w:t>。</w:t>
      </w:r>
    </w:p>
    <w:p>
      <w:pPr>
        <w:pStyle w:val="7"/>
        <w:numPr>
          <w:ilvl w:val="0"/>
          <w:numId w:val="0"/>
        </w:numPr>
        <w:snapToGrid w:val="0"/>
        <w:spacing w:before="0" w:beforeAutospacing="0" w:after="0" w:afterAutospacing="0" w:line="596" w:lineRule="exact"/>
        <w:ind w:leftChars="200"/>
        <w:jc w:val="both"/>
        <w:rPr>
          <w:rFonts w:hint="eastAsia" w:eastAsia="仿宋_GB2312" w:cs="Times New Roman"/>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较年初预算数减少0.12万元，下降1.4%</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人员减少，医保支出减少。</w:t>
      </w:r>
    </w:p>
    <w:p>
      <w:pPr>
        <w:keepNext w:val="0"/>
        <w:keepLines w:val="0"/>
        <w:pageBreakBefore w:val="0"/>
        <w:kinsoku/>
        <w:wordWrap/>
        <w:overflowPunct/>
        <w:topLinePunct w:val="0"/>
        <w:autoSpaceDE/>
        <w:autoSpaceDN/>
        <w:bidi w:val="0"/>
        <w:adjustRightInd/>
        <w:snapToGrid w:val="0"/>
        <w:spacing w:line="596" w:lineRule="exact"/>
        <w:ind w:firstLine="640" w:firstLineChars="200"/>
        <w:rPr>
          <w:rFonts w:hint="eastAsia" w:ascii="仿宋" w:hAnsi="仿宋" w:eastAsia="仿宋" w:cs="仿宋"/>
          <w:kern w:val="0"/>
          <w:sz w:val="32"/>
          <w:szCs w:val="32"/>
          <w:highlight w:val="none"/>
          <w:lang w:val="en-US" w:eastAsia="zh-CN" w:bidi="ar"/>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110.56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较年初预算数增加4.39万元，增长4.1%</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人员职务职级晋升，工资调标，</w:t>
      </w:r>
      <w:r>
        <w:rPr>
          <w:rFonts w:hint="eastAsia" w:ascii="仿宋" w:hAnsi="仿宋" w:eastAsia="仿宋" w:cs="仿宋"/>
          <w:kern w:val="0"/>
          <w:sz w:val="32"/>
          <w:szCs w:val="32"/>
          <w:highlight w:val="none"/>
          <w:lang w:val="en-US" w:eastAsia="zh-CN" w:bidi="ar"/>
        </w:rPr>
        <w:t>年中追加基本工资、超额绩效工资等。</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i w:val="0"/>
          <w:iCs w:val="0"/>
          <w:caps w:val="0"/>
          <w:color w:val="000000"/>
          <w:spacing w:val="0"/>
          <w:sz w:val="31"/>
          <w:szCs w:val="31"/>
          <w:shd w:val="clear" w:fill="FFFFFF"/>
        </w:rPr>
        <w:t>单位</w:t>
      </w: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4</w:t>
      </w:r>
      <w:r>
        <w:rPr>
          <w:rFonts w:hint="eastAsia" w:ascii="方正仿宋_GBK" w:hAnsi="方正仿宋_GBK" w:eastAsia="方正仿宋_GBK" w:cs="方正仿宋_GBK"/>
          <w:i w:val="0"/>
          <w:iCs w:val="0"/>
          <w:caps w:val="0"/>
          <w:color w:val="000000"/>
          <w:spacing w:val="0"/>
          <w:sz w:val="31"/>
          <w:szCs w:val="31"/>
          <w:shd w:val="clear" w:fill="FFFFFF"/>
        </w:rPr>
        <w:t>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158.97</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141.71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与2023年度相比，减少15.03万元，下降9.6%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FF0000"/>
          <w:sz w:val="32"/>
          <w:szCs w:val="32"/>
          <w:shd w:val="clear" w:color="auto" w:fill="FFFFFF"/>
        </w:rPr>
        <w:t>.</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年调出</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人，工资、社保、公积金减少，导致人员经费减少</w:t>
      </w:r>
      <w:r>
        <w:rPr>
          <w:rFonts w:hint="eastAsia" w:ascii="Times New Roman" w:hAnsi="Times New Roman" w:eastAsia="仿宋" w:cs="仿宋"/>
          <w:kern w:val="0"/>
          <w:sz w:val="32"/>
          <w:szCs w:val="32"/>
          <w:lang w:val="en-US" w:eastAsia="zh-CN" w:bidi="ar"/>
        </w:rPr>
        <w:t>15</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03</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仿宋_GB2312" w:cs="Times New Roman"/>
          <w:sz w:val="32"/>
          <w:szCs w:val="32"/>
        </w:rPr>
        <w:t>基本工资、绩效工资、社会保障缴费、离退休人员健康休养费等。</w:t>
      </w:r>
    </w:p>
    <w:p>
      <w:pPr>
        <w:keepNext w:val="0"/>
        <w:keepLines w:val="0"/>
        <w:pageBreakBefore w:val="0"/>
        <w:kinsoku/>
        <w:wordWrap/>
        <w:overflowPunct/>
        <w:topLinePunct w:val="0"/>
        <w:autoSpaceDE/>
        <w:autoSpaceDN/>
        <w:bidi w:val="0"/>
        <w:adjustRightInd/>
        <w:snapToGrid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与2023年度相比，减少0.07万元，下降0.4%</w:t>
      </w:r>
      <w:r>
        <w:rPr>
          <w:rFonts w:ascii="方正仿宋_GBK" w:hAnsi="方正仿宋_GBK" w:eastAsia="方正仿宋_GBK" w:cs="方正仿宋_GBK"/>
          <w:sz w:val="32"/>
          <w:szCs w:val="32"/>
          <w:shd w:val="clear" w:color="auto" w:fill="FFFFFF"/>
        </w:rPr>
        <w:t>，主要原因是</w:t>
      </w:r>
      <w:r>
        <w:rPr>
          <w:rFonts w:hint="eastAsia" w:eastAsia="仿宋_GB2312" w:cs="Times New Roman"/>
          <w:color w:val="000000"/>
          <w:sz w:val="32"/>
          <w:szCs w:val="32"/>
          <w:lang w:eastAsia="zh-CN"/>
        </w:rPr>
        <w:t>本单位</w:t>
      </w:r>
      <w:r>
        <w:rPr>
          <w:rFonts w:hint="eastAsia" w:ascii="Times New Roman" w:hAnsi="Times New Roman" w:eastAsia="仿宋_GB2312" w:cs="Times New Roman"/>
          <w:color w:val="000000"/>
          <w:sz w:val="32"/>
          <w:szCs w:val="32"/>
          <w:lang w:eastAsia="zh-CN"/>
        </w:rPr>
        <w:t>2024</w:t>
      </w:r>
      <w:r>
        <w:rPr>
          <w:rFonts w:hint="eastAsia" w:eastAsia="仿宋_GB2312" w:cs="Times New Roman"/>
          <w:color w:val="000000"/>
          <w:sz w:val="32"/>
          <w:szCs w:val="32"/>
          <w:lang w:eastAsia="zh-CN"/>
        </w:rPr>
        <w:t>年调出</w:t>
      </w:r>
      <w:r>
        <w:rPr>
          <w:rFonts w:hint="eastAsia" w:ascii="Times New Roman" w:hAnsi="Times New Roman" w:eastAsia="仿宋_GB2312" w:cs="Times New Roman"/>
          <w:color w:val="000000"/>
          <w:sz w:val="32"/>
          <w:szCs w:val="32"/>
          <w:lang w:eastAsia="zh-CN"/>
        </w:rPr>
        <w:t>1</w:t>
      </w:r>
      <w:r>
        <w:rPr>
          <w:rFonts w:hint="eastAsia" w:eastAsia="仿宋_GB2312" w:cs="Times New Roman"/>
          <w:color w:val="000000"/>
          <w:sz w:val="32"/>
          <w:szCs w:val="32"/>
          <w:lang w:eastAsia="zh-CN"/>
        </w:rPr>
        <w:t>人，导致公用经费减少</w:t>
      </w:r>
      <w:r>
        <w:rPr>
          <w:rFonts w:hint="eastAsia" w:ascii="Times New Roman" w:hAnsi="Times New Roman" w:eastAsia="仿宋_GB2312" w:cs="Times New Roman"/>
          <w:color w:val="000000"/>
          <w:sz w:val="32"/>
          <w:szCs w:val="32"/>
          <w:lang w:val="en-US" w:eastAsia="zh-CN"/>
        </w:rPr>
        <w:t>0</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07</w:t>
      </w:r>
      <w:r>
        <w:rPr>
          <w:rFonts w:hint="eastAsia" w:eastAsia="仿宋_GB2312" w:cs="Times New Roman"/>
          <w:color w:val="000000"/>
          <w:sz w:val="32"/>
          <w:szCs w:val="32"/>
          <w:lang w:eastAsia="zh-CN"/>
        </w:rPr>
        <w:t>元。</w:t>
      </w:r>
      <w:r>
        <w:rPr>
          <w:rFonts w:hint="default" w:ascii="Times New Roman" w:hAnsi="Times New Roman" w:eastAsia="仿宋_GB2312" w:cs="Times New Roman"/>
          <w:sz w:val="32"/>
          <w:szCs w:val="32"/>
        </w:rPr>
        <w:t>公用经费用途主要包括办公费、水费、电费、邮电费、差旅费、工会经费、劳务费等。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我单位属于公益一类副科级事业单位，“</w:t>
      </w:r>
      <w:r>
        <w:rPr>
          <w:rFonts w:hint="eastAsia" w:ascii="Times New Roman" w:hAnsi="Times New Roman" w:eastAsia="仿宋_GB2312" w:cs="Times New Roman"/>
          <w:color w:val="auto"/>
          <w:sz w:val="32"/>
          <w:szCs w:val="32"/>
          <w:lang w:val="en-US" w:eastAsia="zh-CN" w:bidi="ar-SA"/>
        </w:rPr>
        <w:t>三公</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 xml:space="preserve">经费已在三星乡人民政府本级决算，故本二级事业单位决算中无“三公”经费数据。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Times New Roman"/>
          <w:color w:val="auto"/>
          <w:sz w:val="32"/>
          <w:szCs w:val="32"/>
          <w:lang w:val="en-US" w:eastAsia="zh-CN" w:bidi="ar-SA"/>
        </w:rPr>
        <w:t>我单位属于公益一类副科级事业单位，财政拨款会议费和培训费已在三星乡人民政府本级决算，故本二级事业单位决算中无会议费、培训费和差旅费。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hint="default" w:ascii="方正仿宋_GBK" w:hAnsi="方正仿宋_GBK" w:eastAsia="方正仿宋_GBK" w:cs="方正仿宋_GBK"/>
          <w:kern w:val="0"/>
          <w:sz w:val="32"/>
          <w:szCs w:val="32"/>
          <w:lang w:val="en-US" w:eastAsia="zh-CN" w:bidi="ar-SA"/>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截至202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年12月31日，本单位共有车辆0辆。单价100万元（含）以上专用设备0台（套）。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年度我单位未发生政府采购事项，无相关经费支出。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石柱土家族自治县三星乡产业发展服务中心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322,846.78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85,754.24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1,105,589.02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75,479.04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1,589,669.08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1,589,669.08</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1,589,669.08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1,589,669.08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146,090.14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146,090.14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73,256.64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1,105,589.02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75,479.04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石柱土家族自治县三星乡产业发展服务中心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1,589,669.08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1,589,669.08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322,846.78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146,090.14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146,090.14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1,105,589.02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75,479.04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322,846.78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322,846.78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85,754.24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85,754.24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1,105,589.02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1,105,589.02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75,479.04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75,479.04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1,589,669.08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1,589,669.08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1,589,669.08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1,589,669.08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1,589,669.08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322,846.78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146,090.14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146,090.14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146,090.14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146,090.14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73,256.64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73,256.64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73,256.64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73,256.64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85,754.24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1,105,589.02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1,105,589.02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1,105,589.02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1,105,589.02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1,105,589.02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75,479.04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75,479.04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75,479.04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75,479.04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75,479.04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1,301,089.24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172,579.84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282,803.00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88,206.00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554,484.50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146,090.14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73,256.64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62,899.20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4,370.72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75,479.04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12,579.84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1,417,089.24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172,579.84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石柱土家族自治县三星乡产业发展服务中心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94391C"/>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7A3494"/>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AF0166"/>
    <w:rsid w:val="38BE4696"/>
    <w:rsid w:val="38DE7AF3"/>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2025-10-06T11:18:45Z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A6AE33190F5E49199CB002EFECE9548D</vt:lpwstr>
  </property>
</Properties>
</file>