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重庆市石柱土家族自治县三星乡综合行政执法大队2023年度决算公开说明</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（一）职能职责</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宗旨：依法执法，确保执法公平、公正。</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主要职责任务：根据授权或委托，承担辖区范围内集中行使农林水利、规划建设、市政管理、环境保护、卫生健康、文化旅游、民政管理等领域的行政执法权。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具体职责任务：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）贯彻落实综合行政执法工作的有关规定；依据有关法律法规和规章，参与起草本辖区实行综合行政执法领域相关方面的工作计划，并具体实施。</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）根据授权或委托，承担辖区范围内集中行使农林水利、规划建设、市政管理、环境保护、卫生健康、文化旅游、民政管理等领域的行政执法权。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3</w:t>
      </w:r>
      <w:r>
        <w:rPr>
          <w:rFonts w:hint="eastAsia" w:ascii="Times New Roman" w:hAnsi="Times New Roman" w:eastAsia="方正仿宋_GBK" w:cs="Times New Roman"/>
          <w:kern w:val="0"/>
          <w:sz w:val="32"/>
          <w:szCs w:val="32"/>
          <w:lang w:val="en-US" w:eastAsia="zh-CN" w:bidi="ar-SA"/>
        </w:rPr>
        <w:t>）承担市县授权或委托的其他行政执法权。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4</w:t>
      </w:r>
      <w:r>
        <w:rPr>
          <w:rFonts w:hint="eastAsia" w:ascii="Times New Roman" w:hAnsi="Times New Roman" w:eastAsia="方正仿宋_GBK" w:cs="Times New Roman"/>
          <w:kern w:val="0"/>
          <w:sz w:val="32"/>
          <w:szCs w:val="32"/>
          <w:lang w:val="en-US" w:eastAsia="zh-CN" w:bidi="ar-SA"/>
        </w:rPr>
        <w:t>）承办乡党委、乡政府交办的其他工作任务。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bidi="ar-SA"/>
        </w:rPr>
        <w:t>除法律法规授权外，市政府授权及县级相关部门委托的行政处罚、行政强制等执法权以正式授权或委托为准。</w:t>
      </w:r>
      <w:r>
        <w:rPr>
          <w:rFonts w:hint="default" w:ascii="Times New Roman" w:hAnsi="Times New Roman" w:eastAsia="方正仿宋_GBK" w:cs="Times New Roman"/>
          <w:kern w:val="0"/>
          <w:sz w:val="32"/>
          <w:szCs w:val="32"/>
        </w:rPr>
        <w:t xml:space="preserve">  </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（二）机构设置</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石柱县三星乡综合行政执法大队为石柱土家族自治县三星乡人民政府管理的财政全额拨款公益一类副科级事业单位。</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1.总体情况。2023年度收入总计65.64万元，支出总计65.64万元。收支较上年决算数增加17.02万元，增长35.01%，主要原因是新招录1人，调入1人，人员增加，各项费用增加</w:t>
      </w:r>
      <w:r>
        <w:rPr>
          <w:rFonts w:hint="default" w:ascii="Times New Roman" w:hAnsi="Times New Roman" w:eastAsia="方正仿宋_GBK" w:cs="Times New Roman"/>
          <w:kern w:val="0"/>
          <w:sz w:val="32"/>
          <w:szCs w:val="32"/>
          <w:lang w:val="en-US" w:eastAsia="zh-CN" w:bidi="ar-SA"/>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2.收入情况。2023年度收入合计65.64万元，较上年决算数增加17.02万元，增长35.01%，主要原因是人员增加，各项费用收入增加</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其中：财政拨款收入65.64万元，占100.00%；事业收入0.00万元，占0.00%；经营收入0.00万元，占0.00%；其他收入0.00万元，占0.00%。此外，使用非财政拨款结余和专用结余0.00万元，年初结转和结余0.00万元。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3.支出情况。2023年度支出合计65.64万元，较上年决算数增加17.02万元，增长35.01%，主要原因是人员增加，各项费用支出增加</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其中：基本支出65.64万元，占100.00%；项目支出0.00万元，占0.00%；经营支出0.00万元，占0.00%。此外，结余分配0.00万元。</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4.结转结余情况。2023年度年末结转和结余0.00万元，较上年决算数无增减，主要原因是本单位</w:t>
      </w:r>
      <w:r>
        <w:rPr>
          <w:rFonts w:hint="default" w:ascii="Times New Roman" w:hAnsi="Times New Roman" w:eastAsia="方正仿宋_GBK" w:cs="Times New Roman"/>
          <w:kern w:val="0"/>
          <w:sz w:val="32"/>
          <w:szCs w:val="32"/>
          <w:lang w:val="en-US" w:eastAsia="zh-CN" w:bidi="ar-SA"/>
        </w:rPr>
        <w:t>2023</w:t>
      </w:r>
      <w:r>
        <w:rPr>
          <w:rFonts w:hint="eastAsia" w:ascii="Times New Roman" w:hAnsi="Times New Roman" w:eastAsia="方正仿宋_GBK" w:cs="Times New Roman"/>
          <w:kern w:val="0"/>
          <w:sz w:val="32"/>
          <w:szCs w:val="32"/>
          <w:lang w:val="en-US" w:eastAsia="zh-CN" w:bidi="ar-SA"/>
        </w:rPr>
        <w:t>年无结转结余。</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2023年度财政拨款收、支总计65.64万元。与2022年相比，财政拨款收、支总计各增加17.02万元，增长35.01%。主要原因是新招录1人，调入1人，人员增加，各项费用收支增加</w:t>
      </w:r>
      <w:r>
        <w:rPr>
          <w:rFonts w:hint="default" w:ascii="Times New Roman" w:hAnsi="Times New Roman" w:eastAsia="方正仿宋_GBK" w:cs="Times New Roman"/>
          <w:kern w:val="0"/>
          <w:sz w:val="32"/>
          <w:szCs w:val="32"/>
          <w:lang w:val="en-US" w:eastAsia="zh-CN" w:bidi="ar-SA"/>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1.收入情况。2023年度一般公共预算财政拨款收入65.64万元，较上年决算数增加17.02万元，增长35.01%。主要原因是人员增加，各项费用收入增加</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较年初预算数增加22.21万元，增长51.14%。主要原因是人员增加，年中追加人员经费</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此外，年初财政拨款结转和结余0.00万元。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2.支出情况。2023年度一般公共预算财政拨款支出65.64万元，较上年决算数增加17.02万元，增长35.01%。主要原因是人员增加，各项费用支出增加</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较年初预算数增加22.21万元，增长51.14%。主要原因是人员增加，年中追加人员经费</w:t>
      </w:r>
      <w:r>
        <w:rPr>
          <w:rFonts w:hint="default" w:ascii="Times New Roman" w:hAnsi="Times New Roman" w:eastAsia="方正仿宋_GBK" w:cs="Times New Roman"/>
          <w:kern w:val="0"/>
          <w:sz w:val="32"/>
          <w:szCs w:val="32"/>
          <w:lang w:val="en-US" w:eastAsia="zh-CN" w:bidi="ar-SA"/>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3.结转结余情况。2023年度年末一般公共预算财政拨款结转和结余0.00万元，较上年决算数无增减，</w:t>
      </w:r>
      <w:r>
        <w:rPr>
          <w:rFonts w:ascii="方正仿宋_GBK" w:hAnsi="方正仿宋_GBK" w:eastAsia="方正仿宋_GBK" w:cs="方正仿宋_GBK"/>
          <w:i w:val="0"/>
          <w:iCs w:val="0"/>
          <w:caps w:val="0"/>
          <w:color w:val="000000"/>
          <w:spacing w:val="0"/>
          <w:sz w:val="31"/>
          <w:szCs w:val="31"/>
          <w:shd w:val="clear" w:fill="FFFFFF"/>
        </w:rPr>
        <w:t>主要原因是</w:t>
      </w:r>
      <w:r>
        <w:rPr>
          <w:rFonts w:hint="eastAsia" w:ascii="方正仿宋_GBK" w:hAnsi="方正仿宋_GBK" w:eastAsia="方正仿宋_GBK" w:cs="方正仿宋_GBK"/>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2023</w:t>
      </w:r>
      <w:r>
        <w:rPr>
          <w:rFonts w:hint="eastAsia" w:ascii="方正仿宋_GBK" w:hAnsi="方正仿宋_GBK" w:eastAsia="方正仿宋_GBK" w:cs="方正仿宋_GBK"/>
          <w:i w:val="0"/>
          <w:iCs w:val="0"/>
          <w:caps w:val="0"/>
          <w:color w:val="000000"/>
          <w:spacing w:val="0"/>
          <w:sz w:val="31"/>
          <w:szCs w:val="31"/>
          <w:shd w:val="clear" w:fill="FFFFFF"/>
        </w:rPr>
        <w:t>年无结转结余。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4.比较情况。本单位2023年度一般公共预算财政拨款支出主要用于以下几个方面：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（1）一般公共服务支出52.82万元，占80.46%，较年初预算数增加19.10万元，增长56.64%，主要原因是新招录1人，调入1人，人员增加，各项费用支出增加</w:t>
      </w:r>
      <w:r>
        <w:rPr>
          <w:rFonts w:hint="default" w:ascii="Times New Roman" w:hAnsi="Times New Roman" w:eastAsia="方正仿宋_GBK" w:cs="Times New Roman"/>
          <w:kern w:val="0"/>
          <w:sz w:val="32"/>
          <w:szCs w:val="32"/>
          <w:lang w:val="en-US" w:eastAsia="zh-CN" w:bidi="ar-SA"/>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（2）社会保障与就业支出7.14万元，占10.87%，较年初预算数增加1.28万元，增长21.84%，主要原因是</w:t>
      </w:r>
      <w:r>
        <w:rPr>
          <w:rFonts w:hint="default" w:ascii="Times New Roman" w:hAnsi="Times New Roman" w:eastAsia="方正仿宋_GBK" w:cs="Times New Roman"/>
          <w:kern w:val="0"/>
          <w:sz w:val="32"/>
          <w:szCs w:val="32"/>
          <w:lang w:val="en-US" w:eastAsia="zh-CN" w:bidi="ar-SA"/>
        </w:rPr>
        <w:t>养老保险与职业年金</w:t>
      </w:r>
      <w:r>
        <w:rPr>
          <w:rFonts w:hint="eastAsia" w:ascii="Times New Roman" w:hAnsi="Times New Roman" w:eastAsia="方正仿宋_GBK" w:cs="Times New Roman"/>
          <w:kern w:val="0"/>
          <w:sz w:val="32"/>
          <w:szCs w:val="32"/>
          <w:lang w:val="en-US" w:eastAsia="zh-CN" w:bidi="ar-SA"/>
        </w:rPr>
        <w:t>支出</w:t>
      </w:r>
      <w:r>
        <w:rPr>
          <w:rFonts w:hint="default" w:ascii="Times New Roman" w:hAnsi="Times New Roman" w:eastAsia="方正仿宋_GBK" w:cs="Times New Roman"/>
          <w:kern w:val="0"/>
          <w:sz w:val="32"/>
          <w:szCs w:val="32"/>
          <w:lang w:val="en-US" w:eastAsia="zh-CN" w:bidi="ar-SA"/>
        </w:rPr>
        <w:t>增加。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（3）卫生健康支出2.88万元，占4.39%，较年初预算数增加0.80万元，增长38.46%，主要原因是医疗保险支出增加。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（4）住房保障支出2.80万元，占4.27%，较年初预算数增加1.02万元，增长57.30%，主要原因是住房公积金支出增加</w:t>
      </w:r>
      <w:r>
        <w:rPr>
          <w:rFonts w:hint="default" w:ascii="Times New Roman" w:hAnsi="Times New Roman" w:eastAsia="方正仿宋_GBK" w:cs="Times New Roman"/>
          <w:kern w:val="0"/>
          <w:sz w:val="32"/>
          <w:szCs w:val="32"/>
          <w:lang w:val="en-US" w:eastAsia="zh-CN" w:bidi="ar-SA"/>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（四）一般公共预算财政拨款基本支出决算情况说明</w:t>
      </w:r>
    </w:p>
    <w:p>
      <w:pPr>
        <w:keepNext w:val="0"/>
        <w:keepLines w:val="0"/>
        <w:pageBreakBefore w:val="0"/>
        <w:kinsoku/>
        <w:wordWrap/>
        <w:overflowPunct/>
        <w:topLinePunct w:val="0"/>
        <w:autoSpaceDE/>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2023年度一般公共财政拨款基本支出65.64万元。其中：人员经费55.35万元，较上年决算数增加17.43万元，增长45.97%，主要原因是新招录1人，调入1人，人员增加，人员经费支出增加。人员经费用途主要包括</w:t>
      </w:r>
      <w:r>
        <w:rPr>
          <w:rFonts w:hint="default" w:ascii="Times New Roman" w:hAnsi="Times New Roman" w:eastAsia="方正仿宋_GBK" w:cs="Times New Roman"/>
          <w:kern w:val="0"/>
          <w:sz w:val="32"/>
          <w:szCs w:val="32"/>
          <w:lang w:val="en-US" w:eastAsia="zh-CN" w:bidi="ar-SA"/>
        </w:rPr>
        <w:t>基本工资、绩效工资、社会保障缴费、离退休人员健康休养费等</w:t>
      </w:r>
      <w:r>
        <w:rPr>
          <w:rFonts w:hint="eastAsia" w:ascii="Times New Roman" w:hAnsi="Times New Roman" w:eastAsia="方正仿宋_GBK" w:cs="Times New Roman"/>
          <w:kern w:val="0"/>
          <w:sz w:val="32"/>
          <w:szCs w:val="32"/>
          <w:lang w:val="en-US" w:eastAsia="zh-CN" w:bidi="ar-SA"/>
        </w:rPr>
        <w:t>。公用经费10.30万元，较上年决算数减少0.40万元，下降3.74%，主要原因是严格落实“过紧日子”措施，厉行节约，缩减公用经费开支</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公用经费用途主要包括</w:t>
      </w:r>
      <w:r>
        <w:rPr>
          <w:rFonts w:hint="default" w:ascii="Times New Roman" w:hAnsi="Times New Roman" w:eastAsia="方正仿宋_GBK" w:cs="Times New Roman"/>
          <w:kern w:val="0"/>
          <w:sz w:val="32"/>
          <w:szCs w:val="32"/>
          <w:lang w:val="en-US" w:eastAsia="zh-CN" w:bidi="ar-SA"/>
        </w:rPr>
        <w:t>办公费、水费、电费、邮电费、差旅费、工会经费、劳务费等。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仿宋_GBK" w:hAnsi="方正仿宋_GBK" w:eastAsia="方正仿宋_GBK" w:cs="方正仿宋_GBK"/>
          <w:i w:val="0"/>
          <w:iCs w:val="0"/>
          <w:caps w:val="0"/>
          <w:color w:val="000000"/>
          <w:spacing w:val="0"/>
          <w:sz w:val="31"/>
          <w:szCs w:val="31"/>
          <w:lang w:val="en-US" w:eastAsia="zh-CN"/>
        </w:rPr>
      </w:pPr>
      <w:r>
        <w:rPr>
          <w:rFonts w:hint="default" w:ascii="Times New Roman" w:hAnsi="Times New Roman" w:eastAsia="仿宋_GB2312" w:cs="Times New Roman"/>
          <w:color w:val="auto"/>
          <w:sz w:val="32"/>
          <w:szCs w:val="32"/>
          <w:lang w:val="en-US" w:eastAsia="zh-CN" w:bidi="ar-SA"/>
        </w:rPr>
        <w:t>我单位属于公益一类副科级事业单位，“</w:t>
      </w:r>
      <w:r>
        <w:rPr>
          <w:rFonts w:hint="eastAsia" w:ascii="Times New Roman" w:hAnsi="Times New Roman" w:eastAsia="仿宋_GB2312" w:cs="Times New Roman"/>
          <w:color w:val="auto"/>
          <w:sz w:val="32"/>
          <w:szCs w:val="32"/>
          <w:lang w:val="en-US" w:eastAsia="zh-CN" w:bidi="ar-SA"/>
        </w:rPr>
        <w:t>三公</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 xml:space="preserve">经费已在三星乡人民政府本级决算，故本二级事业单位决算中无“三公”经费数据。 </w:t>
      </w:r>
      <w:r>
        <w:rPr>
          <w:rFonts w:hint="eastAsia" w:ascii="方正仿宋_GBK" w:hAnsi="方正仿宋_GBK" w:eastAsia="方正仿宋_GBK" w:cs="方正仿宋_GBK"/>
          <w:i w:val="0"/>
          <w:iCs w:val="0"/>
          <w:caps w:val="0"/>
          <w:color w:val="000000"/>
          <w:spacing w:val="0"/>
          <w:sz w:val="31"/>
          <w:szCs w:val="31"/>
          <w:lang w:val="en-US" w:eastAsia="zh-CN"/>
        </w:rPr>
        <w:t xml:space="preserve"> </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（一）财政拨款会议费和培训费情况说明</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Times New Roman" w:hAnsi="Times New Roman" w:eastAsia="仿宋_GB2312" w:cs="Times New Roman"/>
          <w:color w:val="auto"/>
          <w:sz w:val="32"/>
          <w:szCs w:val="32"/>
          <w:lang w:val="en-US" w:eastAsia="zh-CN" w:bidi="ar-SA"/>
        </w:rPr>
        <w:t>我单位属于公益一类副科级事业单位，财政拨款会议费和培训费已在三星乡人民政府本级决算，故本二级事业单位决算中无会议费和培训费。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kern w:val="0"/>
          <w:sz w:val="32"/>
          <w:szCs w:val="32"/>
          <w:lang w:val="en-US" w:eastAsia="zh-CN" w:bidi="ar-SA"/>
        </w:rPr>
      </w:pPr>
      <w:r>
        <w:rPr>
          <w:rFonts w:hint="default" w:ascii="方正仿宋_GBK" w:hAnsi="方正仿宋_GBK" w:eastAsia="方正仿宋_GBK" w:cs="方正仿宋_GBK"/>
          <w:kern w:val="0"/>
          <w:sz w:val="32"/>
          <w:szCs w:val="32"/>
          <w:lang w:val="en-US" w:eastAsia="zh-CN" w:bidi="ar-SA"/>
        </w:rPr>
        <w:t>按照部门决算列报口径，我单位不在机关运行经费统计范围之内。</w:t>
      </w:r>
      <w:bookmarkStart w:id="0" w:name="_GoBack"/>
      <w:bookmarkEnd w:id="0"/>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  截至2023年12月31日，本单位共有车辆0辆。单价100万元（含）以上专用设备0台（套）。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2023年度我单位未发生政府采购事项，无相关经费支出。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（一）单位自评情况</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leftChars="0" w:firstLine="620" w:firstLineChars="200"/>
        <w:jc w:val="both"/>
        <w:textAlignment w:val="auto"/>
        <w:rPr>
          <w:rFonts w:hint="eastAsia" w:ascii="方正仿宋_GBK" w:hAnsi="方正仿宋_GBK" w:eastAsia="方正仿宋_GBK" w:cs="方正仿宋_GBK"/>
          <w:b/>
          <w:bCs/>
          <w:kern w:val="0"/>
          <w:sz w:val="32"/>
          <w:szCs w:val="32"/>
          <w:shd w:val="clear" w:fill="FFFFFF"/>
        </w:rPr>
      </w:pPr>
      <w:r>
        <w:rPr>
          <w:rFonts w:ascii="方正仿宋_GBK" w:hAnsi="方正仿宋_GBK" w:eastAsia="方正仿宋_GBK" w:cs="方正仿宋_GBK"/>
          <w:i w:val="0"/>
          <w:iCs w:val="0"/>
          <w:caps w:val="0"/>
          <w:color w:val="000000"/>
          <w:spacing w:val="0"/>
          <w:sz w:val="31"/>
          <w:szCs w:val="31"/>
          <w:shd w:val="clear" w:fill="FFFFFF"/>
        </w:rPr>
        <w:t>本单位为</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人民政府下属二级预算单位，预算绩效管理工作由</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人民政府本级开展，我单位未开展预算绩效管理工作。</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方正仿宋_GBK" w:hAnsi="方正仿宋_GBK" w:eastAsia="方正仿宋_GBK" w:cs="方正仿宋_GBK"/>
          <w:i w:val="0"/>
          <w:iCs w:val="0"/>
          <w:caps w:val="0"/>
          <w:color w:val="000000"/>
          <w:spacing w:val="0"/>
          <w:sz w:val="31"/>
          <w:szCs w:val="31"/>
          <w:shd w:val="clear" w:fill="FFFFFF"/>
        </w:rPr>
      </w:pPr>
      <w:r>
        <w:rPr>
          <w:rFonts w:ascii="方正仿宋_GBK" w:hAnsi="方正仿宋_GBK" w:eastAsia="方正仿宋_GBK" w:cs="方正仿宋_GBK"/>
          <w:i w:val="0"/>
          <w:iCs w:val="0"/>
          <w:caps w:val="0"/>
          <w:color w:val="000000"/>
          <w:spacing w:val="0"/>
          <w:sz w:val="31"/>
          <w:szCs w:val="31"/>
          <w:shd w:val="clear"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（三）财政绩效评价情况</w:t>
      </w:r>
    </w:p>
    <w:p>
      <w:pPr>
        <w:pStyle w:val="11"/>
        <w:keepNext w:val="0"/>
        <w:keepLines w:val="0"/>
        <w:pageBreakBefore w:val="0"/>
        <w:numPr>
          <w:ilvl w:val="0"/>
          <w:numId w:val="0"/>
        </w:numP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市财政局未委托第三方对我单位开展绩效评价。</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default" w:ascii="方正黑体_GBK" w:hAnsi="方正黑体_GBK" w:eastAsia="方正黑体_GBK" w:cs="方正黑体_GBK"/>
          <w:b w:val="0"/>
          <w:bCs/>
          <w:sz w:val="32"/>
          <w:szCs w:val="32"/>
          <w:shd w:val="clear" w:color="auto" w:fill="FFFFFF"/>
          <w:lang w:eastAsia="zh-CN"/>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Fonts w:ascii="方正仿宋_GBK" w:hAnsi="方正仿宋_GBK" w:eastAsia="方正仿宋_GBK" w:cs="方正仿宋_GBK"/>
          <w:b/>
          <w:bCs/>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（一）财政拨款收入：</w:t>
      </w:r>
      <w:r>
        <w:rPr>
          <w:rFonts w:hint="eastAsia" w:ascii="Times New Roman" w:hAnsi="Times New Roman" w:eastAsia="方正仿宋_GBK" w:cs="Times New Roman"/>
          <w:kern w:val="0"/>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（二）事业收入：</w:t>
      </w:r>
      <w:r>
        <w:rPr>
          <w:rFonts w:hint="eastAsia" w:ascii="Times New Roman" w:hAnsi="Times New Roman" w:eastAsia="方正仿宋_GBK" w:cs="Times New Roman"/>
          <w:kern w:val="0"/>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（三）经营收入：</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（四）其他收入：</w:t>
      </w:r>
      <w:r>
        <w:rPr>
          <w:rFonts w:hint="eastAsia" w:ascii="Times New Roman" w:hAnsi="Times New Roman" w:eastAsia="方正仿宋_GBK" w:cs="Times New Roman"/>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（五）使用非财政拨款结余：</w:t>
      </w:r>
      <w:r>
        <w:rPr>
          <w:rFonts w:hint="eastAsia" w:ascii="Times New Roman" w:hAnsi="Times New Roman" w:eastAsia="方正仿宋_GBK" w:cs="Times New Roman"/>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（六）年初结转和结余：</w:t>
      </w:r>
      <w:r>
        <w:rPr>
          <w:rFonts w:hint="eastAsia" w:ascii="Times New Roman" w:hAnsi="Times New Roman" w:eastAsia="方正仿宋_GBK" w:cs="Times New Roman"/>
          <w:kern w:val="0"/>
          <w:sz w:val="32"/>
          <w:szCs w:val="32"/>
          <w:lang w:val="en-US" w:eastAsia="zh-CN" w:bidi="ar-SA"/>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（七）结余分配：</w:t>
      </w:r>
      <w:r>
        <w:rPr>
          <w:rFonts w:hint="eastAsia" w:ascii="Times New Roman" w:hAnsi="Times New Roman" w:eastAsia="方正仿宋_GBK" w:cs="Times New Roman"/>
          <w:kern w:val="0"/>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（八）年末结转和结余：</w:t>
      </w:r>
      <w:r>
        <w:rPr>
          <w:rFonts w:hint="eastAsia" w:ascii="Times New Roman" w:hAnsi="Times New Roman" w:eastAsia="方正仿宋_GBK" w:cs="Times New Roman"/>
          <w:kern w:val="0"/>
          <w:sz w:val="32"/>
          <w:szCs w:val="32"/>
          <w:lang w:val="en-US" w:eastAsia="zh-CN" w:bidi="ar-SA"/>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（九）基本支出：</w:t>
      </w:r>
      <w:r>
        <w:rPr>
          <w:rFonts w:hint="eastAsia" w:ascii="Times New Roman" w:hAnsi="Times New Roman" w:eastAsia="方正仿宋_GBK" w:cs="Times New Roman"/>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（十）项目支出：</w:t>
      </w:r>
      <w:r>
        <w:rPr>
          <w:rFonts w:hint="eastAsia" w:ascii="Times New Roman" w:hAnsi="Times New Roman" w:eastAsia="方正仿宋_GBK" w:cs="Times New Roman"/>
          <w:kern w:val="0"/>
          <w:sz w:val="32"/>
          <w:szCs w:val="32"/>
          <w:lang w:val="en-US" w:eastAsia="zh-CN" w:bidi="ar-SA"/>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（十一）经营支出：</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（十二）“三公”经费：</w:t>
      </w:r>
      <w:r>
        <w:rPr>
          <w:rFonts w:hint="eastAsia" w:ascii="Times New Roman" w:hAnsi="Times New Roman" w:eastAsia="方正仿宋_GBK" w:cs="Times New Roman"/>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（十三）机关运行经费：</w:t>
      </w:r>
      <w:r>
        <w:rPr>
          <w:rFonts w:hint="eastAsia" w:ascii="Times New Roman" w:hAnsi="Times New Roman" w:eastAsia="方正仿宋_GBK" w:cs="Times New Roman"/>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default" w:ascii="方正黑体_GBK" w:hAnsi="方正黑体_GBK" w:eastAsia="方正黑体_GBK" w:cs="方正黑体_GBK"/>
          <w:b w:val="0"/>
          <w:bCs/>
          <w:sz w:val="32"/>
          <w:szCs w:val="32"/>
          <w:shd w:val="clear" w:color="auto" w:fill="FFFFFF"/>
          <w:lang w:eastAsia="zh-CN"/>
        </w:rPr>
        <w:t>  七、决算公开联系方式及信息反馈渠道</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bidi="ar-SA"/>
        </w:rPr>
        <w:t>周炬宏    023-73340055</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重庆市石柱土家族自治县三星乡综合行政执法大队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重庆市石柱土家族自治县三星乡综合行政执法大队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重庆市石柱土家族自治县三星乡综合行政执法大队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55.35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7795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B01A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D345C5"/>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DE6A2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741C5B"/>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6</TotalTime>
  <ScaleCrop>false</ScaleCrop>
  <LinksUpToDate>false</LinksUpToDate>
  <CharactersWithSpaces>26759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半半熊</cp:lastModifiedBy>
  <dcterms:modified xsi:type="dcterms:W3CDTF">2024-10-21T01:53:18Z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5727C83B15734DE1AA3E601072563154</vt:lpwstr>
  </property>
</Properties>
</file>