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kinsoku/>
        <w:wordWrap/>
        <w:overflowPunct/>
        <w:topLinePunct w:val="0"/>
        <w:autoSpaceDN/>
        <w:bidi w:val="0"/>
        <w:adjustRightInd/>
        <w:spacing w:before="0" w:beforeAutospacing="0" w:after="0" w:afterAutospacing="0" w:line="594" w:lineRule="exact"/>
        <w:jc w:val="center"/>
        <w:textAlignment w:val="auto"/>
        <w:rPr>
          <w:rFonts w:hint="default" w:ascii="Times New Roman" w:hAnsi="Times New Roman" w:eastAsia="方正小标宋_GBK" w:cs="Times New Roman"/>
          <w:kern w:val="2"/>
          <w:sz w:val="44"/>
          <w:szCs w:val="44"/>
          <w:lang w:val="en-US" w:eastAsia="zh-CN" w:bidi="ar"/>
        </w:rPr>
      </w:pPr>
      <w:r>
        <w:rPr>
          <w:rFonts w:hint="default" w:ascii="Times New Roman" w:hAnsi="Times New Roman" w:eastAsia="方正小标宋_GBK" w:cs="Times New Roman"/>
          <w:kern w:val="2"/>
          <w:sz w:val="44"/>
          <w:szCs w:val="44"/>
          <w:lang w:val="en-US" w:eastAsia="zh-CN" w:bidi="ar"/>
        </w:rPr>
        <w:t>重庆市石柱土家族自治县三星乡人民政府</w:t>
      </w:r>
    </w:p>
    <w:p>
      <w:pPr>
        <w:pStyle w:val="6"/>
        <w:keepNext w:val="0"/>
        <w:keepLines w:val="0"/>
        <w:pageBreakBefore w:val="0"/>
        <w:kinsoku/>
        <w:wordWrap/>
        <w:overflowPunct/>
        <w:topLinePunct w:val="0"/>
        <w:autoSpaceDN/>
        <w:bidi w:val="0"/>
        <w:adjustRightInd/>
        <w:spacing w:before="0" w:beforeAutospacing="0" w:after="0" w:afterAutospacing="0" w:line="594" w:lineRule="exact"/>
        <w:jc w:val="center"/>
        <w:textAlignment w:val="auto"/>
        <w:rPr>
          <w:rFonts w:hint="default" w:ascii="Times New Roman" w:hAnsi="Times New Roman" w:eastAsia="方正小标宋_GBK" w:cs="Times New Roman"/>
          <w:kern w:val="2"/>
          <w:sz w:val="44"/>
          <w:szCs w:val="44"/>
          <w:lang w:val="en-US" w:eastAsia="zh-CN" w:bidi="ar"/>
        </w:rPr>
      </w:pPr>
      <w:r>
        <w:rPr>
          <w:rFonts w:hint="default" w:ascii="Times New Roman" w:hAnsi="Times New Roman" w:eastAsia="方正小标宋_GBK" w:cs="Times New Roman"/>
          <w:kern w:val="2"/>
          <w:sz w:val="44"/>
          <w:szCs w:val="44"/>
          <w:lang w:val="en-US" w:eastAsia="zh-CN" w:bidi="ar"/>
        </w:rPr>
        <w:t>2023年度决算公开说明</w:t>
      </w:r>
    </w:p>
    <w:p>
      <w:pPr>
        <w:pStyle w:val="6"/>
        <w:keepNext w:val="0"/>
        <w:keepLines w:val="0"/>
        <w:pageBreakBefore w:val="0"/>
        <w:numPr>
          <w:ilvl w:val="0"/>
          <w:numId w:val="0"/>
        </w:numPr>
        <w:shd w:val="clear" w:color="auto"/>
        <w:kinsoku/>
        <w:wordWrap/>
        <w:overflowPunct/>
        <w:topLinePunct w:val="0"/>
        <w:autoSpaceDN/>
        <w:bidi w:val="0"/>
        <w:adjustRightInd/>
        <w:spacing w:before="0" w:beforeAutospacing="0" w:after="0" w:afterAutospacing="0" w:line="594" w:lineRule="exact"/>
        <w:ind w:firstLine="640" w:firstLineChars="200"/>
        <w:jc w:val="both"/>
        <w:textAlignment w:val="auto"/>
        <w:rPr>
          <w:rStyle w:val="10"/>
          <w:rFonts w:hint="default" w:ascii="方正黑体_GBK" w:hAnsi="方正黑体_GBK" w:eastAsia="方正黑体_GBK" w:cs="方正黑体_GBK"/>
          <w:b w:val="0"/>
          <w:bCs/>
          <w:sz w:val="32"/>
          <w:szCs w:val="32"/>
          <w:shd w:val="clear" w:color="auto" w:fill="FFFFFF"/>
        </w:rPr>
      </w:pPr>
    </w:p>
    <w:p>
      <w:pPr>
        <w:pStyle w:val="6"/>
        <w:keepNext w:val="0"/>
        <w:keepLines w:val="0"/>
        <w:pageBreakBefore w:val="0"/>
        <w:numPr>
          <w:ilvl w:val="0"/>
          <w:numId w:val="0"/>
        </w:numPr>
        <w:shd w:val="clear" w:color="auto"/>
        <w:kinsoku/>
        <w:wordWrap/>
        <w:overflowPunct/>
        <w:topLinePunct w:val="0"/>
        <w:autoSpaceDN/>
        <w:bidi w:val="0"/>
        <w:adjustRightInd/>
        <w:spacing w:before="0" w:beforeAutospacing="0" w:after="0" w:afterAutospacing="0" w:line="594" w:lineRule="exact"/>
        <w:ind w:firstLine="640" w:firstLineChars="200"/>
        <w:jc w:val="both"/>
        <w:textAlignment w:val="auto"/>
        <w:rPr>
          <w:rStyle w:val="10"/>
          <w:rFonts w:hint="default" w:ascii="方正黑体_GBK" w:hAnsi="方正黑体_GBK" w:eastAsia="方正黑体_GBK" w:cs="方正黑体_GBK"/>
          <w:b w:val="0"/>
          <w:bCs/>
          <w:sz w:val="32"/>
          <w:szCs w:val="32"/>
          <w:shd w:val="clear" w:color="auto" w:fill="FFFFFF"/>
        </w:rPr>
      </w:pPr>
      <w:r>
        <w:rPr>
          <w:rStyle w:val="10"/>
          <w:rFonts w:hint="default" w:ascii="方正黑体_GBK" w:hAnsi="方正黑体_GBK" w:eastAsia="方正黑体_GBK" w:cs="方正黑体_GBK"/>
          <w:b w:val="0"/>
          <w:bCs/>
          <w:sz w:val="32"/>
          <w:szCs w:val="32"/>
          <w:shd w:val="clear" w:color="auto" w:fill="FFFFFF"/>
        </w:rPr>
        <w:t>一、部门基本情况</w:t>
      </w:r>
    </w:p>
    <w:p>
      <w:pPr>
        <w:keepNext w:val="0"/>
        <w:keepLines w:val="0"/>
        <w:pageBreakBefore w:val="0"/>
        <w:widowControl w:val="0"/>
        <w:suppressLineNumbers w:val="0"/>
        <w:kinsoku/>
        <w:wordWrap/>
        <w:overflowPunct/>
        <w:topLinePunct w:val="0"/>
        <w:autoSpaceDE w:val="0"/>
        <w:autoSpaceDN/>
        <w:bidi w:val="0"/>
        <w:adjustRightInd/>
        <w:spacing w:beforeAutospacing="0" w:afterAutospacing="0" w:line="594" w:lineRule="exact"/>
        <w:ind w:left="0" w:firstLine="640" w:firstLineChars="200"/>
        <w:jc w:val="both"/>
        <w:textAlignment w:val="auto"/>
        <w:rPr>
          <w:rFonts w:hint="eastAsia"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乡党政机构具有党委和政府两种职责，党委领导政府工作，主要是政治思想和方针政策的领导，干部的选拔，考核和监督，经济和行政工作中重大问题的决策。乡政府是基层国家行政机关，行使本行政区的行政职能。</w:t>
      </w:r>
    </w:p>
    <w:p>
      <w:pPr>
        <w:pStyle w:val="12"/>
        <w:keepNext w:val="0"/>
        <w:keepLines w:val="0"/>
        <w:pageBreakBefore w:val="0"/>
        <w:kinsoku/>
        <w:wordWrap/>
        <w:overflowPunct/>
        <w:topLinePunct w:val="0"/>
        <w:autoSpaceDE w:val="0"/>
        <w:autoSpaceDN/>
        <w:bidi w:val="0"/>
        <w:adjustRightInd/>
        <w:spacing w:before="0" w:beforeAutospacing="0" w:after="0" w:afterAutospacing="0" w:line="594" w:lineRule="exact"/>
        <w:ind w:left="0" w:right="0" w:firstLine="640" w:firstLineChars="200"/>
        <w:jc w:val="both"/>
        <w:textAlignment w:val="auto"/>
        <w:rPr>
          <w:rFonts w:hint="default" w:ascii="方正楷体_GBK" w:hAnsi="方正楷体_GBK" w:eastAsia="方正楷体_GBK" w:cs="方正楷体_GBK"/>
          <w:kern w:val="2"/>
          <w:sz w:val="32"/>
          <w:szCs w:val="32"/>
        </w:rPr>
      </w:pPr>
      <w:r>
        <w:rPr>
          <w:rFonts w:hint="eastAsia" w:ascii="方正楷体_GBK" w:hAnsi="方正楷体_GBK" w:eastAsia="方正楷体_GBK" w:cs="方正楷体_GBK"/>
          <w:kern w:val="2"/>
          <w:sz w:val="32"/>
          <w:szCs w:val="32"/>
        </w:rPr>
        <w:t>（一）职能职责</w:t>
      </w:r>
    </w:p>
    <w:p>
      <w:pPr>
        <w:keepNext w:val="0"/>
        <w:keepLines w:val="0"/>
        <w:pageBreakBefore w:val="0"/>
        <w:widowControl w:val="0"/>
        <w:kinsoku/>
        <w:wordWrap/>
        <w:overflowPunct/>
        <w:topLinePunct w:val="0"/>
        <w:autoSpaceDN/>
        <w:bidi w:val="0"/>
        <w:adjustRightInd/>
        <w:snapToGrid/>
        <w:spacing w:beforeAutospacing="0" w:afterAutospacing="0" w:line="594" w:lineRule="exact"/>
        <w:ind w:firstLine="640" w:firstLineChars="200"/>
        <w:jc w:val="both"/>
        <w:textAlignment w:val="auto"/>
        <w:rPr>
          <w:rFonts w:hint="eastAsia" w:ascii="Times New Roman" w:hAnsi="Times New Roman" w:eastAsia="方正仿宋_GBK" w:cs="Times New Roman"/>
          <w:kern w:val="0"/>
          <w:sz w:val="32"/>
          <w:szCs w:val="32"/>
          <w:lang w:val="en-US" w:eastAsia="zh-CN"/>
        </w:rPr>
      </w:pPr>
      <w:r>
        <w:rPr>
          <w:rFonts w:hint="eastAsia" w:ascii="Times New Roman" w:hAnsi="Times New Roman" w:eastAsia="方正仿宋_GBK" w:cs="Times New Roman"/>
          <w:kern w:val="0"/>
          <w:sz w:val="32"/>
          <w:szCs w:val="32"/>
          <w:lang w:val="en-US" w:eastAsia="zh-CN"/>
        </w:rPr>
        <w:t xml:space="preserve">1、党委工作职责：（1）保证党的路线、方针、政策的坚决贯彻执行。（2）保证监督职能。（3）教育和管理职能。（4）服从和服务于经济建设的职能。（5）负责抓好本乡党建工作、群团工作、精神文明建设工作、新闻宣传工作。（6）完成县委、县政府交给的其他工作任务。   </w:t>
      </w:r>
    </w:p>
    <w:p>
      <w:pPr>
        <w:keepNext w:val="0"/>
        <w:keepLines w:val="0"/>
        <w:pageBreakBefore w:val="0"/>
        <w:widowControl w:val="0"/>
        <w:kinsoku/>
        <w:wordWrap/>
        <w:overflowPunct/>
        <w:topLinePunct w:val="0"/>
        <w:autoSpaceDN/>
        <w:bidi w:val="0"/>
        <w:adjustRightInd/>
        <w:snapToGrid/>
        <w:spacing w:beforeAutospacing="0" w:afterAutospacing="0" w:line="594" w:lineRule="exact"/>
        <w:ind w:firstLine="640" w:firstLineChars="200"/>
        <w:jc w:val="both"/>
        <w:textAlignment w:val="auto"/>
        <w:rPr>
          <w:rFonts w:hint="eastAsia" w:ascii="Times New Roman" w:hAnsi="Times New Roman" w:eastAsia="方正仿宋_GBK" w:cs="Times New Roman"/>
          <w:kern w:val="0"/>
          <w:sz w:val="32"/>
          <w:szCs w:val="32"/>
          <w:lang w:val="en-US" w:eastAsia="zh-CN"/>
        </w:rPr>
      </w:pPr>
      <w:r>
        <w:rPr>
          <w:rFonts w:hint="eastAsia" w:ascii="Times New Roman" w:hAnsi="Times New Roman" w:eastAsia="方正仿宋_GBK" w:cs="Times New Roman"/>
          <w:kern w:val="0"/>
          <w:sz w:val="32"/>
          <w:szCs w:val="32"/>
          <w:lang w:val="en-US" w:eastAsia="zh-CN"/>
        </w:rPr>
        <w:t>2、政府职责：（1）制定并组织实施村级建设规划，部署重点工程建设，地方道路建设及公共设施，水利设施的管理，负责土地、林木、水等自然资源和生态环境的保护，做好护林防火工作。（2）负责本行政区域内的民政、计划生育、文化教育、卫生、体育等社会公益事业的综合性工作，维护一切经济单位和个人的正当经济权益，取缔非法经济活动，调解和处理民事纠纷，打击刑事犯罪维护社会稳定。（3）抓好精神文明建设，丰富群众文化生活，提倡移风易俗，反对封建迷信，破除陈规陋习，树立社会主义新风尚。（4）完成上级政府交办的其他事项。</w:t>
      </w:r>
    </w:p>
    <w:p>
      <w:pPr>
        <w:pStyle w:val="6"/>
        <w:keepNext w:val="0"/>
        <w:keepLines w:val="0"/>
        <w:pageBreakBefore w:val="0"/>
        <w:shd w:val="clear" w:color="auto"/>
        <w:kinsoku/>
        <w:wordWrap/>
        <w:overflowPunct/>
        <w:topLinePunct w:val="0"/>
        <w:autoSpaceDN/>
        <w:bidi w:val="0"/>
        <w:adjustRightInd/>
        <w:spacing w:before="0" w:beforeAutospacing="0" w:after="0" w:afterAutospacing="0" w:line="594" w:lineRule="exact"/>
        <w:ind w:firstLine="640" w:firstLineChars="200"/>
        <w:jc w:val="both"/>
        <w:textAlignment w:val="auto"/>
        <w:rPr>
          <w:rFonts w:hint="default"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（二）机构设置</w:t>
      </w:r>
    </w:p>
    <w:p>
      <w:pPr>
        <w:keepNext w:val="0"/>
        <w:keepLines w:val="0"/>
        <w:pageBreakBefore w:val="0"/>
        <w:widowControl w:val="0"/>
        <w:kinsoku/>
        <w:wordWrap/>
        <w:overflowPunct/>
        <w:topLinePunct w:val="0"/>
        <w:autoSpaceDN/>
        <w:bidi w:val="0"/>
        <w:adjustRightInd/>
        <w:snapToGrid/>
        <w:spacing w:beforeAutospacing="0" w:afterAutospacing="0" w:line="594" w:lineRule="exact"/>
        <w:ind w:firstLine="640" w:firstLineChars="200"/>
        <w:jc w:val="both"/>
        <w:textAlignment w:val="auto"/>
        <w:rPr>
          <w:rFonts w:hint="default" w:ascii="Times New Roman" w:hAnsi="Times New Roman" w:eastAsia="方正仿宋_GBK" w:cs="Times New Roman"/>
          <w:kern w:val="0"/>
          <w:sz w:val="32"/>
          <w:szCs w:val="32"/>
          <w:lang w:val="en-US" w:eastAsia="zh-CN"/>
        </w:rPr>
      </w:pPr>
      <w:r>
        <w:rPr>
          <w:rFonts w:hint="eastAsia" w:ascii="Times New Roman" w:hAnsi="Times New Roman" w:eastAsia="方正仿宋_GBK" w:cs="Times New Roman"/>
          <w:kern w:val="0"/>
          <w:sz w:val="32"/>
          <w:szCs w:val="32"/>
          <w:lang w:val="en-US" w:eastAsia="zh-CN"/>
        </w:rPr>
        <w:t>石柱县三星乡人民政府设置党政办公室、党群工作办公室、经济发展办公室、民政和社会事务办公室 、规划建设管理环保办公室、财政办公室、应急管理办公室、综合行政执法办公室8个综合办事机构；设置农业服务中心、文化服务中心、劳动就业和社会保障服务所、退役军人服务站、综合行政执法大队5个财政全额拨款公益一类副科级事业单位。</w:t>
      </w:r>
    </w:p>
    <w:p>
      <w:pPr>
        <w:pStyle w:val="6"/>
        <w:keepNext w:val="0"/>
        <w:keepLines w:val="0"/>
        <w:pageBreakBefore w:val="0"/>
        <w:numPr>
          <w:ilvl w:val="0"/>
          <w:numId w:val="0"/>
        </w:numPr>
        <w:shd w:val="clear" w:color="auto"/>
        <w:kinsoku/>
        <w:wordWrap/>
        <w:overflowPunct/>
        <w:topLinePunct w:val="0"/>
        <w:autoSpaceDN/>
        <w:bidi w:val="0"/>
        <w:adjustRightInd/>
        <w:spacing w:before="0" w:beforeAutospacing="0" w:after="0" w:afterAutospacing="0" w:line="594" w:lineRule="exact"/>
        <w:ind w:firstLine="640" w:firstLineChars="200"/>
        <w:jc w:val="both"/>
        <w:textAlignment w:val="auto"/>
        <w:rPr>
          <w:rStyle w:val="10"/>
          <w:rFonts w:hint="default" w:ascii="方正黑体_GBK" w:hAnsi="方正黑体_GBK" w:eastAsia="方正黑体_GBK" w:cs="方正黑体_GBK"/>
          <w:b w:val="0"/>
          <w:bCs/>
          <w:sz w:val="32"/>
          <w:szCs w:val="32"/>
          <w:shd w:val="clear" w:color="auto" w:fill="FFFFFF"/>
        </w:rPr>
      </w:pPr>
      <w:r>
        <w:rPr>
          <w:rStyle w:val="10"/>
          <w:rFonts w:hint="default" w:ascii="方正黑体_GBK" w:hAnsi="方正黑体_GBK" w:eastAsia="方正黑体_GBK" w:cs="方正黑体_GBK"/>
          <w:b w:val="0"/>
          <w:bCs/>
          <w:sz w:val="32"/>
          <w:szCs w:val="32"/>
          <w:shd w:val="clear" w:color="auto" w:fill="FFFFFF"/>
        </w:rPr>
        <w:t>二、部门决算情况说明</w:t>
      </w:r>
    </w:p>
    <w:p>
      <w:pPr>
        <w:pStyle w:val="11"/>
        <w:keepNext w:val="0"/>
        <w:keepLines w:val="0"/>
        <w:pageBreakBefore w:val="0"/>
        <w:kinsoku/>
        <w:wordWrap/>
        <w:overflowPunct/>
        <w:topLinePunct w:val="0"/>
        <w:autoSpaceDE w:val="0"/>
        <w:autoSpaceDN/>
        <w:bidi w:val="0"/>
        <w:adjustRightInd/>
        <w:spacing w:beforeAutospacing="0" w:afterAutospacing="0" w:line="594" w:lineRule="exact"/>
        <w:ind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（一）收入支出决算总体情况说明</w:t>
      </w:r>
    </w:p>
    <w:p>
      <w:pPr>
        <w:keepNext w:val="0"/>
        <w:keepLines w:val="0"/>
        <w:pageBreakBefore w:val="0"/>
        <w:kinsoku/>
        <w:wordWrap/>
        <w:overflowPunct/>
        <w:topLinePunct w:val="0"/>
        <w:autoSpaceDN/>
        <w:bidi w:val="0"/>
        <w:adjustRightInd/>
        <w:spacing w:beforeAutospacing="0" w:afterAutospacing="0" w:line="594" w:lineRule="exact"/>
        <w:ind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1.总体情况。2023年度收入总计2556.16万元，支出总计2556.16万元。收支较上年决算数减少725.63万元，下降22.11%，主要原因是石星村扶贫车间、下塘村人居环境整治、林业产业提升、毛沟冲至焦家坝公路等项目减少，导致</w:t>
      </w:r>
      <w:r>
        <w:rPr>
          <w:rFonts w:hint="default" w:ascii="Times New Roman" w:hAnsi="Times New Roman" w:eastAsia="方正仿宋_GBK" w:cs="Times New Roman"/>
          <w:kern w:val="0"/>
          <w:sz w:val="32"/>
          <w:szCs w:val="32"/>
          <w:lang w:val="en-US" w:eastAsia="zh-CN" w:bidi="ar-SA"/>
        </w:rPr>
        <w:t>收支较上年减少72</w:t>
      </w:r>
      <w:r>
        <w:rPr>
          <w:rFonts w:hint="eastAsia" w:ascii="Times New Roman" w:hAnsi="Times New Roman" w:eastAsia="方正仿宋_GBK" w:cs="Times New Roman"/>
          <w:kern w:val="0"/>
          <w:sz w:val="32"/>
          <w:szCs w:val="32"/>
          <w:lang w:val="en-US" w:eastAsia="zh-CN" w:bidi="ar-SA"/>
        </w:rPr>
        <w:t>5</w:t>
      </w:r>
      <w:r>
        <w:rPr>
          <w:rFonts w:hint="default" w:ascii="Times New Roman" w:hAnsi="Times New Roman" w:eastAsia="方正仿宋_GBK" w:cs="Times New Roman"/>
          <w:kern w:val="0"/>
          <w:sz w:val="32"/>
          <w:szCs w:val="32"/>
          <w:lang w:val="en-US" w:eastAsia="zh-CN" w:bidi="ar-SA"/>
        </w:rPr>
        <w:t>.</w:t>
      </w:r>
      <w:r>
        <w:rPr>
          <w:rFonts w:hint="eastAsia" w:ascii="Times New Roman" w:hAnsi="Times New Roman" w:eastAsia="方正仿宋_GBK" w:cs="Times New Roman"/>
          <w:kern w:val="0"/>
          <w:sz w:val="32"/>
          <w:szCs w:val="32"/>
          <w:lang w:val="en-US" w:eastAsia="zh-CN" w:bidi="ar-SA"/>
        </w:rPr>
        <w:t>63</w:t>
      </w:r>
      <w:r>
        <w:rPr>
          <w:rFonts w:hint="default" w:ascii="Times New Roman" w:hAnsi="Times New Roman" w:eastAsia="方正仿宋_GBK" w:cs="Times New Roman"/>
          <w:kern w:val="0"/>
          <w:sz w:val="32"/>
          <w:szCs w:val="32"/>
          <w:lang w:val="en-US" w:eastAsia="zh-CN" w:bidi="ar-SA"/>
        </w:rPr>
        <w:t>万元</w:t>
      </w:r>
      <w:r>
        <w:rPr>
          <w:rFonts w:hint="eastAsia" w:ascii="Times New Roman" w:hAnsi="Times New Roman" w:eastAsia="方正仿宋_GBK" w:cs="Times New Roman"/>
          <w:kern w:val="0"/>
          <w:sz w:val="32"/>
          <w:szCs w:val="32"/>
          <w:lang w:val="en-US" w:eastAsia="zh-CN" w:bidi="ar-SA"/>
        </w:rPr>
        <w:t>。</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2.收入情况。2023年度收入合计2556.16万元，较上年决算数减少725.63万元，下降22.11%，主要原因是项目减少，拨款减少，导致全年收入较上年减少。其中：财政拨款收入2556.16万元，占100.00%；事业收入0.00万元，占0.00%；经营收入0.00万元，占0.00%；其他收入0.00万元，占0.00%。此外，使用非财政拨款结余和专用结余0.00万元，年初结转和结余0.00万元。</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3.支出情况。2023年度支出合计2556.16万元，较上年决算数减少725.63万元，下降22.11%，主要原因是项目减少，拨款减少，导致全年支出较上年减少</w:t>
      </w:r>
      <w:r>
        <w:rPr>
          <w:rFonts w:hint="default" w:ascii="Times New Roman" w:hAnsi="Times New Roman" w:eastAsia="方正仿宋_GBK" w:cs="Times New Roman"/>
          <w:kern w:val="0"/>
          <w:sz w:val="32"/>
          <w:szCs w:val="32"/>
          <w:lang w:val="en-US" w:eastAsia="zh-CN" w:bidi="ar-SA"/>
        </w:rPr>
        <w:t>。</w:t>
      </w:r>
      <w:r>
        <w:rPr>
          <w:rFonts w:hint="eastAsia" w:ascii="Times New Roman" w:hAnsi="Times New Roman" w:eastAsia="方正仿宋_GBK" w:cs="Times New Roman"/>
          <w:kern w:val="0"/>
          <w:sz w:val="32"/>
          <w:szCs w:val="32"/>
          <w:lang w:val="en-US" w:eastAsia="zh-CN" w:bidi="ar-SA"/>
        </w:rPr>
        <w:t>其中：基本支出1026.07万元，占40.14%；项目支出1530.09万元，占59.86%；经营支出0.00万元，占0.00%。此外，结余分配0.00万元。</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4.结转结余情况。2023年度年末结转和结余0.00万元，较上年决算数无增减，主要原因是我部门</w:t>
      </w:r>
      <w:r>
        <w:rPr>
          <w:rFonts w:hint="default" w:ascii="Times New Roman" w:hAnsi="Times New Roman" w:eastAsia="方正仿宋_GBK" w:cs="Times New Roman"/>
          <w:kern w:val="2"/>
          <w:sz w:val="32"/>
          <w:szCs w:val="32"/>
        </w:rPr>
        <w:t>按照年初有计划才有支出的原则进行安排和运转，无结转结余，所以增长率为0%。</w:t>
      </w:r>
    </w:p>
    <w:p>
      <w:pPr>
        <w:pStyle w:val="11"/>
        <w:keepNext w:val="0"/>
        <w:keepLines w:val="0"/>
        <w:pageBreakBefore w:val="0"/>
        <w:kinsoku/>
        <w:wordWrap/>
        <w:overflowPunct/>
        <w:topLinePunct w:val="0"/>
        <w:autoSpaceDE w:val="0"/>
        <w:autoSpaceDN/>
        <w:bidi w:val="0"/>
        <w:adjustRightInd/>
        <w:spacing w:beforeAutospacing="0" w:afterAutospacing="0" w:line="594" w:lineRule="exact"/>
        <w:ind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（二）财政拨款收入支出决算总体情况说明</w:t>
      </w:r>
    </w:p>
    <w:p>
      <w:pPr>
        <w:keepNext w:val="0"/>
        <w:keepLines w:val="0"/>
        <w:pageBreakBefore w:val="0"/>
        <w:kinsoku/>
        <w:wordWrap/>
        <w:overflowPunct/>
        <w:topLinePunct w:val="0"/>
        <w:autoSpaceDN/>
        <w:bidi w:val="0"/>
        <w:adjustRightInd/>
        <w:spacing w:beforeAutospacing="0" w:afterAutospacing="0" w:line="594" w:lineRule="exact"/>
        <w:ind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2023年度财政拨款收、支总计2556.16万元。与2022年相比，财政拨款收、支总计各减少725.63万元，下降22.11%。主要原因是石星村扶贫车间、下塘村人居环境整治、林业产业提升、毛沟冲至焦家坝公路等项目减少，导致</w:t>
      </w:r>
      <w:r>
        <w:rPr>
          <w:rFonts w:hint="default" w:ascii="Times New Roman" w:hAnsi="Times New Roman" w:eastAsia="方正仿宋_GBK" w:cs="Times New Roman"/>
          <w:kern w:val="0"/>
          <w:sz w:val="32"/>
          <w:szCs w:val="32"/>
          <w:lang w:val="en-US" w:eastAsia="zh-CN" w:bidi="ar-SA"/>
        </w:rPr>
        <w:t>收支较上年减少72</w:t>
      </w:r>
      <w:r>
        <w:rPr>
          <w:rFonts w:hint="eastAsia" w:ascii="Times New Roman" w:hAnsi="Times New Roman" w:eastAsia="方正仿宋_GBK" w:cs="Times New Roman"/>
          <w:kern w:val="0"/>
          <w:sz w:val="32"/>
          <w:szCs w:val="32"/>
          <w:lang w:val="en-US" w:eastAsia="zh-CN" w:bidi="ar-SA"/>
        </w:rPr>
        <w:t>5</w:t>
      </w:r>
      <w:r>
        <w:rPr>
          <w:rFonts w:hint="default" w:ascii="Times New Roman" w:hAnsi="Times New Roman" w:eastAsia="方正仿宋_GBK" w:cs="Times New Roman"/>
          <w:kern w:val="0"/>
          <w:sz w:val="32"/>
          <w:szCs w:val="32"/>
          <w:lang w:val="en-US" w:eastAsia="zh-CN" w:bidi="ar-SA"/>
        </w:rPr>
        <w:t>.</w:t>
      </w:r>
      <w:r>
        <w:rPr>
          <w:rFonts w:hint="eastAsia" w:ascii="Times New Roman" w:hAnsi="Times New Roman" w:eastAsia="方正仿宋_GBK" w:cs="Times New Roman"/>
          <w:kern w:val="0"/>
          <w:sz w:val="32"/>
          <w:szCs w:val="32"/>
          <w:lang w:val="en-US" w:eastAsia="zh-CN" w:bidi="ar-SA"/>
        </w:rPr>
        <w:t>63</w:t>
      </w:r>
      <w:r>
        <w:rPr>
          <w:rFonts w:hint="default" w:ascii="Times New Roman" w:hAnsi="Times New Roman" w:eastAsia="方正仿宋_GBK" w:cs="Times New Roman"/>
          <w:kern w:val="0"/>
          <w:sz w:val="32"/>
          <w:szCs w:val="32"/>
          <w:lang w:val="en-US" w:eastAsia="zh-CN" w:bidi="ar-SA"/>
        </w:rPr>
        <w:t>万元</w:t>
      </w:r>
      <w:r>
        <w:rPr>
          <w:rFonts w:hint="eastAsia" w:ascii="Times New Roman" w:hAnsi="Times New Roman" w:eastAsia="方正仿宋_GBK" w:cs="Times New Roman"/>
          <w:kern w:val="0"/>
          <w:sz w:val="32"/>
          <w:szCs w:val="32"/>
          <w:lang w:val="en-US" w:eastAsia="zh-CN" w:bidi="ar-SA"/>
        </w:rPr>
        <w:t>。</w:t>
      </w:r>
    </w:p>
    <w:p>
      <w:pPr>
        <w:pStyle w:val="11"/>
        <w:keepNext w:val="0"/>
        <w:keepLines w:val="0"/>
        <w:pageBreakBefore w:val="0"/>
        <w:kinsoku/>
        <w:wordWrap/>
        <w:overflowPunct/>
        <w:topLinePunct w:val="0"/>
        <w:autoSpaceDE w:val="0"/>
        <w:autoSpaceDN/>
        <w:bidi w:val="0"/>
        <w:adjustRightInd/>
        <w:spacing w:beforeAutospacing="0" w:afterAutospacing="0" w:line="594" w:lineRule="exact"/>
        <w:ind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（三）一般公共预算财政拨款收入支出决算情况说明</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1.收入情况。2023年度一般公共预算财政拨款收入2526.78万元，较上年决算数减少737.75万元，下降22.60%。主要原因是</w:t>
      </w:r>
      <w:r>
        <w:rPr>
          <w:rFonts w:hint="eastAsia" w:ascii="Times New Roman" w:hAnsi="Times New Roman" w:eastAsia="方正仿宋_GBK" w:cs="Times New Roman"/>
          <w:sz w:val="32"/>
          <w:szCs w:val="32"/>
          <w:shd w:val="clear" w:color="auto" w:fill="FFFFFF"/>
          <w:lang w:val="en-US" w:eastAsia="zh-CN" w:bidi="ar-SA"/>
        </w:rPr>
        <w:t>项目减少，导致一般公共预算资金拨款较上年减少</w:t>
      </w:r>
      <w:r>
        <w:rPr>
          <w:rFonts w:hint="default" w:ascii="Times New Roman" w:hAnsi="Times New Roman" w:eastAsia="方正仿宋_GBK" w:cs="Times New Roman"/>
          <w:kern w:val="0"/>
          <w:sz w:val="32"/>
          <w:szCs w:val="32"/>
          <w:lang w:val="en-US" w:eastAsia="zh-CN" w:bidi="ar-SA"/>
        </w:rPr>
        <w:t>。</w:t>
      </w:r>
      <w:r>
        <w:rPr>
          <w:rFonts w:hint="eastAsia" w:ascii="Times New Roman" w:hAnsi="Times New Roman" w:eastAsia="方正仿宋_GBK" w:cs="Times New Roman"/>
          <w:kern w:val="0"/>
          <w:sz w:val="32"/>
          <w:szCs w:val="32"/>
          <w:lang w:val="en-US" w:eastAsia="zh-CN" w:bidi="ar-SA"/>
        </w:rPr>
        <w:t>较年初预算数增加1354.27万元，增长115.50%。主要原因是</w:t>
      </w:r>
      <w:r>
        <w:rPr>
          <w:rFonts w:hint="eastAsia" w:ascii="Times New Roman" w:hAnsi="Times New Roman" w:eastAsia="方正仿宋_GBK" w:cs="Times New Roman"/>
          <w:sz w:val="32"/>
          <w:szCs w:val="32"/>
          <w:shd w:val="clear" w:color="auto" w:fill="FFFFFF"/>
          <w:lang w:val="en-US" w:eastAsia="zh-CN" w:bidi="ar-SA"/>
        </w:rPr>
        <w:t>年中追加了产业发展补助、关门岩至上高歇窄路面扩宽工程等项目预算</w:t>
      </w:r>
      <w:r>
        <w:rPr>
          <w:rFonts w:hint="eastAsia" w:ascii="Times New Roman" w:hAnsi="Times New Roman" w:eastAsia="方正仿宋_GBK" w:cs="Times New Roman"/>
          <w:kern w:val="0"/>
          <w:sz w:val="32"/>
          <w:szCs w:val="32"/>
          <w:lang w:val="en-US" w:eastAsia="zh-CN" w:bidi="ar-SA"/>
        </w:rPr>
        <w:t>。此外，年初财政拨款结转和结余0.00万元。</w:t>
      </w:r>
    </w:p>
    <w:p>
      <w:pPr>
        <w:keepNext w:val="0"/>
        <w:keepLines w:val="0"/>
        <w:pageBreakBefore w:val="0"/>
        <w:kinsoku/>
        <w:wordWrap/>
        <w:overflowPunct/>
        <w:topLinePunct w:val="0"/>
        <w:autoSpaceDN/>
        <w:bidi w:val="0"/>
        <w:adjustRightInd/>
        <w:spacing w:beforeAutospacing="0" w:afterAutospacing="0" w:line="594" w:lineRule="exact"/>
        <w:ind w:firstLine="640" w:firstLineChars="200"/>
        <w:jc w:val="both"/>
        <w:textAlignment w:val="auto"/>
        <w:rPr>
          <w:rFonts w:hint="default" w:ascii="Times New Roman" w:hAnsi="Times New Roman" w:eastAsia="方正仿宋_GBK" w:cs="Times New Roman"/>
          <w:sz w:val="32"/>
          <w:szCs w:val="32"/>
          <w:shd w:val="clear" w:color="auto" w:fill="FFFFFF"/>
          <w:lang w:val="en-US" w:eastAsia="zh-CN" w:bidi="ar-SA"/>
        </w:rPr>
      </w:pPr>
      <w:r>
        <w:rPr>
          <w:rFonts w:hint="eastAsia" w:ascii="Times New Roman" w:hAnsi="Times New Roman" w:eastAsia="方正仿宋_GBK" w:cs="Times New Roman"/>
          <w:kern w:val="0"/>
          <w:sz w:val="32"/>
          <w:szCs w:val="32"/>
          <w:lang w:val="en-US" w:eastAsia="zh-CN" w:bidi="ar-SA"/>
        </w:rPr>
        <w:t>2.支出情况。2023年度一般公共预算财政拨款支出2526.78万元，较上年决算数减少737.75万元，下降22.60%。主要原因是</w:t>
      </w:r>
      <w:r>
        <w:rPr>
          <w:rFonts w:hint="eastAsia" w:ascii="Times New Roman" w:hAnsi="Times New Roman" w:eastAsia="方正仿宋_GBK" w:cs="Times New Roman"/>
          <w:sz w:val="32"/>
          <w:szCs w:val="32"/>
          <w:shd w:val="clear" w:color="auto" w:fill="FFFFFF"/>
          <w:lang w:val="en-US" w:eastAsia="zh-CN" w:bidi="ar-SA"/>
        </w:rPr>
        <w:t>项目减少，导致</w:t>
      </w:r>
      <w:r>
        <w:rPr>
          <w:rFonts w:hint="default" w:ascii="Times New Roman" w:hAnsi="Times New Roman" w:eastAsia="方正仿宋_GBK" w:cs="Times New Roman"/>
          <w:sz w:val="32"/>
          <w:szCs w:val="32"/>
          <w:shd w:val="clear" w:color="auto" w:fill="FFFFFF"/>
          <w:lang w:val="en-US" w:eastAsia="zh-CN" w:bidi="ar-SA"/>
        </w:rPr>
        <w:t>一般公共预算</w:t>
      </w:r>
      <w:r>
        <w:rPr>
          <w:rFonts w:hint="eastAsia" w:ascii="Times New Roman" w:hAnsi="Times New Roman" w:eastAsia="方正仿宋_GBK" w:cs="Times New Roman"/>
          <w:sz w:val="32"/>
          <w:szCs w:val="32"/>
          <w:shd w:val="clear" w:color="auto" w:fill="FFFFFF"/>
          <w:lang w:val="en-US" w:eastAsia="zh-CN" w:bidi="ar-SA"/>
        </w:rPr>
        <w:t>支出较上年减少</w:t>
      </w:r>
      <w:r>
        <w:rPr>
          <w:rFonts w:hint="default" w:ascii="Times New Roman" w:hAnsi="Times New Roman" w:eastAsia="方正仿宋_GBK" w:cs="Times New Roman"/>
          <w:kern w:val="0"/>
          <w:sz w:val="32"/>
          <w:szCs w:val="32"/>
          <w:lang w:val="en-US" w:eastAsia="zh-CN" w:bidi="ar-SA"/>
        </w:rPr>
        <w:t>。</w:t>
      </w:r>
      <w:r>
        <w:rPr>
          <w:rFonts w:hint="eastAsia" w:ascii="Times New Roman" w:hAnsi="Times New Roman" w:eastAsia="方正仿宋_GBK" w:cs="Times New Roman"/>
          <w:kern w:val="0"/>
          <w:sz w:val="32"/>
          <w:szCs w:val="32"/>
          <w:lang w:val="en-US" w:eastAsia="zh-CN" w:bidi="ar-SA"/>
        </w:rPr>
        <w:t>较年初预算数增加1354.27万元，增长115.50%。主要原因是</w:t>
      </w:r>
      <w:r>
        <w:rPr>
          <w:rFonts w:hint="eastAsia" w:ascii="Times New Roman" w:hAnsi="Times New Roman" w:eastAsia="方正仿宋_GBK" w:cs="Times New Roman"/>
          <w:sz w:val="32"/>
          <w:szCs w:val="32"/>
          <w:shd w:val="clear" w:color="auto" w:fill="FFFFFF"/>
          <w:lang w:val="en-US" w:eastAsia="zh-CN" w:bidi="ar-SA"/>
        </w:rPr>
        <w:t>年中追加了产业发展补助、关门岩至上高歇窄路面扩宽工程等项目预算。</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2"/>
          <w:sz w:val="32"/>
          <w:szCs w:val="32"/>
          <w:shd w:val="clear" w:fill="FFFFFF"/>
        </w:rPr>
      </w:pPr>
      <w:r>
        <w:rPr>
          <w:rFonts w:hint="eastAsia" w:ascii="Times New Roman" w:hAnsi="Times New Roman" w:eastAsia="方正仿宋_GBK" w:cs="Times New Roman"/>
          <w:kern w:val="0"/>
          <w:sz w:val="32"/>
          <w:szCs w:val="32"/>
          <w:lang w:val="en-US" w:eastAsia="zh-CN" w:bidi="ar-SA"/>
        </w:rPr>
        <w:t>3.结转结余情况。2023年度年末一般公共预算财政拨款结转和结余0.00万元，</w:t>
      </w:r>
      <w:r>
        <w:rPr>
          <w:rFonts w:hint="default" w:ascii="Times New Roman" w:hAnsi="Times New Roman" w:eastAsia="方正仿宋_GBK" w:cs="Times New Roman"/>
          <w:sz w:val="32"/>
          <w:szCs w:val="32"/>
          <w:shd w:val="clear" w:color="auto" w:fill="FFFFFF"/>
          <w:lang w:val="en-US" w:eastAsia="zh-CN" w:bidi="ar-SA"/>
        </w:rPr>
        <w:t>较上年决算数无增减</w:t>
      </w:r>
      <w:r>
        <w:rPr>
          <w:rFonts w:hint="eastAsia" w:ascii="Times New Roman" w:hAnsi="Times New Roman" w:eastAsia="方正仿宋_GBK" w:cs="Times New Roman"/>
          <w:sz w:val="32"/>
          <w:szCs w:val="32"/>
          <w:shd w:val="clear" w:color="auto" w:fill="FFFFFF"/>
          <w:lang w:val="en-US" w:eastAsia="zh-CN" w:bidi="ar-SA"/>
        </w:rPr>
        <w:t>，</w:t>
      </w:r>
      <w:r>
        <w:rPr>
          <w:rFonts w:hint="default" w:ascii="Times New Roman" w:hAnsi="Times New Roman" w:eastAsia="方正仿宋_GBK" w:cs="Times New Roman"/>
          <w:kern w:val="2"/>
          <w:sz w:val="32"/>
          <w:szCs w:val="32"/>
          <w:shd w:val="clear" w:fill="FFFFFF"/>
        </w:rPr>
        <w:t>主要原因是我</w:t>
      </w:r>
      <w:r>
        <w:rPr>
          <w:rFonts w:hint="eastAsia" w:ascii="Times New Roman" w:hAnsi="Times New Roman" w:eastAsia="方正仿宋_GBK" w:cs="Times New Roman"/>
          <w:kern w:val="2"/>
          <w:sz w:val="32"/>
          <w:szCs w:val="32"/>
          <w:shd w:val="clear" w:fill="FFFFFF"/>
          <w:lang w:val="en-US" w:eastAsia="zh-CN"/>
        </w:rPr>
        <w:t>部门</w:t>
      </w:r>
      <w:r>
        <w:rPr>
          <w:rFonts w:hint="default" w:ascii="Times New Roman" w:hAnsi="Times New Roman" w:eastAsia="方正仿宋_GBK" w:cs="Times New Roman"/>
          <w:kern w:val="2"/>
          <w:sz w:val="32"/>
          <w:szCs w:val="32"/>
          <w:shd w:val="clear" w:fill="FFFFFF"/>
        </w:rPr>
        <w:t>按照年初有计划才有支出的原则进行安排和运转，无结转结余。</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 xml:space="preserve"> 4.比较情况。本部门2023年度一般公共预算财政拨款支出主要用于以下几个方面：</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ascii="方正仿宋_GBK" w:hAnsi="方正仿宋_GBK" w:eastAsia="方正仿宋_GBK" w:cs="方正仿宋_GBK"/>
          <w:i w:val="0"/>
          <w:iCs w:val="0"/>
          <w:caps w:val="0"/>
          <w:color w:val="000000"/>
          <w:spacing w:val="0"/>
          <w:sz w:val="31"/>
          <w:szCs w:val="31"/>
        </w:rPr>
      </w:pPr>
      <w:r>
        <w:rPr>
          <w:rFonts w:hint="eastAsia" w:ascii="Times New Roman" w:hAnsi="Times New Roman" w:eastAsia="方正仿宋_GBK" w:cs="Times New Roman"/>
          <w:kern w:val="0"/>
          <w:sz w:val="32"/>
          <w:szCs w:val="32"/>
          <w:lang w:val="en-US" w:eastAsia="zh-CN" w:bidi="ar-SA"/>
        </w:rPr>
        <w:t>（1）一般公共服务支出556.76万元，占22.03%，较年初预算数增加114.00万元，增长25.75%，主要原因是</w:t>
      </w:r>
      <w:r>
        <w:rPr>
          <w:rFonts w:hint="eastAsia" w:ascii="Times New Roman" w:hAnsi="Times New Roman" w:eastAsia="方正仿宋_GBK" w:cs="Times New Roman"/>
          <w:sz w:val="32"/>
          <w:szCs w:val="32"/>
          <w:shd w:val="clear" w:color="auto" w:fill="FFFFFF"/>
          <w:lang w:val="en-US" w:eastAsia="zh-CN" w:bidi="ar-SA"/>
        </w:rPr>
        <w:t>人员增加以及</w:t>
      </w:r>
      <w:r>
        <w:rPr>
          <w:rFonts w:hint="default" w:ascii="Times New Roman" w:hAnsi="Times New Roman" w:eastAsia="方正仿宋_GBK" w:cs="Times New Roman"/>
          <w:sz w:val="32"/>
          <w:szCs w:val="32"/>
          <w:shd w:val="clear" w:color="auto" w:fill="FFFFFF"/>
          <w:lang w:val="en-US" w:eastAsia="zh-CN" w:bidi="ar-SA"/>
        </w:rPr>
        <w:t>人员工资调标导致人员类支出增加。</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（2）文化旅游体育与传媒支出14.28万元，占0.57%，较年初预算数增加1.58万元，增长12.44%，主要原因是文化项目</w:t>
      </w:r>
      <w:r>
        <w:rPr>
          <w:rFonts w:hint="default" w:ascii="Times New Roman" w:hAnsi="Times New Roman" w:eastAsia="方正仿宋_GBK" w:cs="Times New Roman"/>
          <w:kern w:val="0"/>
          <w:sz w:val="32"/>
          <w:szCs w:val="32"/>
          <w:lang w:val="en-US" w:eastAsia="zh-CN" w:bidi="ar-SA"/>
        </w:rPr>
        <w:t>增加。</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sz w:val="32"/>
          <w:szCs w:val="32"/>
          <w:shd w:val="clear" w:color="auto" w:fill="FFFFFF"/>
          <w:lang w:val="en-US" w:eastAsia="zh-CN" w:bidi="ar-SA"/>
        </w:rPr>
      </w:pPr>
      <w:r>
        <w:rPr>
          <w:rFonts w:hint="eastAsia" w:ascii="Times New Roman" w:hAnsi="Times New Roman" w:eastAsia="方正仿宋_GBK" w:cs="Times New Roman"/>
          <w:kern w:val="0"/>
          <w:sz w:val="32"/>
          <w:szCs w:val="32"/>
          <w:lang w:val="en-US" w:eastAsia="zh-CN" w:bidi="ar-SA"/>
        </w:rPr>
        <w:t>（3）社会保障与就业支出387.23万元，占15.33%，较年初预算数增加153.38万元，增长65.59%，主要原因是</w:t>
      </w:r>
      <w:r>
        <w:rPr>
          <w:rFonts w:hint="eastAsia" w:ascii="Times New Roman" w:hAnsi="Times New Roman" w:eastAsia="方正仿宋_GBK" w:cs="Times New Roman"/>
          <w:sz w:val="32"/>
          <w:szCs w:val="32"/>
          <w:shd w:val="clear" w:color="auto" w:fill="FFFFFF"/>
          <w:lang w:val="en-US" w:eastAsia="zh-CN"/>
        </w:rPr>
        <w:t>保险基数调整，</w:t>
      </w:r>
      <w:r>
        <w:rPr>
          <w:rFonts w:hint="default" w:ascii="Times New Roman" w:hAnsi="Times New Roman" w:eastAsia="方正仿宋_GBK" w:cs="Times New Roman"/>
          <w:sz w:val="32"/>
          <w:szCs w:val="32"/>
          <w:shd w:val="clear" w:color="auto" w:fill="FFFFFF"/>
          <w:lang w:val="en-US" w:eastAsia="zh-CN" w:bidi="ar-SA"/>
        </w:rPr>
        <w:t>职业年金和养老保险支出增加</w:t>
      </w:r>
      <w:r>
        <w:rPr>
          <w:rFonts w:hint="eastAsia" w:ascii="Times New Roman" w:hAnsi="Times New Roman" w:eastAsia="方正仿宋_GBK" w:cs="Times New Roman"/>
          <w:sz w:val="32"/>
          <w:szCs w:val="32"/>
          <w:shd w:val="clear" w:color="auto" w:fill="FFFFFF"/>
          <w:lang w:val="en-US" w:eastAsia="zh-CN" w:bidi="ar-SA"/>
        </w:rPr>
        <w:t>。</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（4）卫生健康支出54.17万元，占2.14%，较年初预算数增加11.46万元，增长26.83%，主要原因是</w:t>
      </w:r>
      <w:r>
        <w:rPr>
          <w:rFonts w:hint="eastAsia" w:ascii="Times New Roman" w:hAnsi="Times New Roman" w:eastAsia="方正仿宋_GBK" w:cs="Times New Roman"/>
          <w:sz w:val="32"/>
          <w:szCs w:val="32"/>
          <w:shd w:val="clear" w:color="auto" w:fill="FFFFFF"/>
          <w:lang w:val="en-US" w:eastAsia="zh-CN" w:bidi="ar-SA"/>
        </w:rPr>
        <w:t>疫情</w:t>
      </w:r>
      <w:r>
        <w:rPr>
          <w:rFonts w:hint="default" w:ascii="Times New Roman" w:hAnsi="Times New Roman" w:eastAsia="方正仿宋_GBK" w:cs="Times New Roman"/>
          <w:sz w:val="32"/>
          <w:szCs w:val="32"/>
          <w:shd w:val="clear" w:color="auto" w:fill="FFFFFF"/>
          <w:lang w:val="en-US" w:eastAsia="zh-CN" w:bidi="ar-SA"/>
        </w:rPr>
        <w:t>防控经费增加。</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（5）节能环保支出79.99万元，占3.17%，较年初预算数增加79.99万元，增长100.00%，主要原因是红光居民点人居环境整治项目</w:t>
      </w:r>
      <w:r>
        <w:rPr>
          <w:rFonts w:hint="default" w:ascii="Times New Roman" w:hAnsi="Times New Roman" w:eastAsia="方正仿宋_GBK" w:cs="Times New Roman"/>
          <w:kern w:val="0"/>
          <w:sz w:val="32"/>
          <w:szCs w:val="32"/>
          <w:lang w:val="en-US" w:eastAsia="zh-CN" w:bidi="ar-SA"/>
        </w:rPr>
        <w:t>、农村生活垃圾分类示范建设项目支出增加。</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（6）城乡社区支出16.07万元，占0.64%，较年初预算数增加16.07万元，增长100.00%，主要原因是</w:t>
      </w:r>
      <w:r>
        <w:rPr>
          <w:rFonts w:hint="default" w:ascii="Times New Roman" w:hAnsi="Times New Roman" w:eastAsia="方正仿宋_GBK" w:cs="Times New Roman"/>
          <w:kern w:val="0"/>
          <w:sz w:val="32"/>
          <w:szCs w:val="32"/>
          <w:lang w:val="en-US" w:eastAsia="zh-CN" w:bidi="ar-SA"/>
        </w:rPr>
        <w:t>农村生活垃圾收运、乡镇场镇市政管理、困难群众燃气报警装置、非库区群测群防员补助项目</w:t>
      </w:r>
      <w:r>
        <w:rPr>
          <w:rFonts w:hint="eastAsia" w:ascii="Times New Roman" w:hAnsi="Times New Roman" w:eastAsia="方正仿宋_GBK" w:cs="Times New Roman"/>
          <w:kern w:val="0"/>
          <w:sz w:val="32"/>
          <w:szCs w:val="32"/>
          <w:lang w:val="en-US" w:eastAsia="zh-CN" w:bidi="ar-SA"/>
        </w:rPr>
        <w:t>、雷庄村抗旱应急水源工程、地质灾害搬迁等项目</w:t>
      </w:r>
      <w:r>
        <w:rPr>
          <w:rFonts w:hint="default" w:ascii="Times New Roman" w:hAnsi="Times New Roman" w:eastAsia="方正仿宋_GBK" w:cs="Times New Roman"/>
          <w:kern w:val="0"/>
          <w:sz w:val="32"/>
          <w:szCs w:val="32"/>
          <w:lang w:val="en-US" w:eastAsia="zh-CN" w:bidi="ar-SA"/>
        </w:rPr>
        <w:t>支出增加。</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（7）农林水支出931.20万元，占36.85%，较年初预算数增加542.50万元，增长139.57%，主要原因是</w:t>
      </w:r>
      <w:r>
        <w:rPr>
          <w:rFonts w:hint="default" w:ascii="Times New Roman" w:hAnsi="Times New Roman" w:eastAsia="方正仿宋_GBK" w:cs="Times New Roman"/>
          <w:kern w:val="0"/>
          <w:sz w:val="32"/>
          <w:szCs w:val="32"/>
          <w:lang w:val="en-US" w:eastAsia="zh-CN" w:bidi="ar-SA"/>
        </w:rPr>
        <w:t>农村饮用水源保护提质</w:t>
      </w:r>
      <w:r>
        <w:rPr>
          <w:rFonts w:hint="eastAsia" w:ascii="Times New Roman" w:hAnsi="Times New Roman" w:eastAsia="方正仿宋_GBK" w:cs="Times New Roman"/>
          <w:kern w:val="0"/>
          <w:sz w:val="32"/>
          <w:szCs w:val="32"/>
          <w:lang w:val="en-US" w:eastAsia="zh-CN" w:bidi="ar-SA"/>
        </w:rPr>
        <w:t>、下塘村风光组产业便道项目、三树村美丽乡村建设、观音村腊肉加工厂建设、三树村农田水利灌溉建设、趴子丘至垭口窄路面扩宽工程、观音村集体经济项目</w:t>
      </w:r>
      <w:r>
        <w:rPr>
          <w:rFonts w:hint="default" w:ascii="Times New Roman" w:hAnsi="Times New Roman" w:eastAsia="方正仿宋_GBK" w:cs="Times New Roman"/>
          <w:kern w:val="0"/>
          <w:sz w:val="32"/>
          <w:szCs w:val="32"/>
          <w:lang w:val="en-US" w:eastAsia="zh-CN" w:bidi="ar-SA"/>
        </w:rPr>
        <w:t>等项目支出增加。</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（8）交通运输支出396.21万元，占15.68%，较年初预算数增加396.21万元，增长100.00%，主要原因是</w:t>
      </w:r>
      <w:r>
        <w:rPr>
          <w:rFonts w:hint="default" w:ascii="Times New Roman" w:hAnsi="Times New Roman" w:eastAsia="方正仿宋_GBK" w:cs="Times New Roman"/>
          <w:kern w:val="0"/>
          <w:sz w:val="32"/>
          <w:szCs w:val="32"/>
          <w:lang w:val="en-US" w:eastAsia="zh-CN" w:bidi="ar-SA"/>
        </w:rPr>
        <w:t>关门岩至上高歇公路</w:t>
      </w:r>
      <w:r>
        <w:rPr>
          <w:rFonts w:hint="eastAsia" w:ascii="Times New Roman" w:hAnsi="Times New Roman" w:eastAsia="方正仿宋_GBK" w:cs="Times New Roman"/>
          <w:kern w:val="0"/>
          <w:sz w:val="32"/>
          <w:szCs w:val="32"/>
          <w:lang w:val="en-US" w:eastAsia="zh-CN" w:bidi="ar-SA"/>
        </w:rPr>
        <w:t>、三根树至丰都界通畅工程、观音村竹台子公路、观音村羊场公路、雷庄村上坪公路、石星村熊家院子公路、官渡河桥梁工程、柏树塝至高院子通畅工程、五斗村平安公路</w:t>
      </w:r>
      <w:r>
        <w:rPr>
          <w:rFonts w:hint="default" w:ascii="Times New Roman" w:hAnsi="Times New Roman" w:eastAsia="方正仿宋_GBK" w:cs="Times New Roman"/>
          <w:kern w:val="0"/>
          <w:sz w:val="32"/>
          <w:szCs w:val="32"/>
          <w:lang w:val="en-US" w:eastAsia="zh-CN" w:bidi="ar-SA"/>
        </w:rPr>
        <w:t>等</w:t>
      </w:r>
      <w:r>
        <w:rPr>
          <w:rFonts w:hint="eastAsia" w:ascii="Times New Roman" w:hAnsi="Times New Roman" w:eastAsia="方正仿宋_GBK" w:cs="Times New Roman"/>
          <w:kern w:val="0"/>
          <w:sz w:val="32"/>
          <w:szCs w:val="32"/>
          <w:lang w:val="en-US" w:eastAsia="zh-CN" w:bidi="ar-SA"/>
        </w:rPr>
        <w:t>项目</w:t>
      </w:r>
      <w:r>
        <w:rPr>
          <w:rFonts w:hint="default" w:ascii="Times New Roman" w:hAnsi="Times New Roman" w:eastAsia="方正仿宋_GBK" w:cs="Times New Roman"/>
          <w:kern w:val="0"/>
          <w:sz w:val="32"/>
          <w:szCs w:val="32"/>
          <w:lang w:val="en-US" w:eastAsia="zh-CN" w:bidi="ar-SA"/>
        </w:rPr>
        <w:t>支出增加。</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 xml:space="preserve">（9）商业服务业等支出27.00万元，占1.07%，较年初预算数增加27.00万元，增长100.00%，主要原因是农贸市场提升改造项目支出增加。  </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sz w:val="32"/>
          <w:szCs w:val="32"/>
          <w:shd w:val="clear" w:color="auto" w:fill="FFFFFF"/>
          <w:lang w:val="en-US" w:eastAsia="zh-CN" w:bidi="ar-SA"/>
        </w:rPr>
      </w:pPr>
      <w:r>
        <w:rPr>
          <w:rFonts w:hint="eastAsia" w:ascii="Times New Roman" w:hAnsi="Times New Roman" w:eastAsia="方正仿宋_GBK" w:cs="Times New Roman"/>
          <w:kern w:val="0"/>
          <w:sz w:val="32"/>
          <w:szCs w:val="32"/>
          <w:lang w:val="en-US" w:eastAsia="zh-CN" w:bidi="ar-SA"/>
        </w:rPr>
        <w:t>（10）住房保障支出49.48万元，占1.96%，较年初预算数减少2.31万元，下降4.46%，主要原因是</w:t>
      </w:r>
      <w:r>
        <w:rPr>
          <w:rFonts w:hint="eastAsia" w:ascii="Times New Roman" w:hAnsi="Times New Roman" w:eastAsia="方正仿宋_GBK" w:cs="Times New Roman"/>
          <w:sz w:val="32"/>
          <w:szCs w:val="32"/>
          <w:shd w:val="clear" w:color="auto" w:fill="FFFFFF"/>
          <w:lang w:val="en-US" w:eastAsia="zh-CN" w:bidi="ar-SA"/>
        </w:rPr>
        <w:t>住房公积金基数调整，</w:t>
      </w:r>
      <w:r>
        <w:rPr>
          <w:rFonts w:hint="default" w:ascii="Times New Roman" w:hAnsi="Times New Roman" w:eastAsia="方正仿宋_GBK" w:cs="Times New Roman"/>
          <w:sz w:val="32"/>
          <w:szCs w:val="32"/>
          <w:shd w:val="clear" w:color="auto" w:fill="FFFFFF"/>
          <w:lang w:val="en-US" w:eastAsia="zh-CN" w:bidi="ar-SA"/>
        </w:rPr>
        <w:t>公积金支出</w:t>
      </w:r>
      <w:r>
        <w:rPr>
          <w:rFonts w:hint="eastAsia" w:ascii="Times New Roman" w:hAnsi="Times New Roman" w:eastAsia="方正仿宋_GBK" w:cs="Times New Roman"/>
          <w:sz w:val="32"/>
          <w:szCs w:val="32"/>
          <w:shd w:val="clear" w:color="auto" w:fill="FFFFFF"/>
          <w:lang w:val="en-US" w:eastAsia="zh-CN" w:bidi="ar-SA"/>
        </w:rPr>
        <w:t>减少</w:t>
      </w:r>
      <w:r>
        <w:rPr>
          <w:rFonts w:hint="default" w:ascii="Times New Roman" w:hAnsi="Times New Roman" w:eastAsia="方正仿宋_GBK" w:cs="Times New Roman"/>
          <w:sz w:val="32"/>
          <w:szCs w:val="32"/>
          <w:shd w:val="clear" w:color="auto" w:fill="FFFFFF"/>
          <w:lang w:val="en-US" w:eastAsia="zh-CN" w:bidi="ar-SA"/>
        </w:rPr>
        <w:t>。</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（11）灾害防治及应急管理支出14.38万元，占0.57%，较年初预算数增加14.38万元，增长100.00%，主要原因是</w:t>
      </w:r>
      <w:r>
        <w:rPr>
          <w:rFonts w:hint="default" w:ascii="Times New Roman" w:hAnsi="Times New Roman" w:eastAsia="方正仿宋_GBK" w:cs="Times New Roman"/>
          <w:kern w:val="0"/>
          <w:sz w:val="32"/>
          <w:szCs w:val="32"/>
          <w:lang w:val="en-US" w:eastAsia="zh-CN" w:bidi="ar-SA"/>
        </w:rPr>
        <w:t>受灾人员冬春救助支出增加。</w:t>
      </w:r>
    </w:p>
    <w:p>
      <w:pPr>
        <w:pStyle w:val="16"/>
        <w:keepNext w:val="0"/>
        <w:keepLines w:val="0"/>
        <w:pageBreakBefore w:val="0"/>
        <w:shd w:val="clear"/>
        <w:kinsoku/>
        <w:wordWrap/>
        <w:overflowPunct/>
        <w:topLinePunct w:val="0"/>
        <w:autoSpaceDN/>
        <w:bidi w:val="0"/>
        <w:adjustRightInd/>
        <w:spacing w:before="0" w:beforeAutospacing="0" w:after="0" w:afterAutospacing="0" w:line="594" w:lineRule="exact"/>
        <w:ind w:left="0" w:right="0" w:firstLine="640" w:firstLineChars="200"/>
        <w:jc w:val="both"/>
        <w:textAlignment w:val="auto"/>
        <w:rPr>
          <w:rFonts w:hint="eastAsia"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（12）其他支出20.00万元，</w:t>
      </w:r>
      <w:r>
        <w:rPr>
          <w:rFonts w:hint="default" w:ascii="Times New Roman" w:hAnsi="Times New Roman" w:eastAsia="方正仿宋_GBK" w:cs="Times New Roman"/>
          <w:kern w:val="0"/>
          <w:sz w:val="32"/>
          <w:szCs w:val="32"/>
          <w:lang w:val="en-US" w:eastAsia="zh-CN" w:bidi="ar-SA"/>
        </w:rPr>
        <w:t>占</w:t>
      </w:r>
      <w:r>
        <w:rPr>
          <w:rFonts w:hint="eastAsia" w:ascii="Times New Roman" w:hAnsi="Times New Roman" w:eastAsia="方正仿宋_GBK" w:cs="Times New Roman"/>
          <w:kern w:val="0"/>
          <w:sz w:val="32"/>
          <w:szCs w:val="32"/>
          <w:lang w:val="en-US" w:eastAsia="zh-CN" w:bidi="ar-SA"/>
        </w:rPr>
        <w:t>0.78</w:t>
      </w:r>
      <w:r>
        <w:rPr>
          <w:rFonts w:hint="default" w:ascii="Times New Roman" w:hAnsi="Times New Roman" w:eastAsia="方正仿宋_GBK" w:cs="Times New Roman"/>
          <w:kern w:val="0"/>
          <w:sz w:val="32"/>
          <w:szCs w:val="32"/>
          <w:lang w:val="en-US" w:eastAsia="zh-CN" w:bidi="ar-SA"/>
        </w:rPr>
        <w:t>%</w:t>
      </w:r>
      <w:r>
        <w:rPr>
          <w:rFonts w:hint="eastAsia" w:ascii="Times New Roman" w:hAnsi="Times New Roman" w:eastAsia="方正仿宋_GBK" w:cs="Times New Roman"/>
          <w:kern w:val="0"/>
          <w:sz w:val="32"/>
          <w:szCs w:val="32"/>
          <w:lang w:val="en-US" w:eastAsia="zh-CN" w:bidi="ar-SA"/>
        </w:rPr>
        <w:t>，</w:t>
      </w:r>
      <w:r>
        <w:rPr>
          <w:rFonts w:hint="default" w:ascii="Times New Roman" w:hAnsi="Times New Roman" w:eastAsia="方正仿宋_GBK" w:cs="Times New Roman"/>
          <w:kern w:val="0"/>
          <w:sz w:val="32"/>
          <w:szCs w:val="32"/>
          <w:lang w:val="en-US" w:eastAsia="zh-CN" w:bidi="ar-SA"/>
        </w:rPr>
        <w:t>较年初预算数增加</w:t>
      </w:r>
      <w:r>
        <w:rPr>
          <w:rFonts w:hint="eastAsia" w:ascii="Times New Roman" w:hAnsi="Times New Roman" w:eastAsia="方正仿宋_GBK" w:cs="Times New Roman"/>
          <w:kern w:val="0"/>
          <w:sz w:val="32"/>
          <w:szCs w:val="32"/>
          <w:lang w:val="en-US" w:eastAsia="zh-CN" w:bidi="ar-SA"/>
        </w:rPr>
        <w:t>20</w:t>
      </w:r>
      <w:r>
        <w:rPr>
          <w:rFonts w:hint="default" w:ascii="Times New Roman" w:hAnsi="Times New Roman" w:eastAsia="方正仿宋_GBK" w:cs="Times New Roman"/>
          <w:kern w:val="0"/>
          <w:sz w:val="32"/>
          <w:szCs w:val="32"/>
          <w:lang w:val="en-US" w:eastAsia="zh-CN" w:bidi="ar-SA"/>
        </w:rPr>
        <w:t>万元，</w:t>
      </w:r>
      <w:r>
        <w:rPr>
          <w:rFonts w:hint="eastAsia" w:ascii="Times New Roman" w:hAnsi="Times New Roman" w:eastAsia="方正仿宋_GBK" w:cs="Times New Roman"/>
          <w:kern w:val="0"/>
          <w:sz w:val="32"/>
          <w:szCs w:val="32"/>
          <w:lang w:val="en-US" w:eastAsia="zh-CN" w:bidi="ar-SA"/>
        </w:rPr>
        <w:t>增长100.00%，</w:t>
      </w:r>
      <w:r>
        <w:rPr>
          <w:rFonts w:hint="default" w:ascii="Times New Roman" w:hAnsi="Times New Roman" w:eastAsia="方正仿宋_GBK" w:cs="Times New Roman"/>
          <w:kern w:val="0"/>
          <w:sz w:val="32"/>
          <w:szCs w:val="32"/>
          <w:lang w:val="en-US" w:eastAsia="zh-CN" w:bidi="ar-SA"/>
        </w:rPr>
        <w:t>主要原因是养老服务中心建设</w:t>
      </w:r>
      <w:r>
        <w:rPr>
          <w:rFonts w:hint="eastAsia" w:ascii="Times New Roman" w:hAnsi="Times New Roman" w:eastAsia="方正仿宋_GBK" w:cs="Times New Roman"/>
          <w:kern w:val="0"/>
          <w:sz w:val="32"/>
          <w:szCs w:val="32"/>
          <w:lang w:val="en-US" w:eastAsia="zh-CN" w:bidi="ar-SA"/>
        </w:rPr>
        <w:t>支出增加。</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（四）一般公共预算财政拨款基本支出决算情况说明</w:t>
      </w:r>
    </w:p>
    <w:p>
      <w:pPr>
        <w:keepNext w:val="0"/>
        <w:keepLines w:val="0"/>
        <w:pageBreakBefore w:val="0"/>
        <w:widowControl w:val="0"/>
        <w:shd w:val="clear"/>
        <w:kinsoku/>
        <w:wordWrap/>
        <w:overflowPunct/>
        <w:topLinePunct w:val="0"/>
        <w:autoSpaceDE/>
        <w:autoSpaceDN/>
        <w:bidi w:val="0"/>
        <w:adjustRightInd/>
        <w:snapToGrid w:val="0"/>
        <w:spacing w:beforeAutospacing="0" w:afterAutospacing="0" w:line="594" w:lineRule="exact"/>
        <w:ind w:left="0" w:leftChars="0" w:right="0" w:rightChars="0" w:firstLine="640" w:firstLineChars="200"/>
        <w:jc w:val="both"/>
        <w:textAlignment w:val="auto"/>
        <w:rPr>
          <w:rFonts w:hint="default" w:ascii="Times New Roman" w:hAnsi="Times New Roman" w:eastAsia="方正仿宋_GBK" w:cs="Times New Roman"/>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2023年度一般公共财政拨款基本支出1026.07万元。其中：人员经费916.03万元，较上年决算数增加25.73万元，增长2.89%，主要原因是</w:t>
      </w:r>
      <w:r>
        <w:rPr>
          <w:rFonts w:hint="default" w:ascii="Times New Roman" w:hAnsi="Times New Roman" w:eastAsia="方正仿宋_GBK" w:cs="Times New Roman"/>
          <w:kern w:val="0"/>
          <w:sz w:val="32"/>
          <w:szCs w:val="32"/>
          <w:lang w:val="en-US" w:eastAsia="zh-CN" w:bidi="ar-SA"/>
        </w:rPr>
        <w:t>人员增加、工资调标等。</w:t>
      </w:r>
      <w:r>
        <w:rPr>
          <w:rFonts w:hint="eastAsia" w:ascii="Times New Roman" w:hAnsi="Times New Roman" w:eastAsia="方正仿宋_GBK" w:cs="Times New Roman"/>
          <w:kern w:val="0"/>
          <w:sz w:val="32"/>
          <w:szCs w:val="32"/>
          <w:lang w:val="en-US" w:eastAsia="zh-CN" w:bidi="ar-SA"/>
        </w:rPr>
        <w:t>人员经费用途主要包括</w:t>
      </w:r>
      <w:r>
        <w:rPr>
          <w:rFonts w:hint="default" w:ascii="Times New Roman" w:hAnsi="Times New Roman" w:eastAsia="方正仿宋_GBK" w:cs="Times New Roman"/>
          <w:kern w:val="0"/>
          <w:sz w:val="32"/>
          <w:szCs w:val="32"/>
          <w:lang w:val="en-US" w:eastAsia="zh-CN" w:bidi="ar-SA"/>
        </w:rPr>
        <w:t>基本工资、绩效工资、社会保障缴费、离退休人员健康休养费等。</w:t>
      </w:r>
      <w:r>
        <w:rPr>
          <w:rFonts w:hint="eastAsia" w:ascii="Times New Roman" w:hAnsi="Times New Roman" w:eastAsia="方正仿宋_GBK" w:cs="Times New Roman"/>
          <w:kern w:val="0"/>
          <w:sz w:val="32"/>
          <w:szCs w:val="32"/>
          <w:lang w:val="en-US" w:eastAsia="zh-CN" w:bidi="ar-SA"/>
        </w:rPr>
        <w:t>公用经费110.04万元，较上年决算数增加1.91万元，增长1.77%，主要原因是</w:t>
      </w:r>
      <w:r>
        <w:rPr>
          <w:rFonts w:hint="default" w:ascii="Times New Roman" w:hAnsi="Times New Roman" w:eastAsia="方正仿宋_GBK" w:cs="Times New Roman"/>
          <w:kern w:val="0"/>
          <w:sz w:val="32"/>
          <w:szCs w:val="32"/>
          <w:shd w:val="clear" w:color="auto" w:fill="FFFFFF"/>
          <w:lang w:val="en-US" w:eastAsia="zh-CN" w:bidi="ar-SA"/>
        </w:rPr>
        <w:t>人员增加</w:t>
      </w:r>
      <w:r>
        <w:rPr>
          <w:rFonts w:hint="eastAsia" w:ascii="Times New Roman" w:hAnsi="Times New Roman" w:eastAsia="方正仿宋_GBK" w:cs="Times New Roman"/>
          <w:kern w:val="0"/>
          <w:sz w:val="32"/>
          <w:szCs w:val="32"/>
          <w:shd w:val="clear" w:color="auto" w:fill="FFFFFF"/>
          <w:lang w:val="en-US" w:eastAsia="zh-CN" w:bidi="ar-SA"/>
        </w:rPr>
        <w:t>导致公用经费支出增加</w:t>
      </w:r>
      <w:r>
        <w:rPr>
          <w:rFonts w:hint="default" w:ascii="Times New Roman" w:hAnsi="Times New Roman" w:eastAsia="方正仿宋_GBK" w:cs="Times New Roman"/>
          <w:kern w:val="0"/>
          <w:sz w:val="32"/>
          <w:szCs w:val="32"/>
          <w:shd w:val="clear" w:color="auto" w:fill="FFFFFF"/>
          <w:lang w:val="en-US" w:eastAsia="zh-CN" w:bidi="ar-SA"/>
        </w:rPr>
        <w:t>。</w:t>
      </w:r>
      <w:r>
        <w:rPr>
          <w:rFonts w:hint="eastAsia" w:ascii="Times New Roman" w:hAnsi="Times New Roman" w:eastAsia="方正仿宋_GBK" w:cs="Times New Roman"/>
          <w:kern w:val="0"/>
          <w:sz w:val="32"/>
          <w:szCs w:val="32"/>
          <w:lang w:val="en-US" w:eastAsia="zh-CN" w:bidi="ar-SA"/>
        </w:rPr>
        <w:t>公用经费用途主要包括</w:t>
      </w:r>
      <w:r>
        <w:rPr>
          <w:rFonts w:hint="default" w:ascii="Times New Roman" w:hAnsi="Times New Roman" w:eastAsia="方正仿宋_GBK" w:cs="Times New Roman"/>
          <w:kern w:val="0"/>
          <w:sz w:val="32"/>
          <w:szCs w:val="32"/>
          <w:lang w:val="en-US" w:eastAsia="zh-CN" w:bidi="ar-SA"/>
        </w:rPr>
        <w:t>办公费、水费、电费、邮电费、差旅费、工会经费、劳务费等。</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（五）政府性基金预算收支决算情况说明</w:t>
      </w:r>
    </w:p>
    <w:p>
      <w:pPr>
        <w:keepNext w:val="0"/>
        <w:keepLines w:val="0"/>
        <w:pageBreakBefore w:val="0"/>
        <w:widowControl w:val="0"/>
        <w:shd w:val="clear"/>
        <w:kinsoku/>
        <w:wordWrap/>
        <w:overflowPunct/>
        <w:topLinePunct w:val="0"/>
        <w:autoSpaceDE/>
        <w:autoSpaceDN/>
        <w:bidi w:val="0"/>
        <w:adjustRightInd/>
        <w:snapToGrid w:val="0"/>
        <w:spacing w:beforeAutospacing="0" w:afterAutospacing="0" w:line="594" w:lineRule="exact"/>
        <w:ind w:left="0" w:leftChars="0" w:right="0" w:rightChars="0" w:firstLine="640" w:firstLineChars="200"/>
        <w:jc w:val="both"/>
        <w:textAlignment w:val="auto"/>
        <w:rPr>
          <w:rFonts w:hint="default" w:ascii="方正仿宋_GBK" w:hAnsi="方正仿宋_GBK" w:eastAsia="方正仿宋_GBK" w:cs="方正仿宋_GBK"/>
          <w:sz w:val="32"/>
          <w:szCs w:val="32"/>
        </w:rPr>
      </w:pPr>
      <w:r>
        <w:rPr>
          <w:rFonts w:hint="default" w:ascii="Times New Roman" w:hAnsi="Times New Roman" w:eastAsia="方正仿宋_GBK" w:cs="Times New Roman"/>
          <w:kern w:val="0"/>
          <w:sz w:val="32"/>
          <w:szCs w:val="32"/>
          <w:shd w:val="clear" w:color="auto" w:fill="FFFFFF"/>
          <w:lang w:val="en-US" w:eastAsia="zh-CN" w:bidi="ar-SA"/>
        </w:rPr>
        <w:t>2023年度政府性基金预算财政拨款年初结转结余0.00万元，年末结转结余0.00万元。本年收入29.39万元，较上年决算数增加12.13万元，增长70.28%，主要原因是养老服务中心</w:t>
      </w:r>
      <w:r>
        <w:rPr>
          <w:rFonts w:hint="eastAsia" w:ascii="Times New Roman" w:hAnsi="Times New Roman" w:eastAsia="方正仿宋_GBK" w:cs="Times New Roman"/>
          <w:kern w:val="0"/>
          <w:sz w:val="32"/>
          <w:szCs w:val="32"/>
          <w:shd w:val="clear" w:color="auto" w:fill="FFFFFF"/>
          <w:lang w:val="en-US" w:eastAsia="zh-CN" w:bidi="ar-SA"/>
        </w:rPr>
        <w:t>等项目增加</w:t>
      </w:r>
      <w:r>
        <w:rPr>
          <w:rFonts w:hint="default" w:ascii="Times New Roman" w:hAnsi="Times New Roman" w:eastAsia="方正仿宋_GBK" w:cs="Times New Roman"/>
          <w:kern w:val="0"/>
          <w:sz w:val="32"/>
          <w:szCs w:val="32"/>
          <w:shd w:val="clear" w:color="auto" w:fill="FFFFFF"/>
          <w:lang w:val="en-US" w:eastAsia="zh-CN" w:bidi="ar-SA"/>
        </w:rPr>
        <w:t>。本年支出29.39万元，较上年决算数增加12.13万元，增长70.28%，主要原因是养老服务中心</w:t>
      </w:r>
      <w:r>
        <w:rPr>
          <w:rFonts w:hint="eastAsia" w:ascii="Times New Roman" w:hAnsi="Times New Roman" w:eastAsia="方正仿宋_GBK" w:cs="Times New Roman"/>
          <w:kern w:val="0"/>
          <w:sz w:val="32"/>
          <w:szCs w:val="32"/>
          <w:shd w:val="clear" w:color="auto" w:fill="FFFFFF"/>
          <w:lang w:val="en-US" w:eastAsia="zh-CN" w:bidi="ar-SA"/>
        </w:rPr>
        <w:t>等项目增加</w:t>
      </w:r>
      <w:r>
        <w:rPr>
          <w:rFonts w:hint="default" w:ascii="Times New Roman" w:hAnsi="Times New Roman" w:eastAsia="方正仿宋_GBK" w:cs="Times New Roman"/>
          <w:kern w:val="0"/>
          <w:sz w:val="32"/>
          <w:szCs w:val="32"/>
          <w:shd w:val="clear" w:color="auto" w:fill="FFFFFF"/>
          <w:lang w:val="en-US" w:eastAsia="zh-CN" w:bidi="ar-SA"/>
        </w:rPr>
        <w:t>。</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（六）国有资本经营预算财政拨款支出决算情况说明</w:t>
      </w:r>
    </w:p>
    <w:p>
      <w:pPr>
        <w:pStyle w:val="6"/>
        <w:keepNext w:val="0"/>
        <w:keepLines w:val="0"/>
        <w:pageBreakBefore w:val="0"/>
        <w:shd w:val="clear" w:color="auto"/>
        <w:kinsoku/>
        <w:wordWrap/>
        <w:overflowPunct/>
        <w:topLinePunct w:val="0"/>
        <w:autoSpaceDN/>
        <w:bidi w:val="0"/>
        <w:adjustRightInd/>
        <w:spacing w:before="0" w:beforeAutospacing="0" w:after="0" w:afterAutospacing="0" w:line="594" w:lineRule="exact"/>
        <w:ind w:firstLine="640" w:firstLineChars="200"/>
        <w:jc w:val="both"/>
        <w:textAlignment w:val="auto"/>
        <w:rPr>
          <w:rFonts w:hint="eastAsia" w:ascii="Times New Roman" w:hAnsi="Times New Roman" w:eastAsia="方正仿宋_GBK" w:cs="Times New Roman"/>
          <w:kern w:val="0"/>
          <w:sz w:val="32"/>
          <w:szCs w:val="32"/>
          <w:shd w:val="clear" w:color="auto" w:fill="FFFFFF"/>
          <w:lang w:val="en-US" w:eastAsia="zh-CN" w:bidi="ar-SA"/>
        </w:rPr>
      </w:pPr>
      <w:r>
        <w:rPr>
          <w:rFonts w:hint="eastAsia" w:ascii="Times New Roman" w:hAnsi="Times New Roman" w:eastAsia="方正仿宋_GBK" w:cs="Times New Roman"/>
          <w:kern w:val="0"/>
          <w:sz w:val="32"/>
          <w:szCs w:val="32"/>
          <w:shd w:val="clear" w:color="auto" w:fill="FFFFFF"/>
          <w:lang w:val="en-US" w:eastAsia="zh-CN" w:bidi="ar-SA"/>
        </w:rPr>
        <w:t>本部门2023年度无国有资本经营预算财政拨款支出。</w:t>
      </w:r>
    </w:p>
    <w:p>
      <w:pPr>
        <w:pStyle w:val="6"/>
        <w:keepNext w:val="0"/>
        <w:keepLines w:val="0"/>
        <w:pageBreakBefore w:val="0"/>
        <w:shd w:val="clear" w:color="auto"/>
        <w:kinsoku/>
        <w:wordWrap/>
        <w:overflowPunct/>
        <w:topLinePunct w:val="0"/>
        <w:autoSpaceDN/>
        <w:bidi w:val="0"/>
        <w:adjustRightInd/>
        <w:spacing w:before="0" w:beforeAutospacing="0" w:after="0" w:afterAutospacing="0" w:line="594" w:lineRule="exact"/>
        <w:ind w:firstLine="640" w:firstLineChars="200"/>
        <w:jc w:val="both"/>
        <w:textAlignment w:val="auto"/>
        <w:rPr>
          <w:rStyle w:val="10"/>
          <w:rFonts w:hint="default" w:ascii="方正黑体_GBK" w:hAnsi="方正黑体_GBK" w:eastAsia="方正黑体_GBK" w:cs="方正黑体_GBK"/>
          <w:b w:val="0"/>
          <w:bCs/>
          <w:sz w:val="32"/>
          <w:szCs w:val="32"/>
          <w:shd w:val="clear" w:color="auto" w:fill="FFFFFF"/>
        </w:rPr>
      </w:pPr>
      <w:r>
        <w:rPr>
          <w:rStyle w:val="10"/>
          <w:rFonts w:hint="eastAsia" w:ascii="方正黑体_GBK" w:hAnsi="方正黑体_GBK" w:eastAsia="方正黑体_GBK" w:cs="方正黑体_GBK"/>
          <w:b w:val="0"/>
          <w:bCs/>
          <w:sz w:val="32"/>
          <w:szCs w:val="32"/>
          <w:shd w:val="clear" w:color="auto" w:fill="FFFFFF"/>
        </w:rPr>
        <w:t>三、“三公”经费情况说明</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 xml:space="preserve"> （一）“三公”经费支出总体情况说明</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Times New Roman" w:hAnsi="Times New Roman" w:eastAsia="方正仿宋_GBK" w:cs="Times New Roman"/>
          <w:kern w:val="0"/>
          <w:sz w:val="32"/>
          <w:szCs w:val="32"/>
          <w:shd w:val="clear" w:color="auto" w:fill="FFFFFF"/>
          <w:lang w:val="en-US" w:eastAsia="zh-CN" w:bidi="ar-SA"/>
        </w:rPr>
        <w:t>2023年度“三公”经费支出共计13.73万元，较年初预算数减少7.12万元，下降34.15%，主要原因是</w:t>
      </w:r>
      <w:r>
        <w:rPr>
          <w:rFonts w:hint="default" w:ascii="Times New Roman" w:hAnsi="Times New Roman" w:eastAsia="方正仿宋_GBK" w:cs="Times New Roman"/>
          <w:kern w:val="2"/>
          <w:sz w:val="32"/>
          <w:szCs w:val="32"/>
        </w:rPr>
        <w:t>按照只减不增的要求从严控制“三公”经费的开支，</w:t>
      </w:r>
      <w:r>
        <w:rPr>
          <w:rFonts w:hint="eastAsia" w:ascii="Times New Roman" w:hAnsi="Times New Roman" w:eastAsia="方正仿宋_GBK" w:cs="Times New Roman"/>
          <w:kern w:val="0"/>
          <w:sz w:val="32"/>
          <w:szCs w:val="32"/>
          <w:shd w:val="clear" w:color="auto" w:fill="FFFFFF"/>
          <w:lang w:val="en-US" w:eastAsia="zh-CN" w:bidi="ar-SA"/>
        </w:rPr>
        <w:t>厉行节约，公务接待费和公务车运行维护费减少</w:t>
      </w:r>
      <w:r>
        <w:rPr>
          <w:rFonts w:hint="default" w:ascii="Times New Roman" w:hAnsi="Times New Roman" w:eastAsia="方正仿宋_GBK" w:cs="Times New Roman"/>
          <w:kern w:val="0"/>
          <w:sz w:val="32"/>
          <w:szCs w:val="32"/>
          <w:shd w:val="clear" w:color="auto" w:fill="FFFFFF"/>
          <w:lang w:val="en-US" w:eastAsia="zh-CN" w:bidi="ar-SA"/>
        </w:rPr>
        <w:t>。较上年支出数减少0.27万元，下降1.93%，主要原因是</w:t>
      </w:r>
      <w:r>
        <w:rPr>
          <w:rFonts w:hint="eastAsia" w:ascii="Times New Roman" w:hAnsi="Times New Roman" w:eastAsia="方正仿宋_GBK" w:cs="Times New Roman"/>
          <w:kern w:val="0"/>
          <w:sz w:val="32"/>
          <w:szCs w:val="32"/>
          <w:shd w:val="clear" w:color="auto" w:fill="FFFFFF"/>
          <w:lang w:val="en-US" w:eastAsia="zh-CN" w:bidi="ar-SA"/>
        </w:rPr>
        <w:t>严格落实“</w:t>
      </w:r>
      <w:r>
        <w:rPr>
          <w:rFonts w:hint="default" w:ascii="Times New Roman" w:hAnsi="Times New Roman" w:eastAsia="方正仿宋_GBK" w:cs="Times New Roman"/>
          <w:kern w:val="0"/>
          <w:sz w:val="32"/>
          <w:szCs w:val="32"/>
          <w:shd w:val="clear" w:color="auto" w:fill="FFFFFF"/>
          <w:lang w:val="en-US" w:eastAsia="zh-CN" w:bidi="ar-SA"/>
        </w:rPr>
        <w:t>过紧日子</w:t>
      </w:r>
      <w:r>
        <w:rPr>
          <w:rFonts w:hint="eastAsia" w:ascii="Times New Roman" w:hAnsi="Times New Roman" w:eastAsia="方正仿宋_GBK" w:cs="Times New Roman"/>
          <w:kern w:val="0"/>
          <w:sz w:val="32"/>
          <w:szCs w:val="32"/>
          <w:shd w:val="clear" w:color="auto" w:fill="FFFFFF"/>
          <w:lang w:val="en-US" w:eastAsia="zh-CN" w:bidi="ar-SA"/>
        </w:rPr>
        <w:t>”措施</w:t>
      </w:r>
      <w:r>
        <w:rPr>
          <w:rFonts w:hint="default" w:ascii="Times New Roman" w:hAnsi="Times New Roman" w:eastAsia="方正仿宋_GBK" w:cs="Times New Roman"/>
          <w:kern w:val="0"/>
          <w:sz w:val="32"/>
          <w:szCs w:val="32"/>
          <w:shd w:val="clear" w:color="auto" w:fill="FFFFFF"/>
          <w:lang w:val="en-US" w:eastAsia="zh-CN" w:bidi="ar-SA"/>
        </w:rPr>
        <w:t>，</w:t>
      </w:r>
      <w:r>
        <w:rPr>
          <w:rFonts w:hint="eastAsia" w:ascii="Times New Roman" w:hAnsi="Times New Roman" w:eastAsia="方正仿宋_GBK" w:cs="Times New Roman"/>
          <w:kern w:val="0"/>
          <w:sz w:val="32"/>
          <w:szCs w:val="32"/>
          <w:shd w:val="clear" w:color="auto" w:fill="FFFFFF"/>
          <w:lang w:val="en-US" w:eastAsia="zh-CN" w:bidi="ar-SA"/>
        </w:rPr>
        <w:t>厉行节约，缩减“三公”经费开支</w:t>
      </w:r>
      <w:r>
        <w:rPr>
          <w:rFonts w:hint="default" w:ascii="Times New Roman" w:hAnsi="Times New Roman" w:eastAsia="方正仿宋_GBK" w:cs="Times New Roman"/>
          <w:kern w:val="0"/>
          <w:sz w:val="32"/>
          <w:szCs w:val="32"/>
          <w:shd w:val="clear" w:color="auto" w:fill="FFFFFF"/>
          <w:lang w:val="en-US" w:eastAsia="zh-CN" w:bidi="ar-SA"/>
        </w:rPr>
        <w:t>。</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（二）“三公”经费分项支出情况</w:t>
      </w:r>
    </w:p>
    <w:p>
      <w:pPr>
        <w:pStyle w:val="6"/>
        <w:keepNext w:val="0"/>
        <w:keepLines w:val="0"/>
        <w:pageBreakBefore w:val="0"/>
        <w:shd w:val="clear"/>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2023年度本</w:t>
      </w:r>
      <w:r>
        <w:rPr>
          <w:rFonts w:hint="eastAsia" w:ascii="Times New Roman" w:hAnsi="Times New Roman" w:eastAsia="方正仿宋_GBK" w:cs="Times New Roman"/>
          <w:kern w:val="0"/>
          <w:sz w:val="32"/>
          <w:szCs w:val="32"/>
          <w:shd w:val="clear" w:color="auto" w:fill="FFFFFF"/>
          <w:lang w:val="en-US" w:eastAsia="zh-CN" w:bidi="ar-SA"/>
        </w:rPr>
        <w:t>部门无</w:t>
      </w:r>
      <w:r>
        <w:rPr>
          <w:rFonts w:hint="default" w:ascii="Times New Roman" w:hAnsi="Times New Roman" w:eastAsia="方正仿宋_GBK" w:cs="Times New Roman"/>
          <w:kern w:val="0"/>
          <w:sz w:val="32"/>
          <w:szCs w:val="32"/>
          <w:shd w:val="clear" w:color="auto" w:fill="FFFFFF"/>
          <w:lang w:val="en-US" w:eastAsia="zh-CN" w:bidi="ar-SA"/>
        </w:rPr>
        <w:t>因公出国（境）费用</w:t>
      </w:r>
      <w:r>
        <w:rPr>
          <w:rFonts w:hint="eastAsia" w:ascii="Times New Roman" w:hAnsi="Times New Roman" w:eastAsia="方正仿宋_GBK" w:cs="Times New Roman"/>
          <w:kern w:val="0"/>
          <w:sz w:val="32"/>
          <w:szCs w:val="32"/>
          <w:shd w:val="clear" w:color="auto" w:fill="FFFFFF"/>
          <w:lang w:val="en-US" w:eastAsia="zh-CN" w:bidi="ar-SA"/>
        </w:rPr>
        <w:t>支出。</w:t>
      </w:r>
    </w:p>
    <w:p>
      <w:pPr>
        <w:pStyle w:val="6"/>
        <w:keepNext w:val="0"/>
        <w:keepLines w:val="0"/>
        <w:pageBreakBefore w:val="0"/>
        <w:shd w:val="clear"/>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2023年度本</w:t>
      </w:r>
      <w:r>
        <w:rPr>
          <w:rFonts w:hint="eastAsia" w:ascii="Times New Roman" w:hAnsi="Times New Roman" w:eastAsia="方正仿宋_GBK" w:cs="Times New Roman"/>
          <w:kern w:val="0"/>
          <w:sz w:val="32"/>
          <w:szCs w:val="32"/>
          <w:shd w:val="clear" w:color="auto" w:fill="FFFFFF"/>
          <w:lang w:val="en-US" w:eastAsia="zh-CN" w:bidi="ar-SA"/>
        </w:rPr>
        <w:t>部门无</w:t>
      </w:r>
      <w:r>
        <w:rPr>
          <w:rFonts w:hint="default" w:ascii="Times New Roman" w:hAnsi="Times New Roman" w:eastAsia="方正仿宋_GBK" w:cs="Times New Roman"/>
          <w:kern w:val="0"/>
          <w:sz w:val="32"/>
          <w:szCs w:val="32"/>
          <w:shd w:val="clear" w:color="auto" w:fill="FFFFFF"/>
          <w:lang w:val="en-US" w:eastAsia="zh-CN" w:bidi="ar-SA"/>
        </w:rPr>
        <w:t>公务车购置费</w:t>
      </w:r>
      <w:r>
        <w:rPr>
          <w:rFonts w:hint="eastAsia" w:ascii="Times New Roman" w:hAnsi="Times New Roman" w:eastAsia="方正仿宋_GBK" w:cs="Times New Roman"/>
          <w:kern w:val="0"/>
          <w:sz w:val="32"/>
          <w:szCs w:val="32"/>
          <w:shd w:val="clear" w:color="auto" w:fill="FFFFFF"/>
          <w:lang w:val="en-US" w:eastAsia="zh-CN" w:bidi="ar-SA"/>
        </w:rPr>
        <w:t>支出。</w:t>
      </w:r>
    </w:p>
    <w:p>
      <w:pPr>
        <w:pStyle w:val="12"/>
        <w:keepNext w:val="0"/>
        <w:keepLines w:val="0"/>
        <w:pageBreakBefore w:val="0"/>
        <w:widowControl w:val="0"/>
        <w:suppressLineNumbers w:val="0"/>
        <w:shd w:val="clear"/>
        <w:kinsoku/>
        <w:wordWrap/>
        <w:overflowPunct/>
        <w:topLinePunct w:val="0"/>
        <w:autoSpaceDE w:val="0"/>
        <w:autoSpaceDN/>
        <w:bidi w:val="0"/>
        <w:adjustRightInd/>
        <w:snapToGrid/>
        <w:spacing w:before="0" w:beforeAutospacing="0" w:after="0" w:afterAutospacing="0" w:line="594" w:lineRule="exact"/>
        <w:ind w:left="0" w:firstLine="640" w:firstLineChars="200"/>
        <w:jc w:val="both"/>
        <w:textAlignment w:val="auto"/>
        <w:rPr>
          <w:rFonts w:hint="eastAsia" w:ascii="Times New Roman" w:hAnsi="Times New Roman" w:eastAsia="方正仿宋_GBK" w:cs="Times New Roman"/>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公务车运行维护费9.17万元，主要用于</w:t>
      </w:r>
      <w:r>
        <w:rPr>
          <w:rFonts w:hint="eastAsia" w:ascii="Times New Roman" w:hAnsi="Times New Roman" w:eastAsia="方正仿宋_GBK" w:cs="Times New Roman"/>
          <w:kern w:val="0"/>
          <w:sz w:val="32"/>
          <w:szCs w:val="32"/>
          <w:shd w:val="clear" w:color="auto" w:fill="FFFFFF"/>
          <w:lang w:val="en-US" w:eastAsia="zh-CN" w:bidi="ar-SA"/>
        </w:rPr>
        <w:t>县内因公出行、业务检查等工作所需车辆的燃料费、维修费、过桥过路费、保险费等。</w:t>
      </w:r>
      <w:r>
        <w:rPr>
          <w:rFonts w:hint="default" w:ascii="Times New Roman" w:hAnsi="Times New Roman" w:eastAsia="方正仿宋_GBK" w:cs="Times New Roman"/>
          <w:kern w:val="0"/>
          <w:sz w:val="32"/>
          <w:szCs w:val="32"/>
          <w:shd w:val="clear" w:color="auto" w:fill="FFFFFF"/>
          <w:lang w:val="en-US" w:eastAsia="zh-CN" w:bidi="ar-SA"/>
        </w:rPr>
        <w:t>费用支出较年初预算数减少3.18万元，下降25.75%，主要原因是</w:t>
      </w:r>
      <w:r>
        <w:rPr>
          <w:rFonts w:hint="default" w:ascii="Times New Roman" w:hAnsi="Times New Roman" w:eastAsia="方正仿宋_GBK" w:cs="Times New Roman"/>
          <w:kern w:val="2"/>
          <w:sz w:val="32"/>
          <w:szCs w:val="32"/>
          <w:shd w:val="clear" w:fill="FFFFFF"/>
        </w:rPr>
        <w:t>认真贯彻落实中央八项规定精神，按照只减不增的要求，从严控制“三公”经费，严格落实公车使用规定</w:t>
      </w:r>
      <w:r>
        <w:rPr>
          <w:rFonts w:hint="eastAsia" w:ascii="Times New Roman" w:hAnsi="Times New Roman" w:eastAsia="方正仿宋_GBK" w:cs="Times New Roman"/>
          <w:kern w:val="0"/>
          <w:sz w:val="32"/>
          <w:szCs w:val="32"/>
          <w:shd w:val="clear" w:color="auto" w:fill="FFFFFF"/>
          <w:lang w:val="en-US" w:eastAsia="zh-CN" w:bidi="ar-SA"/>
        </w:rPr>
        <w:t>。</w:t>
      </w:r>
      <w:r>
        <w:rPr>
          <w:rFonts w:hint="default" w:ascii="Times New Roman" w:hAnsi="Times New Roman" w:eastAsia="方正仿宋_GBK" w:cs="Times New Roman"/>
          <w:kern w:val="0"/>
          <w:sz w:val="32"/>
          <w:szCs w:val="32"/>
          <w:shd w:val="clear" w:color="auto" w:fill="FFFFFF"/>
          <w:lang w:val="en-US" w:eastAsia="zh-CN" w:bidi="ar-SA"/>
        </w:rPr>
        <w:t>较上年支出数减少0.01万元，下降0.11%，主要原因是</w:t>
      </w:r>
      <w:r>
        <w:rPr>
          <w:rFonts w:hint="eastAsia" w:ascii="Times New Roman" w:hAnsi="Times New Roman" w:eastAsia="方正仿宋_GBK" w:cs="Times New Roman"/>
          <w:kern w:val="0"/>
          <w:sz w:val="32"/>
          <w:szCs w:val="32"/>
          <w:shd w:val="clear" w:color="auto" w:fill="FFFFFF"/>
          <w:lang w:val="en-US" w:eastAsia="zh-CN" w:bidi="ar-SA"/>
        </w:rPr>
        <w:t>严格落实公车使用规定，严禁公车私用，公车运行维护成本下降。</w:t>
      </w:r>
    </w:p>
    <w:p>
      <w:pPr>
        <w:pStyle w:val="12"/>
        <w:keepNext w:val="0"/>
        <w:keepLines w:val="0"/>
        <w:pageBreakBefore w:val="0"/>
        <w:widowControl w:val="0"/>
        <w:suppressLineNumbers w:val="0"/>
        <w:shd w:val="clear"/>
        <w:kinsoku/>
        <w:wordWrap/>
        <w:overflowPunct/>
        <w:topLinePunct w:val="0"/>
        <w:autoSpaceDE w:val="0"/>
        <w:autoSpaceDN/>
        <w:bidi w:val="0"/>
        <w:adjustRightInd/>
        <w:snapToGrid/>
        <w:spacing w:before="0" w:beforeAutospacing="0" w:after="0" w:afterAutospacing="0" w:line="594" w:lineRule="exact"/>
        <w:ind w:left="0" w:firstLine="640" w:firstLineChars="200"/>
        <w:jc w:val="both"/>
        <w:textAlignment w:val="auto"/>
        <w:rPr>
          <w:rFonts w:hint="default" w:ascii="Times New Roman" w:hAnsi="Times New Roman" w:eastAsia="方正仿宋_GBK" w:cs="Times New Roman"/>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公务接待费4.56万元，主要用于接待</w:t>
      </w:r>
      <w:r>
        <w:rPr>
          <w:rFonts w:hint="eastAsia" w:ascii="Times New Roman" w:hAnsi="Times New Roman" w:eastAsia="方正仿宋_GBK" w:cs="Times New Roman"/>
          <w:kern w:val="0"/>
          <w:sz w:val="32"/>
          <w:szCs w:val="32"/>
          <w:shd w:val="clear" w:color="auto" w:fill="FFFFFF"/>
          <w:lang w:val="en-US" w:eastAsia="zh-CN" w:bidi="ar-SA"/>
        </w:rPr>
        <w:t>相关部门检查指导工作发生的接待支出。</w:t>
      </w:r>
      <w:r>
        <w:rPr>
          <w:rFonts w:hint="default" w:ascii="Times New Roman" w:hAnsi="Times New Roman" w:eastAsia="方正仿宋_GBK" w:cs="Times New Roman"/>
          <w:kern w:val="0"/>
          <w:sz w:val="32"/>
          <w:szCs w:val="32"/>
          <w:shd w:val="clear" w:color="auto" w:fill="FFFFFF"/>
          <w:lang w:val="en-US" w:eastAsia="zh-CN" w:bidi="ar-SA"/>
        </w:rPr>
        <w:t>费用支出较年初预算数减少3.94万元，下降46.35%，主要原因是</w:t>
      </w:r>
      <w:r>
        <w:rPr>
          <w:rFonts w:hint="default" w:ascii="Times New Roman" w:hAnsi="Times New Roman" w:eastAsia="方正仿宋_GBK" w:cs="Times New Roman"/>
          <w:kern w:val="2"/>
          <w:sz w:val="32"/>
          <w:szCs w:val="32"/>
        </w:rPr>
        <w:t>认真贯彻落实中央八项规定精神，按照只减不增的要求，从严控制“三公”经费，严格遵守公务接待范围和接待标准</w:t>
      </w:r>
      <w:r>
        <w:rPr>
          <w:rFonts w:hint="eastAsia" w:ascii="Times New Roman" w:hAnsi="Times New Roman" w:eastAsia="方正仿宋_GBK" w:cs="Times New Roman"/>
          <w:kern w:val="0"/>
          <w:sz w:val="32"/>
          <w:szCs w:val="32"/>
          <w:shd w:val="clear" w:color="auto" w:fill="FFFFFF"/>
          <w:lang w:val="en-US" w:eastAsia="zh-CN" w:bidi="ar-SA"/>
        </w:rPr>
        <w:t>。</w:t>
      </w:r>
      <w:r>
        <w:rPr>
          <w:rFonts w:hint="default" w:ascii="Times New Roman" w:hAnsi="Times New Roman" w:eastAsia="方正仿宋_GBK" w:cs="Times New Roman"/>
          <w:kern w:val="0"/>
          <w:sz w:val="32"/>
          <w:szCs w:val="32"/>
          <w:shd w:val="clear" w:color="auto" w:fill="FFFFFF"/>
          <w:lang w:val="en-US" w:eastAsia="zh-CN" w:bidi="ar-SA"/>
        </w:rPr>
        <w:t>较上年支出数减少0.27万元，下降5.59%，主要原因是</w:t>
      </w:r>
      <w:r>
        <w:rPr>
          <w:rFonts w:hint="eastAsia" w:ascii="Times New Roman" w:hAnsi="Times New Roman" w:eastAsia="方正仿宋_GBK" w:cs="Times New Roman"/>
          <w:kern w:val="0"/>
          <w:sz w:val="32"/>
          <w:szCs w:val="32"/>
          <w:shd w:val="clear" w:color="auto" w:fill="FFFFFF"/>
          <w:lang w:val="en-US" w:eastAsia="zh-CN" w:bidi="ar-SA"/>
        </w:rPr>
        <w:t>强化公务接待支出管理，严格遵守公务接待开支范围和开支标准，严格控制陪餐人数，公务接待费下降。</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left="0" w:leftChars="0"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（三）“三公”经费实物量情况</w:t>
      </w:r>
    </w:p>
    <w:p>
      <w:pPr>
        <w:pStyle w:val="6"/>
        <w:keepNext w:val="0"/>
        <w:keepLines w:val="0"/>
        <w:pageBreakBefore w:val="0"/>
        <w:shd w:val="clear"/>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kern w:val="0"/>
          <w:sz w:val="32"/>
          <w:szCs w:val="32"/>
          <w:shd w:val="clear" w:color="auto" w:fill="FFFFFF"/>
          <w:lang w:val="en-US" w:eastAsia="zh-CN" w:bidi="ar-SA"/>
        </w:rPr>
      </w:pPr>
      <w:r>
        <w:rPr>
          <w:rFonts w:ascii="方正仿宋_GBK" w:hAnsi="方正仿宋_GBK" w:eastAsia="方正仿宋_GBK" w:cs="方正仿宋_GBK"/>
          <w:sz w:val="32"/>
          <w:szCs w:val="32"/>
          <w:shd w:val="clear" w:color="auto" w:fill="FFFFFF"/>
        </w:rPr>
        <w:t xml:space="preserve">  </w:t>
      </w:r>
      <w:r>
        <w:rPr>
          <w:rFonts w:hint="default" w:ascii="Times New Roman" w:hAnsi="Times New Roman" w:eastAsia="方正仿宋_GBK" w:cs="Times New Roman"/>
          <w:kern w:val="0"/>
          <w:sz w:val="32"/>
          <w:szCs w:val="32"/>
          <w:shd w:val="clear" w:color="auto" w:fill="FFFFFF"/>
          <w:lang w:val="en-US" w:eastAsia="zh-CN" w:bidi="ar-SA"/>
        </w:rPr>
        <w:t>2023年度本部门因公出国（境）共计0个团组，0人；公务用车购置0辆，公务车保有量为2辆；国内公务接待145批次1190人，其中：国内外事接待0批次，0人；国（境）外公务接待0批次，0人。2023年本部门人均接待费38.31元，车均购置费0万元，车均维护费4.59万元。</w:t>
      </w:r>
    </w:p>
    <w:p>
      <w:pPr>
        <w:pStyle w:val="6"/>
        <w:keepNext w:val="0"/>
        <w:keepLines w:val="0"/>
        <w:pageBreakBefore w:val="0"/>
        <w:shd w:val="clear" w:color="auto"/>
        <w:kinsoku/>
        <w:wordWrap/>
        <w:overflowPunct/>
        <w:topLinePunct w:val="0"/>
        <w:autoSpaceDN/>
        <w:bidi w:val="0"/>
        <w:adjustRightInd/>
        <w:spacing w:before="0" w:beforeAutospacing="0" w:after="0" w:afterAutospacing="0" w:line="594" w:lineRule="exact"/>
        <w:ind w:firstLine="640" w:firstLineChars="200"/>
        <w:jc w:val="both"/>
        <w:textAlignment w:val="auto"/>
        <w:rPr>
          <w:rStyle w:val="10"/>
          <w:rFonts w:hint="default" w:ascii="方正黑体_GBK" w:hAnsi="方正黑体_GBK" w:eastAsia="方正黑体_GBK" w:cs="方正黑体_GBK"/>
          <w:b w:val="0"/>
          <w:bCs/>
          <w:sz w:val="32"/>
          <w:szCs w:val="32"/>
          <w:shd w:val="clear" w:color="auto" w:fill="FFFFFF"/>
        </w:rPr>
      </w:pPr>
      <w:r>
        <w:rPr>
          <w:rStyle w:val="10"/>
          <w:rFonts w:hint="default" w:ascii="方正黑体_GBK" w:hAnsi="方正黑体_GBK" w:eastAsia="方正黑体_GBK" w:cs="方正黑体_GBK"/>
          <w:b w:val="0"/>
          <w:bCs/>
          <w:sz w:val="32"/>
          <w:szCs w:val="32"/>
          <w:shd w:val="clear" w:color="auto" w:fill="FFFFFF"/>
        </w:rPr>
        <w:t>四、其他需要说明的事项</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left="0" w:leftChars="0"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（一）财政拨款会议费和培训费情况说明</w:t>
      </w:r>
    </w:p>
    <w:p>
      <w:pPr>
        <w:keepNext w:val="0"/>
        <w:keepLines w:val="0"/>
        <w:pageBreakBefore w:val="0"/>
        <w:widowControl w:val="0"/>
        <w:shd w:val="clear"/>
        <w:kinsoku/>
        <w:wordWrap/>
        <w:overflowPunct/>
        <w:topLinePunct w:val="0"/>
        <w:autoSpaceDE/>
        <w:autoSpaceDN/>
        <w:bidi w:val="0"/>
        <w:adjustRightInd/>
        <w:snapToGrid w:val="0"/>
        <w:spacing w:beforeAutospacing="0" w:afterAutospacing="0" w:line="594" w:lineRule="exact"/>
        <w:ind w:left="0" w:leftChars="0" w:right="0" w:rightChars="0" w:firstLine="640" w:firstLineChars="200"/>
        <w:jc w:val="both"/>
        <w:textAlignment w:val="auto"/>
        <w:rPr>
          <w:rFonts w:hint="default" w:ascii="Times New Roman" w:hAnsi="Times New Roman" w:eastAsia="方正仿宋_GBK" w:cs="Times New Roman"/>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 xml:space="preserve"> 本年度会议费支出2.00万元，较上年决算数增加0.06万元，增长3.09%，主要原因是本年人</w:t>
      </w:r>
      <w:r>
        <w:rPr>
          <w:rFonts w:hint="eastAsia" w:ascii="Times New Roman" w:hAnsi="Times New Roman" w:eastAsia="方正仿宋_GBK" w:cs="Times New Roman"/>
          <w:kern w:val="0"/>
          <w:sz w:val="32"/>
          <w:szCs w:val="32"/>
          <w:shd w:val="clear" w:color="auto" w:fill="FFFFFF"/>
          <w:lang w:val="en-US" w:eastAsia="zh-CN" w:bidi="ar-SA"/>
        </w:rPr>
        <w:t>民</w:t>
      </w:r>
      <w:bookmarkStart w:id="0" w:name="_GoBack"/>
      <w:bookmarkEnd w:id="0"/>
      <w:r>
        <w:rPr>
          <w:rFonts w:hint="default" w:ascii="Times New Roman" w:hAnsi="Times New Roman" w:eastAsia="方正仿宋_GBK" w:cs="Times New Roman"/>
          <w:kern w:val="0"/>
          <w:sz w:val="32"/>
          <w:szCs w:val="32"/>
          <w:shd w:val="clear" w:color="auto" w:fill="FFFFFF"/>
          <w:lang w:val="en-US" w:eastAsia="zh-CN" w:bidi="ar-SA"/>
        </w:rPr>
        <w:t>代表</w:t>
      </w:r>
      <w:r>
        <w:rPr>
          <w:rFonts w:hint="eastAsia" w:ascii="Times New Roman" w:hAnsi="Times New Roman" w:eastAsia="方正仿宋_GBK" w:cs="Times New Roman"/>
          <w:kern w:val="0"/>
          <w:sz w:val="32"/>
          <w:szCs w:val="32"/>
          <w:shd w:val="clear" w:color="auto" w:fill="FFFFFF"/>
          <w:lang w:val="en-US" w:eastAsia="zh-CN" w:bidi="ar-SA"/>
        </w:rPr>
        <w:t>大会</w:t>
      </w:r>
      <w:r>
        <w:rPr>
          <w:rFonts w:hint="default" w:ascii="Times New Roman" w:hAnsi="Times New Roman" w:eastAsia="方正仿宋_GBK" w:cs="Times New Roman"/>
          <w:kern w:val="0"/>
          <w:sz w:val="32"/>
          <w:szCs w:val="32"/>
          <w:shd w:val="clear" w:color="auto" w:fill="FFFFFF"/>
          <w:lang w:val="en-US" w:eastAsia="zh-CN" w:bidi="ar-SA"/>
        </w:rPr>
        <w:t>增加</w:t>
      </w:r>
      <w:r>
        <w:rPr>
          <w:rFonts w:hint="eastAsia" w:ascii="Times New Roman" w:hAnsi="Times New Roman" w:eastAsia="方正仿宋_GBK" w:cs="Times New Roman"/>
          <w:kern w:val="0"/>
          <w:sz w:val="32"/>
          <w:szCs w:val="32"/>
          <w:shd w:val="clear" w:color="auto" w:fill="FFFFFF"/>
          <w:lang w:val="en-US" w:eastAsia="zh-CN" w:bidi="ar-SA"/>
        </w:rPr>
        <w:t>，导致会议费增加。</w:t>
      </w:r>
      <w:r>
        <w:rPr>
          <w:rFonts w:hint="default" w:ascii="Times New Roman" w:hAnsi="Times New Roman" w:eastAsia="方正仿宋_GBK" w:cs="Times New Roman"/>
          <w:kern w:val="0"/>
          <w:sz w:val="32"/>
          <w:szCs w:val="32"/>
          <w:shd w:val="clear" w:color="auto" w:fill="FFFFFF"/>
          <w:lang w:val="en-US" w:eastAsia="zh-CN" w:bidi="ar-SA"/>
        </w:rPr>
        <w:t>本年度培训费支出2.66万元，较上年决算数增加0.06万元，增长2.31%，主要原因是本年劳动技能培训增加</w:t>
      </w:r>
      <w:r>
        <w:rPr>
          <w:rFonts w:hint="eastAsia" w:ascii="Times New Roman" w:hAnsi="Times New Roman" w:eastAsia="方正仿宋_GBK" w:cs="Times New Roman"/>
          <w:kern w:val="0"/>
          <w:sz w:val="32"/>
          <w:szCs w:val="32"/>
          <w:shd w:val="clear" w:color="auto" w:fill="FFFFFF"/>
          <w:lang w:val="en-US" w:eastAsia="zh-CN" w:bidi="ar-SA"/>
        </w:rPr>
        <w:t>，导致培训费增加</w:t>
      </w:r>
      <w:r>
        <w:rPr>
          <w:rFonts w:hint="default" w:ascii="Times New Roman" w:hAnsi="Times New Roman" w:eastAsia="方正仿宋_GBK" w:cs="Times New Roman"/>
          <w:kern w:val="0"/>
          <w:sz w:val="32"/>
          <w:szCs w:val="32"/>
          <w:shd w:val="clear" w:color="auto" w:fill="FFFFFF"/>
          <w:lang w:val="en-US" w:eastAsia="zh-CN" w:bidi="ar-SA"/>
        </w:rPr>
        <w:t>。</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left="0" w:leftChars="0"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（二）机关运行经费情况说明</w:t>
      </w:r>
    </w:p>
    <w:p>
      <w:pPr>
        <w:pStyle w:val="6"/>
        <w:keepNext w:val="0"/>
        <w:keepLines w:val="0"/>
        <w:pageBreakBefore w:val="0"/>
        <w:shd w:val="clear"/>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2023年度本部门机关运行经费支出67.44万元，机关运行经费主要用于开支</w:t>
      </w:r>
      <w:r>
        <w:rPr>
          <w:rFonts w:hint="eastAsia" w:ascii="Times New Roman" w:hAnsi="Times New Roman" w:eastAsia="方正仿宋_GBK" w:cs="Times New Roman"/>
          <w:kern w:val="0"/>
          <w:sz w:val="32"/>
          <w:szCs w:val="32"/>
          <w:shd w:val="clear" w:color="auto" w:fill="FFFFFF"/>
          <w:lang w:val="en-US" w:eastAsia="zh-CN" w:bidi="ar-SA"/>
        </w:rPr>
        <w:t>办公费、公务车运行维护费、水电费、差旅费等。</w:t>
      </w:r>
      <w:r>
        <w:rPr>
          <w:rFonts w:hint="default" w:ascii="Times New Roman" w:hAnsi="Times New Roman" w:eastAsia="方正仿宋_GBK" w:cs="Times New Roman"/>
          <w:kern w:val="0"/>
          <w:sz w:val="32"/>
          <w:szCs w:val="32"/>
          <w:shd w:val="clear" w:color="auto" w:fill="FFFFFF"/>
          <w:lang w:val="en-US" w:eastAsia="zh-CN" w:bidi="ar-SA"/>
        </w:rPr>
        <w:t>机关运行经费较上年支出数增加2.63万元，增长4.06%，主要原因是</w:t>
      </w:r>
      <w:r>
        <w:rPr>
          <w:rFonts w:hint="eastAsia" w:ascii="方正仿宋_GBK" w:hAnsi="方正仿宋_GBK" w:eastAsia="方正仿宋_GBK" w:cs="方正仿宋_GBK"/>
          <w:i w:val="0"/>
          <w:iCs w:val="0"/>
          <w:caps w:val="0"/>
          <w:color w:val="000000"/>
          <w:spacing w:val="0"/>
          <w:sz w:val="31"/>
          <w:szCs w:val="31"/>
          <w:shd w:val="clear" w:fill="FFFFFF"/>
          <w:lang w:val="en-US" w:eastAsia="zh-CN"/>
        </w:rPr>
        <w:t>本年会议和劳动技能培训增多，培训费和会议费增加，导致</w:t>
      </w:r>
      <w:r>
        <w:rPr>
          <w:rFonts w:hint="default" w:ascii="Times New Roman" w:hAnsi="Times New Roman" w:eastAsia="方正仿宋_GBK" w:cs="Times New Roman"/>
          <w:sz w:val="32"/>
          <w:szCs w:val="32"/>
          <w:shd w:val="clear" w:color="auto" w:fill="FFFFFF"/>
          <w:lang w:val="en-US" w:eastAsia="zh-CN" w:bidi="ar-SA"/>
        </w:rPr>
        <w:t>机关运行经费</w:t>
      </w:r>
      <w:r>
        <w:rPr>
          <w:rFonts w:hint="eastAsia" w:ascii="Times New Roman" w:hAnsi="Times New Roman" w:eastAsia="方正仿宋_GBK" w:cs="Times New Roman"/>
          <w:sz w:val="32"/>
          <w:szCs w:val="32"/>
          <w:shd w:val="clear" w:color="auto" w:fill="FFFFFF"/>
          <w:lang w:val="en-US" w:eastAsia="zh-CN" w:bidi="ar-SA"/>
        </w:rPr>
        <w:t>增加</w:t>
      </w:r>
      <w:r>
        <w:rPr>
          <w:rFonts w:hint="eastAsia" w:ascii="方正仿宋_GBK" w:hAnsi="方正仿宋_GBK" w:eastAsia="方正仿宋_GBK" w:cs="方正仿宋_GBK"/>
          <w:i w:val="0"/>
          <w:iCs w:val="0"/>
          <w:caps w:val="0"/>
          <w:color w:val="000000"/>
          <w:spacing w:val="0"/>
          <w:sz w:val="31"/>
          <w:szCs w:val="31"/>
          <w:shd w:val="clear" w:fill="FFFFFF"/>
          <w:lang w:val="en-US" w:eastAsia="zh-CN"/>
        </w:rPr>
        <w:t>。</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left="0" w:leftChars="0"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（三）国有资产占用情况说明</w:t>
      </w:r>
    </w:p>
    <w:p>
      <w:pPr>
        <w:pStyle w:val="6"/>
        <w:keepNext w:val="0"/>
        <w:keepLines w:val="0"/>
        <w:pageBreakBefore w:val="0"/>
        <w:shd w:val="clear"/>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 xml:space="preserve"> 截至2023年12月31日，本部门共有车辆2辆，其中，副部（省）级及以上领导用车0辆、主要负责人用车0辆、机要通信用车0辆、应急保障用车2辆、执法执勤用车0辆，特种专业技术用车0辆，离退休干部用车0辆。单价100万元（含）以上专用设备0台（套）。</w:t>
      </w:r>
    </w:p>
    <w:p>
      <w:pPr>
        <w:pStyle w:val="11"/>
        <w:keepNext w:val="0"/>
        <w:keepLines w:val="0"/>
        <w:pageBreakBefore w:val="0"/>
        <w:shd w:val="clear"/>
        <w:kinsoku/>
        <w:wordWrap/>
        <w:overflowPunct/>
        <w:topLinePunct w:val="0"/>
        <w:autoSpaceDE w:val="0"/>
        <w:autoSpaceDN/>
        <w:bidi w:val="0"/>
        <w:adjustRightInd/>
        <w:spacing w:beforeAutospacing="0" w:afterAutospacing="0" w:line="594" w:lineRule="exact"/>
        <w:ind w:left="0" w:leftChars="0" w:firstLine="640" w:firstLineChars="200"/>
        <w:jc w:val="both"/>
        <w:textAlignment w:val="auto"/>
        <w:rPr>
          <w:rFonts w:hint="eastAsia" w:ascii="方正楷体_GBK" w:hAnsi="方正楷体_GBK" w:eastAsia="方正楷体_GBK" w:cs="方正楷体_GBK"/>
          <w:kern w:val="2"/>
          <w:sz w:val="32"/>
          <w:szCs w:val="32"/>
          <w:lang w:val="en-US" w:eastAsia="zh-CN" w:bidi="ar-SA"/>
        </w:rPr>
      </w:pPr>
      <w:r>
        <w:rPr>
          <w:rFonts w:hint="eastAsia" w:ascii="方正楷体_GBK" w:hAnsi="方正楷体_GBK" w:eastAsia="方正楷体_GBK" w:cs="方正楷体_GBK"/>
          <w:kern w:val="2"/>
          <w:sz w:val="32"/>
          <w:szCs w:val="32"/>
          <w:lang w:val="en-US" w:eastAsia="zh-CN" w:bidi="ar-SA"/>
        </w:rPr>
        <w:t>（四）政府采购支出情况说明</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 xml:space="preserve"> 2023年度本部门政府采购支出总额3.35万元，其中：政府采购货物支出3.35万元、政府采购工程支出0.00万元、政府采购服务支出0.00万元。授予中小企业合同金额3.35万元，占政府采购支出总额的100.00%，其中：授予小微企业合同金额3.35万元，占政府采购支出总额的100.00 %。主要用于采购</w:t>
      </w:r>
      <w:r>
        <w:rPr>
          <w:rFonts w:hint="eastAsia" w:ascii="Times New Roman" w:hAnsi="Times New Roman" w:eastAsia="方正仿宋_GBK" w:cs="Times New Roman"/>
          <w:kern w:val="0"/>
          <w:sz w:val="32"/>
          <w:szCs w:val="32"/>
          <w:shd w:val="clear" w:color="auto" w:fill="FFFFFF"/>
          <w:lang w:val="en-US" w:eastAsia="zh-CN" w:bidi="ar-SA"/>
        </w:rPr>
        <w:t>办公电脑。</w:t>
      </w:r>
    </w:p>
    <w:p>
      <w:pPr>
        <w:pStyle w:val="6"/>
        <w:keepNext w:val="0"/>
        <w:keepLines w:val="0"/>
        <w:pageBreakBefore w:val="0"/>
        <w:shd w:val="clear" w:color="auto"/>
        <w:kinsoku/>
        <w:wordWrap/>
        <w:overflowPunct/>
        <w:topLinePunct w:val="0"/>
        <w:autoSpaceDN/>
        <w:bidi w:val="0"/>
        <w:adjustRightInd/>
        <w:spacing w:beforeAutospacing="0" w:after="0" w:afterAutospacing="0" w:line="594" w:lineRule="exact"/>
        <w:ind w:firstLine="640" w:firstLineChars="200"/>
        <w:textAlignment w:val="auto"/>
        <w:rPr>
          <w:rStyle w:val="10"/>
          <w:rFonts w:hint="default" w:ascii="方正黑体_GBK" w:hAnsi="方正黑体_GBK" w:eastAsia="方正黑体_GBK" w:cs="方正黑体_GBK"/>
          <w:b w:val="0"/>
          <w:bCs/>
          <w:sz w:val="32"/>
          <w:szCs w:val="32"/>
          <w:shd w:val="clear" w:color="auto" w:fill="FFFFFF"/>
          <w:lang w:val="en-US" w:eastAsia="zh-CN"/>
        </w:rPr>
      </w:pPr>
      <w:r>
        <w:rPr>
          <w:rStyle w:val="10"/>
          <w:rFonts w:hint="eastAsia" w:ascii="方正黑体_GBK" w:hAnsi="方正黑体_GBK" w:eastAsia="方正黑体_GBK" w:cs="方正黑体_GBK"/>
          <w:b w:val="0"/>
          <w:bCs/>
          <w:sz w:val="32"/>
          <w:szCs w:val="32"/>
          <w:shd w:val="clear" w:color="auto" w:fill="FFFFFF"/>
          <w:lang w:val="en-US" w:eastAsia="zh-CN"/>
        </w:rPr>
        <w:t>五、预算绩效管理情况说明</w:t>
      </w:r>
    </w:p>
    <w:p>
      <w:pPr>
        <w:pStyle w:val="11"/>
        <w:autoSpaceDE w:val="0"/>
        <w:ind w:firstLine="643"/>
        <w:rPr>
          <w:rFonts w:hint="eastAsia" w:ascii="楷体" w:hAnsi="楷体" w:eastAsia="楷体" w:cs="楷体"/>
          <w:b/>
          <w:bCs/>
          <w:sz w:val="32"/>
          <w:szCs w:val="32"/>
          <w:shd w:val="clear" w:color="auto" w:fill="FFFFFF"/>
        </w:rPr>
      </w:pPr>
      <w:r>
        <w:rPr>
          <w:rFonts w:hint="eastAsia" w:ascii="方正楷体_GBK" w:hAnsi="方正楷体_GBK" w:eastAsia="方正楷体_GBK" w:cs="方正楷体_GBK"/>
          <w:kern w:val="2"/>
          <w:sz w:val="32"/>
          <w:szCs w:val="32"/>
          <w:lang w:val="en-US" w:eastAsia="zh-CN" w:bidi="ar-SA"/>
        </w:rPr>
        <w:t>（一）部门自评情况</w:t>
      </w:r>
    </w:p>
    <w:tbl>
      <w:tblPr>
        <w:tblStyle w:val="7"/>
        <w:tblW w:w="68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53"/>
        <w:gridCol w:w="944"/>
        <w:gridCol w:w="944"/>
        <w:gridCol w:w="751"/>
        <w:gridCol w:w="619"/>
        <w:gridCol w:w="736"/>
        <w:gridCol w:w="713"/>
        <w:gridCol w:w="710"/>
        <w:gridCol w:w="522"/>
        <w:gridCol w:w="674"/>
        <w:gridCol w:w="67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6" w:hRule="atLeast"/>
        </w:trPr>
        <w:tc>
          <w:tcPr>
            <w:tcW w:w="6820"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微软雅黑" w:hAnsi="微软雅黑" w:eastAsia="微软雅黑" w:cs="微软雅黑"/>
                <w:b/>
                <w:bCs/>
                <w:i w:val="0"/>
                <w:iCs w:val="0"/>
                <w:color w:val="000000"/>
                <w:sz w:val="28"/>
                <w:szCs w:val="28"/>
                <w:u w:val="none"/>
              </w:rPr>
            </w:pPr>
            <w:r>
              <w:rPr>
                <w:rFonts w:hint="eastAsia" w:ascii="微软雅黑" w:hAnsi="微软雅黑" w:eastAsia="微软雅黑" w:cs="微软雅黑"/>
                <w:b/>
                <w:bCs/>
                <w:i w:val="0"/>
                <w:iCs w:val="0"/>
                <w:color w:val="000000"/>
                <w:kern w:val="0"/>
                <w:sz w:val="28"/>
                <w:szCs w:val="28"/>
                <w:u w:val="none"/>
                <w:lang w:val="en-US" w:eastAsia="zh-CN" w:bidi="ar"/>
              </w:rPr>
              <w:t>2023年度部门整体绩效自评表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 w:hRule="atLeast"/>
        </w:trPr>
        <w:tc>
          <w:tcPr>
            <w:tcW w:w="0" w:type="auto"/>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b/>
                <w:bCs/>
                <w:i w:val="0"/>
                <w:iCs w:val="0"/>
                <w:color w:val="DA3232"/>
                <w:sz w:val="18"/>
                <w:szCs w:val="18"/>
                <w:u w:val="none"/>
              </w:rPr>
            </w:pPr>
            <w:r>
              <w:rPr>
                <w:rFonts w:hint="eastAsia" w:ascii="宋体" w:hAnsi="宋体" w:eastAsia="宋体" w:cs="宋体"/>
                <w:b/>
                <w:bCs/>
                <w:i w:val="0"/>
                <w:iCs w:val="0"/>
                <w:color w:val="auto"/>
                <w:kern w:val="0"/>
                <w:sz w:val="18"/>
                <w:szCs w:val="18"/>
                <w:u w:val="none"/>
                <w:lang w:val="en-US" w:eastAsia="zh-CN" w:bidi="ar"/>
              </w:rPr>
              <w:t>状态：绩效审核已审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石柱土家族自治县三星乡人民政府整体自评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项目编码：</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50024000023P000080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自评总分：</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99.83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52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项目主管部门：</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925-石柱土家族自治县三星乡人民政府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财政归口处室：</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509-农业农村和基层财政科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部门联系人：</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肖永富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联系电话：</w:t>
            </w:r>
          </w:p>
        </w:tc>
        <w:tc>
          <w:tcPr>
            <w:tcW w:w="52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i w:val="0"/>
                <w:iCs w:val="0"/>
                <w:color w:val="000000"/>
                <w:sz w:val="18"/>
                <w:szCs w:val="18"/>
                <w:u w:val="none"/>
                <w:lang w:val="en-US" w:eastAsia="zh-CN"/>
              </w:rPr>
            </w:pPr>
            <w:r>
              <w:rPr>
                <w:rFonts w:hint="eastAsia" w:cs="宋体"/>
                <w:i w:val="0"/>
                <w:iCs w:val="0"/>
                <w:color w:val="000000"/>
                <w:sz w:val="18"/>
                <w:szCs w:val="18"/>
                <w:u w:val="none"/>
                <w:lang w:val="en-US" w:eastAsia="zh-CN"/>
              </w:rPr>
              <w:t>023-73340055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0" w:type="auto"/>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808080"/>
                <w:sz w:val="21"/>
                <w:szCs w:val="21"/>
                <w:u w:val="none"/>
              </w:rPr>
            </w:pPr>
            <w:r>
              <w:rPr>
                <w:rFonts w:hint="eastAsia" w:ascii="微软雅黑" w:hAnsi="微软雅黑" w:eastAsia="微软雅黑" w:cs="微软雅黑"/>
                <w:b/>
                <w:bCs/>
                <w:i w:val="0"/>
                <w:iCs w:val="0"/>
                <w:color w:val="808080"/>
                <w:kern w:val="0"/>
                <w:sz w:val="21"/>
                <w:szCs w:val="21"/>
                <w:u w:val="none"/>
                <w:lang w:val="en-US" w:eastAsia="zh-CN" w:bidi="ar"/>
              </w:rPr>
              <w:t>资金情况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年初预算数</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全年（调整）预算数</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全年执行数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执行率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执行率权重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执行率得分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93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年度总金额</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11,725,145.74 </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595"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26,257,528.54 </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25,836,234.06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93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其中：财政拨款</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11,725,145.74 </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595"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26,257,528.54 </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25,836,234.06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9.83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93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一般公共预算</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11,725,145.74 </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595"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25,801,728.54 </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25,542,377.78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0" w:type="auto"/>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808080"/>
                <w:sz w:val="21"/>
                <w:szCs w:val="21"/>
                <w:u w:val="none"/>
              </w:rPr>
            </w:pPr>
            <w:r>
              <w:rPr>
                <w:rFonts w:hint="eastAsia" w:ascii="微软雅黑" w:hAnsi="微软雅黑" w:eastAsia="微软雅黑" w:cs="微软雅黑"/>
                <w:b/>
                <w:bCs/>
                <w:i w:val="0"/>
                <w:iCs w:val="0"/>
                <w:color w:val="808080"/>
                <w:kern w:val="0"/>
                <w:sz w:val="21"/>
                <w:szCs w:val="21"/>
                <w:u w:val="none"/>
                <w:lang w:val="en-US" w:eastAsia="zh-CN" w:bidi="ar"/>
              </w:rPr>
              <w:t>绩效目标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年初绩效目标</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全年（调整）绩效目标</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全年目标实际完成情况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3069"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一是认真贯彻党的基本路线、方针政策和上级组织的决议、指示、命令；二是对本乡重大问题进行决策，研究制定全乡经济、社会和文化发展；三是巩固</w:t>
            </w:r>
            <w:r>
              <w:rPr>
                <w:rFonts w:hint="eastAsia" w:cs="宋体"/>
                <w:i w:val="0"/>
                <w:iCs w:val="0"/>
                <w:color w:val="000000"/>
                <w:kern w:val="0"/>
                <w:sz w:val="18"/>
                <w:szCs w:val="18"/>
                <w:u w:val="none"/>
                <w:lang w:val="en-US" w:eastAsia="zh-CN" w:bidi="ar"/>
              </w:rPr>
              <w:t>拓展</w:t>
            </w:r>
            <w:r>
              <w:rPr>
                <w:rFonts w:hint="eastAsia" w:ascii="宋体" w:hAnsi="宋体" w:eastAsia="宋体" w:cs="宋体"/>
                <w:i w:val="0"/>
                <w:iCs w:val="0"/>
                <w:color w:val="000000"/>
                <w:kern w:val="0"/>
                <w:sz w:val="18"/>
                <w:szCs w:val="18"/>
                <w:u w:val="none"/>
                <w:lang w:val="en-US" w:eastAsia="zh-CN" w:bidi="ar"/>
              </w:rPr>
              <w:t>脱贫攻坚成果，大力提升人居环境，全面实施乡村振兴战略，加快基础设施建设步伐。</w:t>
            </w:r>
          </w:p>
        </w:tc>
        <w:tc>
          <w:tcPr>
            <w:tcW w:w="2255"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jc w:val="left"/>
              <w:rPr>
                <w:rFonts w:hint="eastAsia" w:ascii="宋体" w:hAnsi="宋体" w:eastAsia="宋体" w:cs="宋体"/>
                <w:i w:val="0"/>
                <w:iCs w:val="0"/>
                <w:color w:val="000000"/>
                <w:sz w:val="18"/>
                <w:szCs w:val="18"/>
                <w:u w:val="none"/>
              </w:rPr>
            </w:pPr>
          </w:p>
        </w:tc>
        <w:tc>
          <w:tcPr>
            <w:tcW w:w="1496"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坚持以习近平新时代中国特色社会主义思想为指导，深入贯彻党的二十大精神，在县委、县政府的坚强领导下，以扎实开展学习贯彻习近平新时代中国特色社会主义思想主题教育为主线，坚持“稳进增效、除险清患、改革求变、惠民有感”工作导向，强抓基础设施建设，精抓特色产业发展，细抓基层社会治理，牢牢守住“三保”底线，实现全体居民人均可支配收入增长14.3%，非税收入19.6099万元，经济发展稳中向好、稳中有进、稳中提质、稳中蓄势，整体跃上新台阶、步入新阶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0" w:type="auto"/>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808080"/>
                <w:sz w:val="21"/>
                <w:szCs w:val="21"/>
                <w:u w:val="none"/>
              </w:rPr>
            </w:pPr>
            <w:r>
              <w:rPr>
                <w:rFonts w:hint="eastAsia" w:ascii="微软雅黑" w:hAnsi="微软雅黑" w:eastAsia="微软雅黑" w:cs="微软雅黑"/>
                <w:b/>
                <w:bCs/>
                <w:i w:val="0"/>
                <w:iCs w:val="0"/>
                <w:color w:val="808080"/>
                <w:kern w:val="0"/>
                <w:sz w:val="21"/>
                <w:szCs w:val="21"/>
                <w:u w:val="none"/>
                <w:lang w:val="en-US" w:eastAsia="zh-CN" w:bidi="ar"/>
              </w:rPr>
              <w:t>绩效指标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计量单位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指标性质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全年完成值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偏离度（%）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得分系数（%）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指标权重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是否核心指标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按计划完成人员经费支出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项目完工合格率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项目按时完工率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促进经济发展</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优良中低差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促进社会稳定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优良中低差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人居环境改善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明显改善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整体支出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987.54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987.54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default" w:ascii="宋体" w:hAnsi="宋体" w:eastAsia="宋体" w:cs="宋体"/>
                <w:i w:val="0"/>
                <w:iCs w:val="0"/>
                <w:color w:val="000000"/>
                <w:sz w:val="18"/>
                <w:szCs w:val="18"/>
                <w:u w:val="none"/>
                <w:lang w:val="en-US" w:eastAsia="zh-CN"/>
              </w:rPr>
            </w:pPr>
          </w:p>
        </w:tc>
      </w:tr>
    </w:tbl>
    <w:p>
      <w:pPr>
        <w:pStyle w:val="11"/>
        <w:keepNext w:val="0"/>
        <w:keepLines w:val="0"/>
        <w:pageBreakBefore w:val="0"/>
        <w:kinsoku/>
        <w:wordWrap/>
        <w:overflowPunct/>
        <w:topLinePunct w:val="0"/>
        <w:autoSpaceDE w:val="0"/>
        <w:autoSpaceDN/>
        <w:bidi w:val="0"/>
        <w:adjustRightInd/>
        <w:spacing w:beforeAutospacing="0" w:afterAutospacing="0" w:line="594" w:lineRule="exact"/>
        <w:ind w:left="0" w:leftChars="0" w:firstLine="0" w:firstLineChars="0"/>
        <w:textAlignment w:val="auto"/>
        <w:rPr>
          <w:rFonts w:hint="eastAsia" w:ascii="楷体" w:hAnsi="楷体" w:eastAsia="楷体" w:cs="楷体"/>
          <w:b/>
          <w:bCs/>
          <w:sz w:val="32"/>
          <w:szCs w:val="32"/>
          <w:shd w:val="clear" w:color="auto" w:fill="FFFFFF"/>
        </w:rPr>
      </w:pPr>
    </w:p>
    <w:p>
      <w:pPr>
        <w:pStyle w:val="11"/>
        <w:keepNext w:val="0"/>
        <w:keepLines w:val="0"/>
        <w:pageBreakBefore w:val="0"/>
        <w:kinsoku/>
        <w:wordWrap/>
        <w:overflowPunct/>
        <w:topLinePunct w:val="0"/>
        <w:autoSpaceDE w:val="0"/>
        <w:autoSpaceDN/>
        <w:bidi w:val="0"/>
        <w:adjustRightInd/>
        <w:spacing w:beforeAutospacing="0" w:afterAutospacing="0" w:line="594" w:lineRule="exact"/>
        <w:ind w:firstLine="643"/>
        <w:textAlignment w:val="auto"/>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（二）部门绩效评价情况</w:t>
      </w:r>
    </w:p>
    <w:p>
      <w:pPr>
        <w:keepNext w:val="0"/>
        <w:keepLines w:val="0"/>
        <w:pageBreakBefore w:val="0"/>
        <w:kinsoku/>
        <w:wordWrap/>
        <w:overflowPunct/>
        <w:topLinePunct w:val="0"/>
        <w:autoSpaceDN/>
        <w:bidi w:val="0"/>
        <w:adjustRightInd/>
        <w:spacing w:beforeAutospacing="0" w:afterAutospacing="0" w:line="594" w:lineRule="exact"/>
        <w:ind w:firstLine="620" w:firstLineChars="200"/>
        <w:jc w:val="left"/>
        <w:textAlignment w:val="auto"/>
        <w:rPr>
          <w:rFonts w:hint="eastAsia"/>
          <w:lang w:val="en-US" w:eastAsia="zh-CN"/>
        </w:rPr>
      </w:pPr>
      <w:r>
        <w:rPr>
          <w:rFonts w:ascii="方正仿宋_GBK" w:hAnsi="方正仿宋_GBK" w:eastAsia="方正仿宋_GBK" w:cs="方正仿宋_GBK"/>
          <w:i w:val="0"/>
          <w:iCs w:val="0"/>
          <w:caps w:val="0"/>
          <w:color w:val="000000"/>
          <w:spacing w:val="0"/>
          <w:sz w:val="31"/>
          <w:szCs w:val="31"/>
          <w:shd w:val="clear" w:fill="FFFFFF"/>
        </w:rPr>
        <w:t>我部门对</w:t>
      </w:r>
      <w:r>
        <w:rPr>
          <w:rFonts w:hint="eastAsia" w:ascii="方正仿宋_GBK" w:hAnsi="方正仿宋_GBK" w:eastAsia="方正仿宋_GBK" w:cs="方正仿宋_GBK"/>
          <w:i w:val="0"/>
          <w:iCs w:val="0"/>
          <w:caps w:val="0"/>
          <w:color w:val="000000"/>
          <w:spacing w:val="0"/>
          <w:sz w:val="31"/>
          <w:szCs w:val="31"/>
          <w:shd w:val="clear" w:fill="FFFFFF"/>
          <w:lang w:val="en-US" w:eastAsia="zh-CN"/>
        </w:rPr>
        <w:t>三星乡</w:t>
      </w:r>
      <w:r>
        <w:rPr>
          <w:rFonts w:hint="eastAsia" w:ascii="方正仿宋_GBK" w:hAnsi="方正仿宋_GBK" w:eastAsia="方正仿宋_GBK" w:cs="方正仿宋_GBK"/>
          <w:i w:val="0"/>
          <w:iCs w:val="0"/>
          <w:caps w:val="0"/>
          <w:color w:val="000000"/>
          <w:spacing w:val="0"/>
          <w:sz w:val="31"/>
          <w:szCs w:val="31"/>
          <w:shd w:val="clear" w:fill="FFFFFF"/>
        </w:rPr>
        <w:t>人民政府部门整体开展了绩效评价，涉及财政拨款项目资金</w:t>
      </w:r>
      <w:r>
        <w:rPr>
          <w:rFonts w:hint="default" w:ascii="Times New Roman" w:hAnsi="Times New Roman" w:eastAsia="宋体" w:cs="Times New Roman"/>
          <w:i w:val="0"/>
          <w:iCs w:val="0"/>
          <w:caps w:val="0"/>
          <w:color w:val="000000"/>
          <w:spacing w:val="0"/>
          <w:sz w:val="31"/>
          <w:szCs w:val="31"/>
          <w:shd w:val="clear" w:fill="FFFFFF"/>
        </w:rPr>
        <w:t>2</w:t>
      </w:r>
      <w:r>
        <w:rPr>
          <w:rFonts w:hint="eastAsia" w:ascii="Times New Roman" w:hAnsi="Times New Roman" w:eastAsia="宋体" w:cs="Times New Roman"/>
          <w:i w:val="0"/>
          <w:iCs w:val="0"/>
          <w:caps w:val="0"/>
          <w:color w:val="000000"/>
          <w:spacing w:val="0"/>
          <w:sz w:val="31"/>
          <w:szCs w:val="31"/>
          <w:shd w:val="clear" w:fill="FFFFFF"/>
          <w:lang w:val="en-US" w:eastAsia="zh-CN"/>
        </w:rPr>
        <w:t>583.62</w:t>
      </w:r>
      <w:r>
        <w:rPr>
          <w:rFonts w:hint="eastAsia" w:ascii="方正仿宋_GBK" w:hAnsi="方正仿宋_GBK" w:eastAsia="方正仿宋_GBK" w:cs="方正仿宋_GBK"/>
          <w:i w:val="0"/>
          <w:iCs w:val="0"/>
          <w:caps w:val="0"/>
          <w:color w:val="000000"/>
          <w:spacing w:val="0"/>
          <w:sz w:val="31"/>
          <w:szCs w:val="31"/>
          <w:shd w:val="clear" w:fill="FFFFFF"/>
        </w:rPr>
        <w:t>万元，评价得分</w:t>
      </w:r>
      <w:r>
        <w:rPr>
          <w:rFonts w:hint="eastAsia" w:ascii="Times New Roman" w:hAnsi="Times New Roman" w:eastAsia="宋体" w:cs="Times New Roman"/>
          <w:i w:val="0"/>
          <w:iCs w:val="0"/>
          <w:caps w:val="0"/>
          <w:color w:val="000000"/>
          <w:spacing w:val="0"/>
          <w:sz w:val="31"/>
          <w:szCs w:val="31"/>
          <w:shd w:val="clear" w:fill="FFFFFF"/>
          <w:lang w:val="en-US" w:eastAsia="zh-CN"/>
        </w:rPr>
        <w:t>99.83</w:t>
      </w:r>
      <w:r>
        <w:rPr>
          <w:rFonts w:hint="eastAsia" w:ascii="方正仿宋_GBK" w:hAnsi="方正仿宋_GBK" w:eastAsia="方正仿宋_GBK" w:cs="方正仿宋_GBK"/>
          <w:i w:val="0"/>
          <w:iCs w:val="0"/>
          <w:caps w:val="0"/>
          <w:color w:val="000000"/>
          <w:spacing w:val="0"/>
          <w:sz w:val="31"/>
          <w:szCs w:val="31"/>
          <w:shd w:val="clear" w:fill="FFFFFF"/>
        </w:rPr>
        <w:t>分，评价等次为</w:t>
      </w:r>
      <w:r>
        <w:rPr>
          <w:rFonts w:hint="eastAsia" w:ascii="Times New Roman" w:hAnsi="Times New Roman" w:eastAsia="宋体" w:cs="Times New Roman"/>
          <w:i w:val="0"/>
          <w:iCs w:val="0"/>
          <w:caps w:val="0"/>
          <w:color w:val="000000"/>
          <w:spacing w:val="0"/>
          <w:sz w:val="31"/>
          <w:szCs w:val="31"/>
          <w:shd w:val="clear" w:fill="FFFFFF"/>
          <w:lang w:val="en-US" w:eastAsia="zh-CN"/>
        </w:rPr>
        <w:t>A</w:t>
      </w:r>
      <w:r>
        <w:rPr>
          <w:rFonts w:hint="eastAsia" w:ascii="方正仿宋_GBK" w:hAnsi="方正仿宋_GBK" w:eastAsia="方正仿宋_GBK" w:cs="方正仿宋_GBK"/>
          <w:i w:val="0"/>
          <w:iCs w:val="0"/>
          <w:caps w:val="0"/>
          <w:color w:val="000000"/>
          <w:spacing w:val="0"/>
          <w:sz w:val="31"/>
          <w:szCs w:val="31"/>
          <w:shd w:val="clear" w:fill="FFFFFF"/>
        </w:rPr>
        <w:t>，从评价情况来看，项目支出都较好</w:t>
      </w:r>
      <w:r>
        <w:rPr>
          <w:rFonts w:hint="eastAsia" w:ascii="方正仿宋_GBK" w:hAnsi="方正仿宋_GBK" w:eastAsia="方正仿宋_GBK" w:cs="方正仿宋_GBK"/>
          <w:i w:val="0"/>
          <w:iCs w:val="0"/>
          <w:caps w:val="0"/>
          <w:color w:val="000000"/>
          <w:spacing w:val="0"/>
          <w:sz w:val="31"/>
          <w:szCs w:val="31"/>
          <w:shd w:val="clear" w:fill="FFFFFF"/>
          <w:lang w:eastAsia="zh-CN"/>
        </w:rPr>
        <w:t>地</w:t>
      </w:r>
      <w:r>
        <w:rPr>
          <w:rFonts w:hint="eastAsia" w:ascii="方正仿宋_GBK" w:hAnsi="方正仿宋_GBK" w:eastAsia="方正仿宋_GBK" w:cs="方正仿宋_GBK"/>
          <w:i w:val="0"/>
          <w:iCs w:val="0"/>
          <w:caps w:val="0"/>
          <w:color w:val="000000"/>
          <w:spacing w:val="0"/>
          <w:sz w:val="31"/>
          <w:szCs w:val="31"/>
          <w:shd w:val="clear" w:fill="FFFFFF"/>
        </w:rPr>
        <w:t>完成了既定目标，取得了良好的社会与经济效益。</w:t>
      </w:r>
      <w:r>
        <w:rPr>
          <w:rFonts w:hint="eastAsia" w:ascii="Times New Roman" w:hAnsi="Times New Roman" w:eastAsia="宋体" w:cs="Times New Roman"/>
          <w:i w:val="0"/>
          <w:iCs w:val="0"/>
          <w:caps w:val="0"/>
          <w:color w:val="000000"/>
          <w:spacing w:val="0"/>
          <w:sz w:val="31"/>
          <w:szCs w:val="31"/>
          <w:shd w:val="clear" w:fill="FFFFFF"/>
          <w:lang w:val="en-US" w:eastAsia="zh-CN"/>
        </w:rPr>
        <w:t>2024</w:t>
      </w:r>
      <w:r>
        <w:rPr>
          <w:rFonts w:hint="eastAsia" w:ascii="方正仿宋_GBK" w:hAnsi="方正仿宋_GBK" w:eastAsia="方正仿宋_GBK" w:cs="方正仿宋_GBK"/>
          <w:i w:val="0"/>
          <w:iCs w:val="0"/>
          <w:caps w:val="0"/>
          <w:color w:val="000000"/>
          <w:spacing w:val="0"/>
          <w:sz w:val="31"/>
          <w:szCs w:val="31"/>
          <w:shd w:val="clear" w:fill="FFFFFF"/>
          <w:lang w:val="en-US" w:eastAsia="zh-CN"/>
        </w:rPr>
        <w:t>年，我乡</w:t>
      </w:r>
      <w:r>
        <w:rPr>
          <w:rFonts w:hint="eastAsia" w:ascii="方正仿宋_GBK" w:hAnsi="方正仿宋_GBK" w:eastAsia="方正仿宋_GBK" w:cs="方正仿宋_GBK"/>
          <w:i w:val="0"/>
          <w:iCs w:val="0"/>
          <w:caps w:val="0"/>
          <w:color w:val="000000"/>
          <w:spacing w:val="0"/>
          <w:sz w:val="31"/>
          <w:szCs w:val="31"/>
          <w:shd w:val="clear" w:fill="FFFFFF"/>
        </w:rPr>
        <w:t>将加大推进绩效管理力度</w:t>
      </w:r>
      <w:r>
        <w:rPr>
          <w:rFonts w:hint="eastAsia" w:ascii="方正仿宋_GBK" w:hAnsi="方正仿宋_GBK" w:eastAsia="方正仿宋_GBK" w:cs="方正仿宋_GBK"/>
          <w:i w:val="0"/>
          <w:iCs w:val="0"/>
          <w:caps w:val="0"/>
          <w:color w:val="000000"/>
          <w:spacing w:val="0"/>
          <w:sz w:val="31"/>
          <w:szCs w:val="31"/>
          <w:shd w:val="clear" w:fill="FFFFFF"/>
          <w:lang w:val="en-US" w:eastAsia="zh-CN"/>
        </w:rPr>
        <w:t>和</w:t>
      </w:r>
      <w:r>
        <w:rPr>
          <w:rFonts w:hint="eastAsia" w:ascii="方正仿宋_GBK" w:hAnsi="方正仿宋_GBK" w:eastAsia="方正仿宋_GBK" w:cs="方正仿宋_GBK"/>
          <w:i w:val="0"/>
          <w:iCs w:val="0"/>
          <w:caps w:val="0"/>
          <w:color w:val="000000"/>
          <w:spacing w:val="0"/>
          <w:sz w:val="31"/>
          <w:szCs w:val="31"/>
          <w:shd w:val="clear" w:fill="FFFFFF"/>
        </w:rPr>
        <w:t>绩效评价结果运用力度，</w:t>
      </w:r>
      <w:r>
        <w:rPr>
          <w:rFonts w:hint="eastAsia" w:ascii="方正仿宋_GBK" w:hAnsi="方正仿宋_GBK" w:eastAsia="方正仿宋_GBK" w:cs="方正仿宋_GBK"/>
          <w:i w:val="0"/>
          <w:iCs w:val="0"/>
          <w:caps w:val="0"/>
          <w:color w:val="000000"/>
          <w:spacing w:val="0"/>
          <w:sz w:val="31"/>
          <w:szCs w:val="31"/>
          <w:shd w:val="clear" w:fill="FFFFFF"/>
          <w:lang w:val="en-US" w:eastAsia="zh-CN"/>
        </w:rPr>
        <w:t>逐步</w:t>
      </w:r>
      <w:r>
        <w:rPr>
          <w:rFonts w:ascii="方正仿宋_GBK" w:hAnsi="方正仿宋_GBK" w:eastAsia="方正仿宋_GBK" w:cs="方正仿宋_GBK"/>
          <w:i w:val="0"/>
          <w:iCs w:val="0"/>
          <w:caps w:val="0"/>
          <w:color w:val="000000"/>
          <w:spacing w:val="0"/>
          <w:sz w:val="31"/>
          <w:szCs w:val="31"/>
          <w:shd w:val="clear" w:fill="FFFFFF"/>
        </w:rPr>
        <w:t>形成预算前期有目标审核、预算执行有跟踪评价、预算结算有绩效评价的预算绩效管理评价机制。</w:t>
      </w:r>
    </w:p>
    <w:p>
      <w:pPr>
        <w:pStyle w:val="11"/>
        <w:keepNext w:val="0"/>
        <w:keepLines w:val="0"/>
        <w:pageBreakBefore w:val="0"/>
        <w:kinsoku/>
        <w:wordWrap/>
        <w:overflowPunct/>
        <w:topLinePunct w:val="0"/>
        <w:autoSpaceDE w:val="0"/>
        <w:autoSpaceDN/>
        <w:bidi w:val="0"/>
        <w:adjustRightInd/>
        <w:spacing w:beforeAutospacing="0" w:afterAutospacing="0" w:line="594" w:lineRule="exact"/>
        <w:ind w:firstLine="643"/>
        <w:textAlignment w:val="auto"/>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（三）财政绩效评价情况</w:t>
      </w:r>
    </w:p>
    <w:p>
      <w:pPr>
        <w:pStyle w:val="11"/>
        <w:keepNext w:val="0"/>
        <w:keepLines w:val="0"/>
        <w:pageBreakBefore w:val="0"/>
        <w:kinsoku/>
        <w:wordWrap/>
        <w:overflowPunct/>
        <w:topLinePunct w:val="0"/>
        <w:autoSpaceDE w:val="0"/>
        <w:autoSpaceDN/>
        <w:bidi w:val="0"/>
        <w:adjustRightInd/>
        <w:spacing w:beforeAutospacing="0" w:afterAutospacing="0" w:line="594" w:lineRule="exact"/>
        <w:ind w:firstLine="643"/>
        <w:textAlignment w:val="auto"/>
        <w:rPr>
          <w:rFonts w:hint="eastAsia" w:ascii="方正仿宋_GBK" w:hAnsi="方正仿宋_GBK" w:eastAsia="方正仿宋_GBK" w:cs="方正仿宋_GBK"/>
          <w:i w:val="0"/>
          <w:iCs w:val="0"/>
          <w:caps w:val="0"/>
          <w:color w:val="000000"/>
          <w:spacing w:val="0"/>
          <w:sz w:val="31"/>
          <w:szCs w:val="31"/>
          <w:shd w:val="clear" w:fill="FFFFFF"/>
          <w:lang w:val="en-US" w:eastAsia="zh-CN" w:bidi="ar-SA"/>
        </w:rPr>
      </w:pPr>
      <w:r>
        <w:rPr>
          <w:rFonts w:hint="eastAsia" w:ascii="方正仿宋_GBK" w:hAnsi="方正仿宋_GBK" w:eastAsia="方正仿宋_GBK" w:cs="方正仿宋_GBK"/>
          <w:i w:val="0"/>
          <w:iCs w:val="0"/>
          <w:caps w:val="0"/>
          <w:color w:val="000000"/>
          <w:spacing w:val="0"/>
          <w:sz w:val="31"/>
          <w:szCs w:val="31"/>
          <w:shd w:val="clear" w:fill="FFFFFF"/>
          <w:lang w:val="en-US" w:eastAsia="zh-CN" w:bidi="ar-SA"/>
        </w:rPr>
        <w:t>市财政局未委托第三方对我部门开展绩效评价。</w:t>
      </w:r>
    </w:p>
    <w:p>
      <w:pPr>
        <w:pStyle w:val="6"/>
        <w:keepNext w:val="0"/>
        <w:keepLines w:val="0"/>
        <w:pageBreakBefore w:val="0"/>
        <w:shd w:val="clear" w:color="auto"/>
        <w:kinsoku/>
        <w:wordWrap/>
        <w:overflowPunct/>
        <w:topLinePunct w:val="0"/>
        <w:autoSpaceDN/>
        <w:bidi w:val="0"/>
        <w:adjustRightInd/>
        <w:spacing w:before="0" w:beforeAutospacing="0" w:after="0" w:afterAutospacing="0" w:line="594" w:lineRule="exact"/>
        <w:textAlignment w:val="auto"/>
        <w:rPr>
          <w:rStyle w:val="10"/>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 xml:space="preserve"> </w:t>
      </w:r>
      <w:r>
        <w:rPr>
          <w:rStyle w:val="10"/>
          <w:rFonts w:hint="eastAsia" w:ascii="方正仿宋_GBK" w:hAnsi="方正仿宋_GBK" w:eastAsia="方正仿宋_GBK" w:cs="方正仿宋_GBK"/>
          <w:sz w:val="32"/>
          <w:szCs w:val="32"/>
          <w:shd w:val="clear" w:color="auto" w:fill="FFFFFF"/>
          <w:lang w:val="en-US" w:eastAsia="zh-CN"/>
        </w:rPr>
        <w:t xml:space="preserve">  </w:t>
      </w:r>
      <w:r>
        <w:rPr>
          <w:rStyle w:val="10"/>
          <w:rFonts w:ascii="黑体" w:hAnsi="黑体" w:eastAsia="黑体" w:cs="黑体"/>
          <w:sz w:val="32"/>
          <w:szCs w:val="32"/>
          <w:shd w:val="clear" w:color="auto" w:fill="FFFFFF"/>
        </w:rPr>
        <w:t>六、专业名词解释</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lang w:val="en-US" w:eastAsia="zh-CN"/>
        </w:rPr>
      </w:pPr>
      <w:r>
        <w:rPr>
          <w:rFonts w:hint="default" w:ascii="方正楷体_GBK" w:hAnsi="方正楷体_GBK" w:eastAsia="方正楷体_GBK" w:cs="方正楷体_GBK"/>
          <w:kern w:val="2"/>
          <w:sz w:val="32"/>
          <w:szCs w:val="32"/>
          <w:lang w:val="en-US" w:eastAsia="zh-CN" w:bidi="ar-SA"/>
        </w:rPr>
        <w:t>（一）财政拨款收入：</w:t>
      </w:r>
      <w:r>
        <w:rPr>
          <w:rFonts w:hint="default" w:ascii="方正仿宋_GBK" w:hAnsi="方正仿宋_GBK" w:eastAsia="方正仿宋_GBK" w:cs="方正仿宋_GBK"/>
          <w:sz w:val="32"/>
          <w:szCs w:val="32"/>
          <w:shd w:val="clear" w:color="auto" w:fill="FFFFFF"/>
          <w:lang w:val="en-US" w:eastAsia="zh-CN"/>
        </w:rPr>
        <w:t>指本年度从本级财政部门取得的财政拨款，包括一般公共预算财政拨款和政府性基金预算财政拨款。</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（二）事业收入：</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（三）经营收入：</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（四）其他收入：</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（五）使用非财政拨款结余：</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（六）年初结转和结余：</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（七）结余分配：</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（八）年末结转和结余：</w:t>
      </w:r>
      <w:r>
        <w:rPr>
          <w:rFonts w:ascii="方正仿宋_GBK" w:hAnsi="方正仿宋_GBK" w:eastAsia="方正仿宋_GBK" w:cs="方正仿宋_GBK"/>
          <w:sz w:val="32"/>
          <w:szCs w:val="32"/>
          <w:shd w:val="clear" w:color="auto" w:fill="FFFFFF"/>
        </w:rPr>
        <w:t>指单位结转下年的基本支出结转、项目支出结转和结余、经营结余。</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（九）基本支出：</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（十）项目支出：</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（十一）经营支出：</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（十二）“三公”经费：</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（十三）机关运行经费：</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（十四）工资福利支出（支出经济分类科目类级）：</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（十五）商品和服务支出（支出经济分类科目类级）：</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（十六）对个人和家庭的补助（支出经济分类科目类级）：</w:t>
      </w:r>
      <w:r>
        <w:rPr>
          <w:rFonts w:ascii="方正仿宋_GBK" w:hAnsi="方正仿宋_GBK" w:eastAsia="方正仿宋_GBK" w:cs="方正仿宋_GBK"/>
          <w:sz w:val="32"/>
          <w:szCs w:val="32"/>
          <w:shd w:val="clear" w:color="auto" w:fill="FFFFFF"/>
        </w:rPr>
        <w:t>反映用于对个人和家庭的补助支出。</w:t>
      </w:r>
    </w:p>
    <w:p>
      <w:pPr>
        <w:pStyle w:val="6"/>
        <w:keepNext w:val="0"/>
        <w:keepLines w:val="0"/>
        <w:pageBreakBefore w:val="0"/>
        <w:kinsoku/>
        <w:wordWrap/>
        <w:overflowPunct/>
        <w:topLinePunct w:val="0"/>
        <w:autoSpaceDN/>
        <w:bidi w:val="0"/>
        <w:adjustRightInd/>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hint="default" w:ascii="方正楷体_GBK" w:hAnsi="方正楷体_GBK" w:eastAsia="方正楷体_GBK" w:cs="方正楷体_GBK"/>
          <w:kern w:val="2"/>
          <w:sz w:val="32"/>
          <w:szCs w:val="32"/>
          <w:lang w:val="en-US" w:eastAsia="zh-CN" w:bidi="ar-SA"/>
        </w:rPr>
        <w:t>（十七）其他资本性支出（支出经济分类科目类级）：</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6"/>
        <w:keepNext w:val="0"/>
        <w:keepLines w:val="0"/>
        <w:pageBreakBefore w:val="0"/>
        <w:shd w:val="clear" w:color="auto"/>
        <w:kinsoku/>
        <w:wordWrap/>
        <w:overflowPunct/>
        <w:topLinePunct w:val="0"/>
        <w:autoSpaceDN/>
        <w:bidi w:val="0"/>
        <w:adjustRightInd/>
        <w:spacing w:before="0" w:beforeAutospacing="0" w:after="0" w:afterAutospacing="0" w:line="594" w:lineRule="exact"/>
        <w:ind w:firstLine="640" w:firstLineChars="200"/>
        <w:textAlignment w:val="auto"/>
        <w:rPr>
          <w:rStyle w:val="10"/>
          <w:rFonts w:hint="default" w:ascii="方正黑体_GBK" w:hAnsi="方正黑体_GBK" w:eastAsia="方正黑体_GBK" w:cs="方正黑体_GBK"/>
          <w:b w:val="0"/>
          <w:bCs/>
          <w:sz w:val="32"/>
          <w:szCs w:val="32"/>
          <w:shd w:val="clear" w:color="auto" w:fill="FFFFFF"/>
          <w:lang w:eastAsia="zh-CN"/>
        </w:rPr>
      </w:pPr>
      <w:r>
        <w:rPr>
          <w:rStyle w:val="10"/>
          <w:rFonts w:hint="default" w:ascii="方正黑体_GBK" w:hAnsi="方正黑体_GBK" w:eastAsia="方正黑体_GBK" w:cs="方正黑体_GBK"/>
          <w:b w:val="0"/>
          <w:bCs/>
          <w:sz w:val="32"/>
          <w:szCs w:val="32"/>
          <w:shd w:val="clear" w:color="auto" w:fill="FFFFFF"/>
          <w:lang w:eastAsia="zh-CN"/>
        </w:rPr>
        <w:t xml:space="preserve"> 七、决算公开联系方式及信息反馈渠道</w:t>
      </w:r>
    </w:p>
    <w:p>
      <w:pPr>
        <w:pStyle w:val="12"/>
        <w:keepNext w:val="0"/>
        <w:keepLines w:val="0"/>
        <w:pageBreakBefore w:val="0"/>
        <w:widowControl w:val="0"/>
        <w:suppressLineNumbers w:val="0"/>
        <w:kinsoku/>
        <w:wordWrap/>
        <w:overflowPunct/>
        <w:topLinePunct w:val="0"/>
        <w:autoSpaceDE w:val="0"/>
        <w:autoSpaceDN/>
        <w:bidi w:val="0"/>
        <w:adjustRightInd/>
        <w:spacing w:before="0" w:beforeAutospacing="0" w:after="0" w:afterAutospacing="0" w:line="594" w:lineRule="exact"/>
        <w:ind w:left="0" w:firstLine="640" w:firstLineChars="200"/>
        <w:jc w:val="both"/>
        <w:textAlignment w:val="auto"/>
        <w:rPr>
          <w:rFonts w:hint="default" w:ascii="Times New Roman" w:hAnsi="Times New Roman" w:eastAsia="方正仿宋_GBK" w:cs="Times New Roman"/>
          <w:sz w:val="32"/>
          <w:szCs w:val="32"/>
          <w:shd w:val="clear" w:color="auto" w:fill="FFFFFF"/>
          <w:lang w:val="en-US" w:eastAsia="zh-CN" w:bidi="ar-SA"/>
        </w:rPr>
      </w:pPr>
      <w:r>
        <w:rPr>
          <w:rFonts w:hint="default" w:ascii="Times New Roman" w:hAnsi="Times New Roman" w:eastAsia="方正仿宋_GBK" w:cs="Times New Roman"/>
          <w:sz w:val="32"/>
          <w:szCs w:val="32"/>
          <w:shd w:val="clear" w:color="auto" w:fill="FFFFFF"/>
          <w:lang w:val="en-US" w:eastAsia="zh-CN" w:bidi="ar-SA"/>
        </w:rPr>
        <w:t>本单位决算公开信息反馈和联系方式：</w:t>
      </w:r>
    </w:p>
    <w:p>
      <w:pPr>
        <w:pStyle w:val="12"/>
        <w:keepNext w:val="0"/>
        <w:keepLines w:val="0"/>
        <w:pageBreakBefore w:val="0"/>
        <w:widowControl w:val="0"/>
        <w:suppressLineNumbers w:val="0"/>
        <w:kinsoku/>
        <w:wordWrap/>
        <w:overflowPunct/>
        <w:topLinePunct w:val="0"/>
        <w:autoSpaceDE w:val="0"/>
        <w:autoSpaceDN/>
        <w:bidi w:val="0"/>
        <w:adjustRightInd/>
        <w:spacing w:before="0" w:beforeAutospacing="0" w:after="0" w:afterAutospacing="0" w:line="594" w:lineRule="exact"/>
        <w:ind w:left="0" w:firstLine="640" w:firstLineChars="200"/>
        <w:jc w:val="both"/>
        <w:textAlignment w:val="auto"/>
        <w:rPr>
          <w:rFonts w:hint="default" w:ascii="Times New Roman" w:hAnsi="Times New Roman" w:eastAsia="方正仿宋_GBK" w:cs="Times New Roman"/>
          <w:sz w:val="32"/>
          <w:szCs w:val="32"/>
          <w:shd w:val="clear" w:color="auto" w:fill="FFFFFF"/>
          <w:lang w:val="en-US" w:eastAsia="zh-CN" w:bidi="ar-SA"/>
        </w:rPr>
      </w:pPr>
      <w:r>
        <w:rPr>
          <w:rFonts w:hint="eastAsia" w:ascii="Times New Roman" w:hAnsi="Times New Roman" w:eastAsia="方正仿宋_GBK" w:cs="Times New Roman"/>
          <w:sz w:val="32"/>
          <w:szCs w:val="32"/>
          <w:shd w:val="clear" w:color="auto" w:fill="FFFFFF"/>
          <w:lang w:val="en-US" w:eastAsia="zh-CN" w:bidi="ar-SA"/>
        </w:rPr>
        <w:t>周炬宏      023-73340055</w:t>
      </w:r>
    </w:p>
    <w:p>
      <w:pPr>
        <w:pStyle w:val="12"/>
        <w:keepNext w:val="0"/>
        <w:keepLines w:val="0"/>
        <w:pageBreakBefore w:val="0"/>
        <w:widowControl w:val="0"/>
        <w:suppressLineNumbers w:val="0"/>
        <w:kinsoku/>
        <w:wordWrap/>
        <w:overflowPunct/>
        <w:topLinePunct w:val="0"/>
        <w:autoSpaceDE w:val="0"/>
        <w:autoSpaceDN/>
        <w:bidi w:val="0"/>
        <w:adjustRightInd/>
        <w:spacing w:before="0" w:beforeAutospacing="0" w:line="594" w:lineRule="exact"/>
        <w:ind w:left="0" w:firstLine="640" w:firstLineChars="200"/>
        <w:jc w:val="both"/>
        <w:textAlignment w:val="auto"/>
        <w:rPr>
          <w:rFonts w:hint="default" w:ascii="Times New Roman" w:hAnsi="Times New Roman" w:eastAsia="方正仿宋_GBK" w:cs="Times New Roman"/>
          <w:sz w:val="32"/>
          <w:szCs w:val="32"/>
          <w:shd w:val="clear" w:color="auto" w:fill="FFFFFF"/>
          <w:lang w:val="en-US" w:eastAsia="zh-CN" w:bidi="ar-SA"/>
        </w:rPr>
        <w:sectPr>
          <w:footerReference r:id="rId3" w:type="default"/>
          <w:pgSz w:w="11915" w:h="16840"/>
          <w:pgMar w:top="1440" w:right="1800" w:bottom="1440" w:left="1800" w:header="851" w:footer="992" w:gutter="0"/>
          <w:pgNumType w:fmt="numberInDash"/>
          <w:cols w:space="720" w:num="1"/>
          <w:docGrid w:type="lines" w:linePitch="312" w:charSpace="0"/>
        </w:sectPr>
      </w:pPr>
    </w:p>
    <w:p>
      <w:pPr>
        <w:rPr>
          <w:rFonts w:hint="default" w:cs="宋体"/>
          <w:sz w:val="21"/>
          <w:szCs w:val="21"/>
        </w:rPr>
      </w:pPr>
    </w:p>
    <w:tbl>
      <w:tblPr>
        <w:tblStyle w:val="7"/>
        <w:tblW w:w="5005" w:type="pct"/>
        <w:tblInd w:w="0" w:type="dxa"/>
        <w:tblLayout w:type="autofit"/>
        <w:tblCellMar>
          <w:top w:w="0" w:type="dxa"/>
          <w:left w:w="0" w:type="dxa"/>
          <w:bottom w:w="0" w:type="dxa"/>
          <w:right w:w="0" w:type="dxa"/>
        </w:tblCellMar>
      </w:tblPr>
      <w:tblGrid>
        <w:gridCol w:w="5104"/>
        <w:gridCol w:w="2012"/>
        <w:gridCol w:w="4791"/>
        <w:gridCol w:w="3430"/>
      </w:tblGrid>
      <w:tr>
        <w:tblPrEx>
          <w:tblCellMar>
            <w:top w:w="0" w:type="dxa"/>
            <w:left w:w="0" w:type="dxa"/>
            <w:bottom w:w="0" w:type="dxa"/>
            <w:right w:w="0" w:type="dxa"/>
          </w:tblCellMar>
        </w:tblPrEx>
        <w:trPr>
          <w:trHeight w:val="232" w:hRule="atLeast"/>
        </w:trPr>
        <w:tc>
          <w:tcPr>
            <w:tcW w:w="5000" w:type="pct"/>
            <w:gridSpan w:val="4"/>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tblPrEx>
          <w:tblCellMar>
            <w:top w:w="0" w:type="dxa"/>
            <w:left w:w="0" w:type="dxa"/>
            <w:bottom w:w="0" w:type="dxa"/>
            <w:right w:w="0" w:type="dxa"/>
          </w:tblCellMar>
        </w:tblPrEx>
        <w:trPr>
          <w:trHeight w:val="232" w:hRule="atLeast"/>
        </w:trPr>
        <w:tc>
          <w:tcPr>
            <w:tcW w:w="1664"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656" w:type="pct"/>
            <w:tcBorders>
              <w:top w:val="nil"/>
              <w:left w:val="nil"/>
              <w:bottom w:val="nil"/>
              <w:right w:val="nil"/>
            </w:tcBorders>
            <w:shd w:val="clear" w:color="auto" w:fill="auto"/>
            <w:noWrap/>
            <w:tcMar>
              <w:top w:w="15" w:type="dxa"/>
              <w:left w:w="15" w:type="dxa"/>
              <w:right w:w="15" w:type="dxa"/>
            </w:tcMar>
            <w:vAlign w:val="bottom"/>
          </w:tcPr>
          <w:p>
            <w:pPr>
              <w:spacing w:line="200" w:lineRule="exact"/>
              <w:jc w:val="right"/>
              <w:rPr>
                <w:rFonts w:hint="default" w:ascii="Arial" w:hAnsi="Arial" w:cs="Arial"/>
                <w:color w:val="000000"/>
                <w:sz w:val="20"/>
                <w:szCs w:val="20"/>
              </w:rPr>
            </w:pPr>
          </w:p>
        </w:tc>
        <w:tc>
          <w:tcPr>
            <w:tcW w:w="1562"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11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公开01表</w:t>
            </w:r>
          </w:p>
        </w:tc>
      </w:tr>
      <w:tr>
        <w:tblPrEx>
          <w:tblCellMar>
            <w:top w:w="0" w:type="dxa"/>
            <w:left w:w="0" w:type="dxa"/>
            <w:bottom w:w="0" w:type="dxa"/>
            <w:right w:w="0" w:type="dxa"/>
          </w:tblCellMar>
        </w:tblPrEx>
        <w:trPr>
          <w:trHeight w:val="232" w:hRule="atLeast"/>
        </w:trPr>
        <w:tc>
          <w:tcPr>
            <w:tcW w:w="2320" w:type="pct"/>
            <w:gridSpan w:val="2"/>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r>
              <w:rPr>
                <w:rFonts w:cs="宋体"/>
                <w:sz w:val="20"/>
                <w:szCs w:val="20"/>
              </w:rPr>
              <w:t>公开部门：</w:t>
            </w:r>
            <w:r>
              <w:rPr>
                <w:sz w:val="20"/>
                <w:u w:color="auto"/>
              </w:rPr>
              <w:t>重庆市石柱土家族自治县三星乡人民政府</w:t>
            </w:r>
          </w:p>
        </w:tc>
        <w:tc>
          <w:tcPr>
            <w:tcW w:w="1562"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p>
        </w:tc>
        <w:tc>
          <w:tcPr>
            <w:tcW w:w="11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243" w:hRule="atLeast"/>
        </w:trPr>
        <w:tc>
          <w:tcPr>
            <w:tcW w:w="2320"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2680" w:type="pct"/>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支出</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656"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111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2,526.78</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556.76</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29.39</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二、外交支出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四、上级补助收入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四、公共安全支出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五、事业收入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五、教育支出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六、经营收入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六、科学技术支出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14.28</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八、其他收入</w:t>
            </w:r>
          </w:p>
        </w:tc>
        <w:tc>
          <w:tcPr>
            <w:tcW w:w="656" w:type="pct"/>
            <w:tcBorders>
              <w:top w:val="nil"/>
              <w:left w:val="nil"/>
              <w:bottom w:val="nil"/>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387.23</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九、卫生健康支出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54.17</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十、节能环保支出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79.99</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25.46</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十二、农林水支出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931.20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396.21</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27.00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十六、金融支出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49.48</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14.38</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二十三、其他支出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rPr>
                <w:rFonts w:hint="default" w:cs="宋体"/>
                <w:b/>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2,556.16</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2,556.16</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结余分配</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年初结转和结余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年末结转和结余</w:t>
            </w:r>
          </w:p>
        </w:tc>
        <w:tc>
          <w:tcPr>
            <w:tcW w:w="1118" w:type="pct"/>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5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2,556.16</w:t>
            </w:r>
            <w:r>
              <w:rPr>
                <w:color w:val="000000"/>
                <w:sz w:val="20"/>
                <w:u w:color="auto"/>
              </w:rPr>
              <w:t xml:space="preserve"> </w:t>
            </w:r>
          </w:p>
        </w:tc>
        <w:tc>
          <w:tcPr>
            <w:tcW w:w="1562" w:type="pct"/>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11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2,556.16</w:t>
            </w:r>
            <w:r>
              <w:rPr>
                <w:color w:val="000000"/>
                <w:sz w:val="20"/>
                <w:u w:color="auto"/>
              </w:rPr>
              <w:t xml:space="preserve"> </w:t>
            </w:r>
          </w:p>
        </w:tc>
      </w:tr>
    </w:tbl>
    <w:p>
      <w:pPr>
        <w:spacing w:line="240" w:lineRule="exact"/>
        <w:rPr>
          <w:rFonts w:hint="default" w:cs="宋体"/>
          <w:sz w:val="20"/>
          <w:szCs w:val="20"/>
        </w:rPr>
      </w:pPr>
      <w:r>
        <w:rPr>
          <w:rFonts w:cs="宋体"/>
          <w:sz w:val="20"/>
          <w:szCs w:val="20"/>
        </w:rPr>
        <w:t>备注：1.本表反映部门本年度的总收支和年末结转结余情况。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tbl>
      <w:tblPr>
        <w:tblStyle w:val="7"/>
        <w:tblW w:w="5000" w:type="pct"/>
        <w:tblInd w:w="0" w:type="dxa"/>
        <w:tblLayout w:type="fixed"/>
        <w:tblCellMar>
          <w:top w:w="0" w:type="dxa"/>
          <w:left w:w="0" w:type="dxa"/>
          <w:bottom w:w="0" w:type="dxa"/>
          <w:right w:w="0" w:type="dxa"/>
        </w:tblCellMar>
      </w:tblPr>
      <w:tblGrid>
        <w:gridCol w:w="1694"/>
        <w:gridCol w:w="3159"/>
        <w:gridCol w:w="1229"/>
        <w:gridCol w:w="1229"/>
        <w:gridCol w:w="1229"/>
        <w:gridCol w:w="1229"/>
        <w:gridCol w:w="1361"/>
        <w:gridCol w:w="1302"/>
        <w:gridCol w:w="1434"/>
        <w:gridCol w:w="1456"/>
      </w:tblGrid>
      <w:tr>
        <w:tblPrEx>
          <w:tblCellMar>
            <w:top w:w="0" w:type="dxa"/>
            <w:left w:w="0" w:type="dxa"/>
            <w:bottom w:w="0" w:type="dxa"/>
            <w:right w:w="0" w:type="dxa"/>
          </w:tblCellMar>
        </w:tblPrEx>
        <w:trPr>
          <w:trHeight w:val="641"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收入决算表</w:t>
            </w:r>
          </w:p>
        </w:tc>
      </w:tr>
      <w:tr>
        <w:tblPrEx>
          <w:tblCellMar>
            <w:top w:w="0" w:type="dxa"/>
            <w:left w:w="0" w:type="dxa"/>
            <w:bottom w:w="0" w:type="dxa"/>
            <w:right w:w="0" w:type="dxa"/>
          </w:tblCellMar>
        </w:tblPrEx>
        <w:trPr>
          <w:trHeight w:val="328" w:hRule="atLeast"/>
        </w:trPr>
        <w:tc>
          <w:tcPr>
            <w:tcW w:w="1985"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sz w:val="20"/>
                <w:u w:color="auto"/>
              </w:rPr>
              <w:t>重庆市石柱土家族自治县三星乡人民政府</w:t>
            </w: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公开02表</w:t>
            </w:r>
          </w:p>
        </w:tc>
      </w:tr>
      <w:tr>
        <w:tblPrEx>
          <w:tblCellMar>
            <w:top w:w="0" w:type="dxa"/>
            <w:left w:w="0" w:type="dxa"/>
            <w:bottom w:w="0" w:type="dxa"/>
            <w:right w:w="0" w:type="dxa"/>
          </w:tblCellMar>
        </w:tblPrEx>
        <w:trPr>
          <w:trHeight w:val="328" w:hRule="atLeast"/>
        </w:trPr>
        <w:tc>
          <w:tcPr>
            <w:tcW w:w="1985"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31" w:hRule="atLeast"/>
        </w:trPr>
        <w:tc>
          <w:tcPr>
            <w:tcW w:w="1584" w:type="pct"/>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本年收入合计</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财政拨款收入</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上级补助收入</w:t>
            </w:r>
          </w:p>
        </w:tc>
        <w:tc>
          <w:tcPr>
            <w:tcW w:w="845"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事业收入</w:t>
            </w:r>
          </w:p>
        </w:tc>
        <w:tc>
          <w:tcPr>
            <w:tcW w:w="42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经营收入</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附属单位上缴收入</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其他收入</w:t>
            </w:r>
          </w:p>
        </w:tc>
      </w:tr>
      <w:tr>
        <w:tblPrEx>
          <w:tblCellMar>
            <w:top w:w="0" w:type="dxa"/>
            <w:left w:w="0" w:type="dxa"/>
            <w:bottom w:w="0" w:type="dxa"/>
            <w:right w:w="0" w:type="dxa"/>
          </w:tblCellMar>
        </w:tblPrEx>
        <w:trPr>
          <w:trHeight w:val="334" w:hRule="atLeast"/>
        </w:trPr>
        <w:tc>
          <w:tcPr>
            <w:tcW w:w="553"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3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小计</w:t>
            </w:r>
          </w:p>
        </w:tc>
        <w:tc>
          <w:tcPr>
            <w:tcW w:w="44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其中：教育收费</w:t>
            </w: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584"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2,556.16</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2,556.16</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2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7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一般公共服务支出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556.76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556.76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人大事务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2010107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人大代表履职能力提升</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0.44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0.44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2010108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代表工作</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其他人大事务支出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政府办公厅（室）及相关机构事务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522.60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522.60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389.59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389.59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一般行政管理事务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80.19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80.19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2010350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52.82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52.82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20132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组织事务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0.72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0.72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2013299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其他组织事务支出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其他一般公共服务支出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24.20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24.20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2019999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其他一般公共服务支出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14.28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14.28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14.28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14.28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14.28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14.28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387.23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387.23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人力资源和社会保障管理事务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63.11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63.11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2080104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综合业务管理</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63.11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63.11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民政管理事务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2080208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基层政权建设和社区治理</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214.52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214.52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行政单位离退休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31.11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31.11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事业单位离退休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16.68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16.68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81.72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81.72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83.20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83.20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其他优抚支出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退役安置</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0.85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0.85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2080999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其他退役安置支出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0.85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0.85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社会福利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8.79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8.79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社会福利事业单位</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8.79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8.79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28.95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28.95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50.42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50.42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2089999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50.42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50.42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54.17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54.17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公共卫生</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2100410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突发公共卫生事件应急处理</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9.23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9.23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计划生育事务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0.09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0.09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2100717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计划生育服务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0.09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0.09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44.85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44.85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18.47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18.47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13.56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13.56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12.82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12.82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节能环保支出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79.99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79.99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自然生态保护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79.99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79.99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2110402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农村环境保护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79.99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79.99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25.46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25.46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城乡社区公共设施</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0.07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0.07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2120303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小城镇基础设施建设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0.07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0.07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城乡社区环境卫生</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2120501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城乡社区环境卫生</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国有土地使用权出让收入安排的支出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8.58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8.58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2120804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7.50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7.50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2120899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其他国有土地使用权出让收入安排的支出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农业土地开发资金安排的支出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0.81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0.81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农林水支出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931.20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931.20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农业农村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179.01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179.01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118.05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118.05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病虫害控制</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执法监管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2130119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防灾救灾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2130122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农业生产发展</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22.90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22.90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2130142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农村道路建设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30.80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30.80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林业和草原</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42.98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42.98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2130209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森林生态效益补偿</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动植物保护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2130226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林区公共支出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9.80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9.80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2130234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林业草原防灾减灾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22.13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22.13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其他林业和草原支出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0.50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0.50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水利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2130305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水利工程建设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4.11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4.11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2130315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抗旱</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18.94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18.94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2130399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其他水利支出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巩固</w:t>
            </w:r>
            <w:r>
              <w:rPr>
                <w:rFonts w:hint="eastAsia" w:cs="宋体"/>
                <w:b/>
                <w:color w:val="000000"/>
                <w:sz w:val="20"/>
                <w:szCs w:val="20"/>
                <w:lang w:eastAsia="zh-CN"/>
              </w:rPr>
              <w:t>拓展</w:t>
            </w:r>
            <w:r>
              <w:rPr>
                <w:rFonts w:cs="宋体"/>
                <w:b/>
                <w:color w:val="000000"/>
                <w:sz w:val="20"/>
                <w:szCs w:val="20"/>
              </w:rPr>
              <w:t>脱贫攻坚成果衔接乡村振兴</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458.73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458.73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241.46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241.46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生产发展</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206.57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206.57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社会发展</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其他巩固</w:t>
            </w:r>
            <w:r>
              <w:rPr>
                <w:rFonts w:hint="eastAsia" w:cs="宋体"/>
                <w:color w:val="000000"/>
                <w:sz w:val="20"/>
                <w:szCs w:val="20"/>
                <w:lang w:eastAsia="zh-CN"/>
              </w:rPr>
              <w:t>拓展</w:t>
            </w:r>
            <w:r>
              <w:rPr>
                <w:rFonts w:cs="宋体"/>
                <w:color w:val="000000"/>
                <w:sz w:val="20"/>
                <w:szCs w:val="20"/>
              </w:rPr>
              <w:t>脱贫攻坚成果衔接乡村振兴支出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农村综合改革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215.44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215.44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对村民委员会和村党支部的补助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215.44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215.44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交通运输支出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396.21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396.21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21401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公路水路运输</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2140104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公路建设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21406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车辆购置税支出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368.21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368.21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2140601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车辆购置税用于公路等基础设施建设支出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368.21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368.21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商业服务业等支出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21602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商业流通事务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2160299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其他商业流通事务支出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49.48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49.48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49.48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49.48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49.48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49.48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灾害防治及应急管理支出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14.38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14.38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应急管理事务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6.98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6.98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应急救援</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自然灾害防治</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2240601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地质灾害防治</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1.40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1.40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自然灾害救灾及恢复重建支出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2240703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自然灾害救灾补助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22960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彩票公益金安排的支出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用于社会福利的彩票公益金支出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ind w:left="600" w:hanging="600" w:hangingChars="300"/>
        <w:rPr>
          <w:rFonts w:hint="default" w:cs="宋体"/>
          <w:sz w:val="20"/>
          <w:szCs w:val="20"/>
        </w:rPr>
      </w:pPr>
      <w:r>
        <w:rPr>
          <w:rFonts w:cs="宋体"/>
          <w:sz w:val="20"/>
          <w:szCs w:val="20"/>
        </w:rPr>
        <w:t>备注：1.本表反映部门本年度取得的各项收入情况。</w:t>
      </w:r>
      <w:r>
        <w:rPr>
          <w:rFonts w:cs="宋体"/>
          <w:sz w:val="20"/>
          <w:szCs w:val="20"/>
        </w:rPr>
        <w:br w:type="textWrapping"/>
      </w:r>
      <w:r>
        <w:rPr>
          <w:rFonts w:cs="宋体"/>
          <w:sz w:val="20"/>
          <w:szCs w:val="20"/>
        </w:rPr>
        <w:t>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0"/>
          <w:szCs w:val="20"/>
        </w:rPr>
      </w:pPr>
      <w:r>
        <w:rPr>
          <w:rFonts w:cs="宋体"/>
          <w:sz w:val="20"/>
          <w:szCs w:val="20"/>
        </w:rPr>
        <w:br w:type="page"/>
      </w:r>
    </w:p>
    <w:tbl>
      <w:tblPr>
        <w:tblStyle w:val="7"/>
        <w:tblW w:w="5000" w:type="pct"/>
        <w:tblInd w:w="0" w:type="dxa"/>
        <w:tblLayout w:type="autofit"/>
        <w:tblCellMar>
          <w:top w:w="0" w:type="dxa"/>
          <w:left w:w="0" w:type="dxa"/>
          <w:bottom w:w="0" w:type="dxa"/>
          <w:right w:w="0" w:type="dxa"/>
        </w:tblCellMar>
      </w:tblPr>
      <w:tblGrid>
        <w:gridCol w:w="1697"/>
        <w:gridCol w:w="4030"/>
        <w:gridCol w:w="1596"/>
        <w:gridCol w:w="1597"/>
        <w:gridCol w:w="1597"/>
        <w:gridCol w:w="1581"/>
        <w:gridCol w:w="1581"/>
        <w:gridCol w:w="1643"/>
      </w:tblGrid>
      <w:tr>
        <w:tblPrEx>
          <w:tblCellMar>
            <w:top w:w="0" w:type="dxa"/>
            <w:left w:w="0" w:type="dxa"/>
            <w:bottom w:w="0" w:type="dxa"/>
            <w:right w:w="0" w:type="dxa"/>
          </w:tblCellMar>
        </w:tblPrEx>
        <w:trPr>
          <w:trHeight w:val="65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支出决算表</w:t>
            </w:r>
          </w:p>
        </w:tc>
      </w:tr>
      <w:tr>
        <w:tblPrEx>
          <w:tblCellMar>
            <w:top w:w="0" w:type="dxa"/>
            <w:left w:w="0" w:type="dxa"/>
            <w:bottom w:w="0" w:type="dxa"/>
            <w:right w:w="0" w:type="dxa"/>
          </w:tblCellMar>
        </w:tblPrEx>
        <w:trPr>
          <w:trHeight w:val="342" w:hRule="atLeast"/>
        </w:trPr>
        <w:tc>
          <w:tcPr>
            <w:tcW w:w="2230"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 xml:space="preserve">重庆市石柱土家族自治县三星乡人民政府 </w:t>
            </w: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公开03表</w:t>
            </w:r>
          </w:p>
        </w:tc>
      </w:tr>
      <w:tr>
        <w:tblPrEx>
          <w:tblCellMar>
            <w:top w:w="0" w:type="dxa"/>
            <w:left w:w="0" w:type="dxa"/>
            <w:bottom w:w="0" w:type="dxa"/>
            <w:right w:w="0" w:type="dxa"/>
          </w:tblCellMar>
        </w:tblPrEx>
        <w:trPr>
          <w:trHeight w:val="342" w:hRule="atLeast"/>
        </w:trPr>
        <w:tc>
          <w:tcPr>
            <w:tcW w:w="2230"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本年支出合计</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上缴上级支出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经营支出</w:t>
            </w:r>
          </w:p>
        </w:tc>
        <w:tc>
          <w:tcPr>
            <w:tcW w:w="5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对附属单位补助支出</w:t>
            </w:r>
          </w:p>
        </w:tc>
      </w:tr>
      <w:tr>
        <w:tblPrEx>
          <w:tblCellMar>
            <w:top w:w="0" w:type="dxa"/>
            <w:left w:w="0" w:type="dxa"/>
            <w:bottom w:w="0" w:type="dxa"/>
            <w:right w:w="0" w:type="dxa"/>
          </w:tblCellMar>
        </w:tblPrEx>
        <w:trPr>
          <w:trHeight w:val="338" w:hRule="atLeast"/>
        </w:trPr>
        <w:tc>
          <w:tcPr>
            <w:tcW w:w="586"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9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2,556.16</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1,026.07</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1,530.09</w:t>
            </w: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一般公共服务支出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556.76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442.41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114.34</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人大事务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9.24</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2010107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人大代表履职能力提升</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0.44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0.44</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2010108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代表工作</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其他人大事务支出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7.20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政府办公厅（室）及相关机构事务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522.60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442.41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80.19</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389.59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389.59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一般行政管理事务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80.19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80.19</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2010350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52.82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52.82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20132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组织事务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0.72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0.72</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2013299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其他组织事务支出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0.72</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其他一般公共服务支出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24.20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24.20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2019999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其他一般公共服务支出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24.20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14.28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14.28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14.28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14.28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14.28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14.28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387.23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357.00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30.23</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人力资源和社会保障管理事务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63.11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63.11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2080104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综合业务管理</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63.11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63.11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民政管理事务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2080208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基层政权建设和社区治理</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214.52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214.52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行政单位离退休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31.11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31.11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事业单位离退休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16.68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16.68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81.72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81.72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83.20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83.20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5.59</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其他优抚支出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5.59</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退役安置</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0.85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0.85</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2080999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其他退役安置支出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0.85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0.85</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社会福利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8.79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8.79</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社会福利事业单位</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8.79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8.79</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28.95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28.95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28.95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50.42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50.42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2089999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50.42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50.42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54.17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44.85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9.32</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公共卫生</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9.23</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2100410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突发公共卫生事件应急处理</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9.23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9.23</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计划生育事务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0.09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0.09</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2100717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计划生育服务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0.09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0.09</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44.85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44.85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18.47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18.47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13.56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13.56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12.82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12.82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节能环保支出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79.99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79.99</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自然生态保护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79.99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79.99</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2110402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农村环境保护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79.99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79.99</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25.46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25.46</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城乡社区公共设施</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0.07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0.07</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2120303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小城镇基础设施建设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0.07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0.07</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城乡社区环境卫生</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2120501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城乡社区环境卫生</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国有土地使用权出让收入安排的支出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8.58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8.58</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2120804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7.50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7.50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2120899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其他国有土地使用权出让收入安排的支出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1.08</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农业土地开发资金安排的支出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0.81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0.81</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农林水支出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931.20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118.05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813.15</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农业农村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179.01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118.05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60.96</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118.05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118.05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病虫害控制</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执法监管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2.16</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2130119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防灾救灾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2130122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农业生产发展</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22.90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22.90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2130142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农村道路建设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30.80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30.80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林业和草原</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42.98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42.98</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2130209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森林生态效益补偿</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2.28</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动植物保护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8.28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8.28</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2130226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林区公共支出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9.80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9.80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2130234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林业草原防灾减灾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22.13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22.13</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其他林业和草原支出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0.50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0.50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水利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35.04</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2130305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水利工程建设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4.11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4.11</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2130315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抗旱</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18.94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18.94</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2130399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其他水利支出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巩固</w:t>
            </w:r>
            <w:r>
              <w:rPr>
                <w:rFonts w:hint="eastAsia" w:cs="宋体"/>
                <w:b/>
                <w:color w:val="000000"/>
                <w:sz w:val="20"/>
                <w:szCs w:val="20"/>
                <w:lang w:eastAsia="zh-CN"/>
              </w:rPr>
              <w:t>拓展</w:t>
            </w:r>
            <w:r>
              <w:rPr>
                <w:rFonts w:cs="宋体"/>
                <w:b/>
                <w:color w:val="000000"/>
                <w:sz w:val="20"/>
                <w:szCs w:val="20"/>
              </w:rPr>
              <w:t>脱贫攻坚成果衔接乡村振兴</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458.73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458.73</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241.46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241.46</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生产发展</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206.57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206.57</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社会发展</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0.71</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其他巩固</w:t>
            </w:r>
            <w:r>
              <w:rPr>
                <w:rFonts w:hint="eastAsia" w:cs="宋体"/>
                <w:color w:val="000000"/>
                <w:sz w:val="20"/>
                <w:szCs w:val="20"/>
                <w:lang w:eastAsia="zh-CN"/>
              </w:rPr>
              <w:t>拓展</w:t>
            </w:r>
            <w:r>
              <w:rPr>
                <w:rFonts w:cs="宋体"/>
                <w:color w:val="000000"/>
                <w:sz w:val="20"/>
                <w:szCs w:val="20"/>
              </w:rPr>
              <w:t>脱贫攻坚成果衔接乡村振兴支出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农村综合改革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215.44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215.44</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对村民委员会和村党支部的补助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215.44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215.44</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交通运输支出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396.21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396.21</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21401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公路水路运输</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28.00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2140104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公路建设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21406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车辆购置税支出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368.21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368.21</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2140601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车辆购置税用于公路等基础设施建设支出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368.21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368.21</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商业服务业等支出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21602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商业流通事务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2160299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其他商业流通事务支出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49.48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49.48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49.48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49.48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49.48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49.48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灾害防治及应急管理支出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14.38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14.38</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应急管理事务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6.98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6.98</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应急救援</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6.98</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自然灾害防治</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2240601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地质灾害防治</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1.40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1.40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自然灾害救灾及恢复重建支出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2240703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自然灾害救灾补助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22960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彩票公益金安排的支出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用于社会福利的彩票公益金支出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rPr>
          <w:rFonts w:hint="default" w:cs="宋体"/>
          <w:sz w:val="20"/>
          <w:szCs w:val="20"/>
        </w:rPr>
      </w:pPr>
      <w:r>
        <w:rPr>
          <w:rFonts w:cs="宋体"/>
          <w:sz w:val="20"/>
          <w:szCs w:val="20"/>
        </w:rPr>
        <w:t>备注：1.本表反映部门本年度各项支出情况。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7"/>
        <w:tblW w:w="4790" w:type="pct"/>
        <w:tblInd w:w="0" w:type="dxa"/>
        <w:tblLayout w:type="autofit"/>
        <w:tblCellMar>
          <w:top w:w="0" w:type="dxa"/>
          <w:left w:w="0" w:type="dxa"/>
          <w:bottom w:w="0" w:type="dxa"/>
          <w:right w:w="0" w:type="dxa"/>
        </w:tblCellMar>
      </w:tblPr>
      <w:tblGrid>
        <w:gridCol w:w="2967"/>
        <w:gridCol w:w="1521"/>
        <w:gridCol w:w="3179"/>
        <w:gridCol w:w="1694"/>
        <w:gridCol w:w="1694"/>
        <w:gridCol w:w="1694"/>
        <w:gridCol w:w="1929"/>
      </w:tblGrid>
      <w:tr>
        <w:tblPrEx>
          <w:tblCellMar>
            <w:top w:w="0" w:type="dxa"/>
            <w:left w:w="0" w:type="dxa"/>
            <w:bottom w:w="0" w:type="dxa"/>
            <w:right w:w="0" w:type="dxa"/>
          </w:tblCellMar>
        </w:tblPrEx>
        <w:trPr>
          <w:trHeight w:val="9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tblPrEx>
          <w:tblCellMar>
            <w:top w:w="0" w:type="dxa"/>
            <w:left w:w="0" w:type="dxa"/>
            <w:bottom w:w="0" w:type="dxa"/>
            <w:right w:w="0" w:type="dxa"/>
          </w:tblCellMar>
        </w:tblPrEx>
        <w:trPr>
          <w:trHeight w:val="90" w:hRule="atLeast"/>
        </w:trPr>
        <w:tc>
          <w:tcPr>
            <w:tcW w:w="2612" w:type="pct"/>
            <w:gridSpan w:val="3"/>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公开部门</w:t>
            </w:r>
            <w:r>
              <w:rPr>
                <w:rFonts w:cs="宋体"/>
                <w:color w:val="000000"/>
                <w:sz w:val="20"/>
                <w:szCs w:val="20"/>
              </w:rPr>
              <w:t xml:space="preserve">： </w:t>
            </w:r>
            <w:r>
              <w:rPr>
                <w:color w:val="000000"/>
                <w:sz w:val="20"/>
                <w:u w:color="auto"/>
              </w:rPr>
              <w:t>重庆市石柱土家族自治县三星乡人民政府</w:t>
            </w: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pPr>
              <w:spacing w:line="240" w:lineRule="exact"/>
              <w:jc w:val="right"/>
              <w:textAlignment w:val="bottom"/>
              <w:rPr>
                <w:rFonts w:hint="default" w:cs="宋体"/>
                <w:color w:val="000000"/>
                <w:sz w:val="20"/>
                <w:szCs w:val="20"/>
              </w:rPr>
            </w:pPr>
            <w:r>
              <w:rPr>
                <w:rFonts w:cs="宋体"/>
                <w:color w:val="000000"/>
                <w:sz w:val="20"/>
                <w:szCs w:val="20"/>
              </w:rPr>
              <w:t>公开04表</w:t>
            </w:r>
          </w:p>
        </w:tc>
      </w:tr>
      <w:tr>
        <w:tblPrEx>
          <w:tblCellMar>
            <w:top w:w="0" w:type="dxa"/>
            <w:left w:w="0" w:type="dxa"/>
            <w:bottom w:w="0" w:type="dxa"/>
            <w:right w:w="0" w:type="dxa"/>
          </w:tblCellMar>
        </w:tblPrEx>
        <w:trPr>
          <w:trHeight w:val="90" w:hRule="atLeast"/>
        </w:trPr>
        <w:tc>
          <w:tcPr>
            <w:tcW w:w="2612" w:type="pct"/>
            <w:gridSpan w:val="3"/>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1529"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3471" w:type="pct"/>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支     出</w:t>
            </w:r>
          </w:p>
        </w:tc>
      </w:tr>
      <w:tr>
        <w:tblPrEx>
          <w:tblCellMar>
            <w:top w:w="0" w:type="dxa"/>
            <w:left w:w="0" w:type="dxa"/>
            <w:bottom w:w="0" w:type="dxa"/>
            <w:right w:w="0" w:type="dxa"/>
          </w:tblCellMar>
        </w:tblPrEx>
        <w:trPr>
          <w:trHeight w:val="90" w:hRule="atLeast"/>
        </w:trPr>
        <w:tc>
          <w:tcPr>
            <w:tcW w:w="101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51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1083"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2388" w:type="pct"/>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tblPrEx>
          <w:tblCellMar>
            <w:top w:w="0" w:type="dxa"/>
            <w:left w:w="0" w:type="dxa"/>
            <w:bottom w:w="0" w:type="dxa"/>
            <w:right w:w="0" w:type="dxa"/>
          </w:tblCellMar>
        </w:tblPrEx>
        <w:trPr>
          <w:trHeight w:val="90" w:hRule="atLeast"/>
        </w:trPr>
        <w:tc>
          <w:tcPr>
            <w:tcW w:w="101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1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083"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65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2,526.78</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556.76</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556.76</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29.39</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二、外交支出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四、公共安全支出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五、教育支出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六、科学技术支出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14.28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14.28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387.23</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387.23</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九、卫生健康支出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54.17</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54.17</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十、节能环保支出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79.99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79.99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25.46</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16.07</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9.39</w:t>
            </w: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十二、农林水支出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931.20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931.20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396.21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396.21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27.00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27.00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十六、金融支出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49.48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49.48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14.38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14.38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二十三、其他支出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20.00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20.00</w:t>
            </w: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2,556.16</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2,556.16</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2,526.78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29.39</w:t>
            </w: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2,556.16</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2,556.16</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2,526.78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29.39</w:t>
            </w: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pPr>
        <w:spacing w:line="240" w:lineRule="exact"/>
        <w:rPr>
          <w:rFonts w:hint="default" w:cs="宋体"/>
          <w:sz w:val="20"/>
          <w:szCs w:val="20"/>
        </w:rPr>
      </w:pPr>
      <w:r>
        <w:rPr>
          <w:rFonts w:cs="宋体"/>
          <w:sz w:val="20"/>
          <w:szCs w:val="20"/>
        </w:rPr>
        <w:t>备注：1.本表反映部门本年度一般公共预算财政拨款、政府性基金预算财政拨款及国有资本经营预算财政拨款的总收支和年末结转结余情况。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727"/>
        <w:gridCol w:w="4030"/>
        <w:gridCol w:w="3183"/>
        <w:gridCol w:w="3183"/>
        <w:gridCol w:w="3199"/>
      </w:tblGrid>
      <w:tr>
        <w:tblPrEx>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tblPrEx>
          <w:tblCellMar>
            <w:top w:w="0" w:type="dxa"/>
            <w:left w:w="0" w:type="dxa"/>
            <w:bottom w:w="0" w:type="dxa"/>
            <w:right w:w="0" w:type="dxa"/>
          </w:tblCellMar>
        </w:tblPrEx>
        <w:trPr>
          <w:trHeight w:val="255" w:hRule="atLeast"/>
        </w:trPr>
        <w:tc>
          <w:tcPr>
            <w:tcW w:w="2837"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重庆市石柱土家族自治县三星乡人民政府</w:t>
            </w:r>
          </w:p>
        </w:tc>
        <w:tc>
          <w:tcPr>
            <w:tcW w:w="1079"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公开05表</w:t>
            </w:r>
          </w:p>
        </w:tc>
      </w:tr>
      <w:tr>
        <w:tblPrEx>
          <w:tblCellMar>
            <w:top w:w="0" w:type="dxa"/>
            <w:left w:w="0" w:type="dxa"/>
            <w:bottom w:w="0" w:type="dxa"/>
            <w:right w:w="0" w:type="dxa"/>
          </w:tblCellMar>
        </w:tblPrEx>
        <w:trPr>
          <w:trHeight w:val="285" w:hRule="atLeast"/>
        </w:trPr>
        <w:tc>
          <w:tcPr>
            <w:tcW w:w="2837"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79"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08" w:hRule="atLeast"/>
        </w:trPr>
        <w:tc>
          <w:tcPr>
            <w:tcW w:w="175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3242"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26" w:hRule="atLeast"/>
        </w:trPr>
        <w:tc>
          <w:tcPr>
            <w:tcW w:w="604"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15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0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26"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5"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08" w:hRule="atLeast"/>
        </w:trPr>
        <w:tc>
          <w:tcPr>
            <w:tcW w:w="1758"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2,526.78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1,026.07</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1,500.71</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一般公共服务支出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556.76</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442.41</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114.34</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人大事务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9.24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9.24</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2010107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人大代表履职能力提升</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0.44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0.44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2010108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代表工作</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其他人大事务支出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7.20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7.20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政府办公厅（室）及相关机构事务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522.60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442.41</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80.19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389.59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389.59</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一般行政管理事务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80.19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80.19</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2010350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52.82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52.82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20132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组织事务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0.72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0.72</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2013299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其他组织事务支出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0.72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0.72</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其他一般公共服务支出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24.20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24.20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2019999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其他一般公共服务支出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24.20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24.20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14.28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14.28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14.28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14.28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14.28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14.28</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387.23</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357.00</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30.23</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人力资源和社会保障管理事务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63.11</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63.11</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2080104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综合业务管理</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63.11</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63.11</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民政管理事务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15.00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15.00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2080208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基层政权建设和社区治理</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15.00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15.00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214.52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214.52</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行政单位离退休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31.11</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31.11</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事业单位离退休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16.68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16.68</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81.72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81.72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83.20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83.20</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5.59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5.59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其他优抚支出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5.59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5.59</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退役安置</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0.85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0.85</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2080999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其他退役安置支出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0.85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0.85</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社会福利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8.79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8.79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社会福利事业单位</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8.79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8.79</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28.95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28.95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28.95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28.95</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50.42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50.42</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2089999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50.42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50.42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54.17</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44.85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9.32</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公共卫生</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9.23</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9.23</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2100410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突发公共卫生事件应急处理</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9.23</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9.23</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计划生育事务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0.09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0.09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2100717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计划生育服务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0.09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0.09</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44.85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44.85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18.47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18.47</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13.56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13.56</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12.82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12.82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节能环保支出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79.99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79.99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自然生态保护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79.99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79.99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2110402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农村环境保护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79.99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79.99</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16.07</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16.07</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城乡社区公共设施</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0.07</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0.07</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2120303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小城镇基础设施建设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0.07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0.07</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城乡社区环境卫生</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16.00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16.00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2120501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城乡社区环境卫生</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农林水支出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931.20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118.05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813.15</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农业农村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179.01</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118.05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60.96</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118.05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118.05</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病虫害控制</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2.10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2.10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执法监管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2.16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2.16</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2130119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防灾救灾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2130122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农业生产发展</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22.90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22.90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2130142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农村道路建设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30.80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30.80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林业和草原</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42.98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42.98</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2130209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森林生态效益补偿</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2.28</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动植物保护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8.28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8.28</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2130226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林区公共支出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9.80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9.80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2130234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林业草原防灾减灾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22.13</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22.13</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2130299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其他林业和草原支出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0.50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0.50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水利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35.04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35.04</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2130305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水利工程建设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4.11</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4.11</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2130315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抗旱</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18.94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18.94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2130399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其他水利支出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巩固</w:t>
            </w:r>
            <w:r>
              <w:rPr>
                <w:rFonts w:hint="eastAsia" w:cs="宋体"/>
                <w:b/>
                <w:color w:val="000000"/>
                <w:sz w:val="20"/>
                <w:szCs w:val="20"/>
                <w:lang w:eastAsia="zh-CN"/>
              </w:rPr>
              <w:t>拓展</w:t>
            </w:r>
            <w:r>
              <w:rPr>
                <w:rFonts w:cs="宋体"/>
                <w:b/>
                <w:color w:val="000000"/>
                <w:sz w:val="20"/>
                <w:szCs w:val="20"/>
              </w:rPr>
              <w:t>脱贫攻坚成果衔接乡村振兴</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458.73</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458.73</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241.46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241.46</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生产发展</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206.57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206.57</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社会发展</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0.71</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0.71</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其他巩固</w:t>
            </w:r>
            <w:r>
              <w:rPr>
                <w:rFonts w:hint="eastAsia" w:cs="宋体"/>
                <w:color w:val="000000"/>
                <w:sz w:val="20"/>
                <w:szCs w:val="20"/>
                <w:lang w:eastAsia="zh-CN"/>
              </w:rPr>
              <w:t>拓展</w:t>
            </w:r>
            <w:r>
              <w:rPr>
                <w:rFonts w:cs="宋体"/>
                <w:color w:val="000000"/>
                <w:sz w:val="20"/>
                <w:szCs w:val="20"/>
              </w:rPr>
              <w:t>脱贫攻坚成果衔接乡村振兴支出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农村综合改革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215.44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215.44</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对村民委员会和村党支部的补助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215.44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215.44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交通运输支出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396.21</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396.21</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21401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公路水路运输</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28.00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28.00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2140104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公路建设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21406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车辆购置税支出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368.21</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368.21</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2140601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车辆购置税用于公路等基础设施建设支出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368.21</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368.21</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商业服务业等支出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27.00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27.00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21602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商业流通事务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27.00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27.00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2160299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其他商业流通事务支出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27.00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27.00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49.48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49.48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49.48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49.48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49.48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49.48</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灾害防治及应急管理支出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14.38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14.38</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应急管理事务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6.98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6.98</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应急救援</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6.98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6.98</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自然灾害防治</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1.40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1.40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2240601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地质灾害防治</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1.40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1.40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自然灾害救灾及恢复重建支出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2240703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自然灾害救灾补助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6.00</w:t>
            </w:r>
            <w:r>
              <w:rPr>
                <w:color w:val="000000"/>
                <w:sz w:val="20"/>
                <w:u w:color="auto"/>
              </w:rPr>
              <w:t xml:space="preserve"> </w:t>
            </w:r>
          </w:p>
        </w:tc>
      </w:tr>
    </w:tbl>
    <w:p>
      <w:pPr>
        <w:rPr>
          <w:rFonts w:hint="default" w:cs="宋体"/>
          <w:sz w:val="21"/>
          <w:szCs w:val="21"/>
        </w:rPr>
      </w:pPr>
      <w:r>
        <w:rPr>
          <w:rFonts w:cs="宋体"/>
          <w:sz w:val="20"/>
          <w:szCs w:val="20"/>
        </w:rPr>
        <w:t>备注：1.本表反映部门本年度一般公共预算财政拨款支出情况。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ind w:firstLine="630" w:firstLineChars="300"/>
        <w:rPr>
          <w:rFonts w:hint="default" w:cs="宋体"/>
          <w:sz w:val="21"/>
          <w:szCs w:val="21"/>
        </w:rPr>
      </w:pPr>
      <w:r>
        <w:rPr>
          <w:rFonts w:cs="宋体"/>
          <w:sz w:val="21"/>
          <w:szCs w:val="21"/>
        </w:rPr>
        <w:br w:type="page"/>
      </w:r>
    </w:p>
    <w:tbl>
      <w:tblPr>
        <w:tblStyle w:val="7"/>
        <w:tblW w:w="4994" w:type="pct"/>
        <w:tblInd w:w="0" w:type="dxa"/>
        <w:tblLayout w:type="fixed"/>
        <w:tblCellMar>
          <w:top w:w="0" w:type="dxa"/>
          <w:left w:w="0" w:type="dxa"/>
          <w:bottom w:w="0" w:type="dxa"/>
          <w:right w:w="0" w:type="dxa"/>
        </w:tblCellMar>
      </w:tblPr>
      <w:tblGrid>
        <w:gridCol w:w="603"/>
        <w:gridCol w:w="2730"/>
        <w:gridCol w:w="1371"/>
        <w:gridCol w:w="833"/>
        <w:gridCol w:w="1916"/>
        <w:gridCol w:w="1650"/>
        <w:gridCol w:w="805"/>
        <w:gridCol w:w="3514"/>
        <w:gridCol w:w="1882"/>
      </w:tblGrid>
      <w:tr>
        <w:tblPrEx>
          <w:tblCellMar>
            <w:top w:w="0" w:type="dxa"/>
            <w:left w:w="0" w:type="dxa"/>
            <w:bottom w:w="0" w:type="dxa"/>
            <w:right w:w="0" w:type="dxa"/>
          </w:tblCellMar>
        </w:tblPrEx>
        <w:trPr>
          <w:trHeight w:val="90" w:hRule="atLeast"/>
        </w:trPr>
        <w:tc>
          <w:tcPr>
            <w:tcW w:w="5000" w:type="pct"/>
            <w:gridSpan w:val="9"/>
            <w:tcBorders>
              <w:top w:val="nil"/>
              <w:left w:val="nil"/>
              <w:bottom w:val="nil"/>
              <w:right w:val="nil"/>
            </w:tcBorders>
            <w:shd w:val="clear" w:color="auto" w:fill="auto"/>
            <w:noWrap/>
            <w:tcMar>
              <w:top w:w="15" w:type="dxa"/>
              <w:left w:w="15" w:type="dxa"/>
              <w:right w:w="15" w:type="dxa"/>
            </w:tcMar>
            <w:vAlign w:val="bottom"/>
          </w:tcPr>
          <w:p>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tblPrEx>
          <w:tblCellMar>
            <w:top w:w="0" w:type="dxa"/>
            <w:left w:w="0" w:type="dxa"/>
            <w:bottom w:w="0" w:type="dxa"/>
            <w:right w:w="0" w:type="dxa"/>
          </w:tblCellMar>
        </w:tblPrEx>
        <w:trPr>
          <w:trHeight w:val="90" w:hRule="atLeast"/>
        </w:trPr>
        <w:tc>
          <w:tcPr>
            <w:tcW w:w="2435" w:type="pct"/>
            <w:gridSpan w:val="5"/>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公开部门</w:t>
            </w:r>
            <w:r>
              <w:rPr>
                <w:rFonts w:cs="宋体"/>
                <w:color w:val="000000"/>
                <w:sz w:val="20"/>
                <w:szCs w:val="20"/>
              </w:rPr>
              <w:t xml:space="preserve">： </w:t>
            </w:r>
            <w:r>
              <w:rPr>
                <w:color w:val="000000"/>
                <w:sz w:val="20"/>
                <w:u w:color="auto"/>
              </w:rPr>
              <w:t>重庆市石柱土家族自治县三星乡人民政府</w:t>
            </w:r>
          </w:p>
        </w:tc>
        <w:tc>
          <w:tcPr>
            <w:tcW w:w="539"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公开06表</w:t>
            </w:r>
          </w:p>
        </w:tc>
      </w:tr>
      <w:tr>
        <w:tblPrEx>
          <w:tblCellMar>
            <w:top w:w="0" w:type="dxa"/>
            <w:left w:w="0" w:type="dxa"/>
            <w:bottom w:w="0" w:type="dxa"/>
            <w:right w:w="0" w:type="dxa"/>
          </w:tblCellMar>
        </w:tblPrEx>
        <w:trPr>
          <w:trHeight w:val="90" w:hRule="atLeast"/>
        </w:trPr>
        <w:tc>
          <w:tcPr>
            <w:tcW w:w="2435" w:type="pct"/>
            <w:gridSpan w:val="5"/>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1537"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3463"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tblPrEx>
          <w:tblCellMar>
            <w:top w:w="0" w:type="dxa"/>
            <w:left w:w="0" w:type="dxa"/>
            <w:bottom w:w="0" w:type="dxa"/>
            <w:right w:w="0" w:type="dxa"/>
          </w:tblCellMar>
        </w:tblPrEx>
        <w:trPr>
          <w:trHeight w:val="312" w:hRule="atLeast"/>
        </w:trPr>
        <w:tc>
          <w:tcPr>
            <w:tcW w:w="197"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89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4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7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62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53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6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1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61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r>
      <w:tr>
        <w:tblPrEx>
          <w:tblCellMar>
            <w:top w:w="0" w:type="dxa"/>
            <w:left w:w="0" w:type="dxa"/>
            <w:bottom w:w="0" w:type="dxa"/>
            <w:right w:w="0" w:type="dxa"/>
          </w:tblCellMar>
        </w:tblPrEx>
        <w:trPr>
          <w:trHeight w:val="312" w:hRule="atLeast"/>
        </w:trPr>
        <w:tc>
          <w:tcPr>
            <w:tcW w:w="197"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89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4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7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62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3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6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1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61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811.17</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110.04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160.30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21.75</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116.03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5.85</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130.59</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0.35</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145.50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1.50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31006</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81.72</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3.21</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83.20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6.81</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33.73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2.65</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19.84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49.48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7.98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104.85</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4.56</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46.27</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30305</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53.75</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6.70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31204</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4.84</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6.26</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9.17</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19.54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30240</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30299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2.47</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89"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448"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spacing w:line="200" w:lineRule="exact"/>
              <w:jc w:val="right"/>
              <w:textAlignment w:val="bottom"/>
              <w:rPr>
                <w:rFonts w:hint="default" w:cs="宋体"/>
                <w:color w:val="000000"/>
                <w:sz w:val="18"/>
                <w:szCs w:val="18"/>
              </w:rPr>
            </w:pPr>
            <w:r>
              <w:rPr>
                <w:rFonts w:cs="宋体"/>
                <w:color w:val="000000"/>
                <w:sz w:val="18"/>
                <w:szCs w:val="18"/>
              </w:rPr>
              <w:t>916.03</w:t>
            </w:r>
            <w:r>
              <w:rPr>
                <w:color w:val="000000"/>
                <w:sz w:val="18"/>
                <w:u w:color="auto"/>
              </w:rPr>
              <w:t xml:space="preserve"> </w:t>
            </w:r>
          </w:p>
        </w:tc>
        <w:tc>
          <w:tcPr>
            <w:tcW w:w="2848"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61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110.04</w:t>
            </w:r>
            <w:r>
              <w:rPr>
                <w:color w:val="000000"/>
                <w:sz w:val="18"/>
                <w:u w:color="auto"/>
              </w:rPr>
              <w:t xml:space="preserve"> </w:t>
            </w:r>
          </w:p>
        </w:tc>
      </w:tr>
    </w:tbl>
    <w:p>
      <w:pPr>
        <w:spacing w:line="280" w:lineRule="exact"/>
        <w:rPr>
          <w:rFonts w:hint="default" w:cs="宋体"/>
          <w:sz w:val="20"/>
          <w:szCs w:val="20"/>
        </w:rPr>
      </w:pPr>
      <w:r>
        <w:rPr>
          <w:rFonts w:cs="宋体"/>
          <w:sz w:val="20"/>
          <w:szCs w:val="20"/>
        </w:rPr>
        <w:t>备注：1.本表反映部门本年度一般公共预算财政拨款基本支出明细情况。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768"/>
        <w:gridCol w:w="3630"/>
        <w:gridCol w:w="1622"/>
        <w:gridCol w:w="1622"/>
        <w:gridCol w:w="1622"/>
        <w:gridCol w:w="1622"/>
        <w:gridCol w:w="1686"/>
        <w:gridCol w:w="1750"/>
      </w:tblGrid>
      <w:tr>
        <w:tblPrEx>
          <w:tblCellMar>
            <w:top w:w="0" w:type="dxa"/>
            <w:left w:w="0" w:type="dxa"/>
            <w:bottom w:w="0" w:type="dxa"/>
            <w:right w:w="0" w:type="dxa"/>
          </w:tblCellMar>
        </w:tblPrEx>
        <w:trPr>
          <w:trHeight w:val="64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tblPrEx>
          <w:tblCellMar>
            <w:top w:w="0" w:type="dxa"/>
            <w:left w:w="0" w:type="dxa"/>
            <w:bottom w:w="0" w:type="dxa"/>
            <w:right w:w="0" w:type="dxa"/>
          </w:tblCellMar>
        </w:tblPrEx>
        <w:trPr>
          <w:trHeight w:val="329" w:hRule="atLeast"/>
        </w:trPr>
        <w:tc>
          <w:tcPr>
            <w:tcW w:w="2162"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重庆市石柱土家族自治县三星乡人民政府</w:t>
            </w: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公开07表</w:t>
            </w:r>
          </w:p>
        </w:tc>
      </w:tr>
      <w:tr>
        <w:tblPrEx>
          <w:tblCellMar>
            <w:top w:w="0" w:type="dxa"/>
            <w:left w:w="0" w:type="dxa"/>
            <w:bottom w:w="0" w:type="dxa"/>
            <w:right w:w="0" w:type="dxa"/>
          </w:tblCellMar>
        </w:tblPrEx>
        <w:trPr>
          <w:trHeight w:val="329" w:hRule="atLeast"/>
        </w:trPr>
        <w:tc>
          <w:tcPr>
            <w:tcW w:w="2162"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39"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555"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年初结转和结余</w:t>
            </w:r>
          </w:p>
        </w:tc>
        <w:tc>
          <w:tcPr>
            <w:tcW w:w="55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w:t>
            </w:r>
          </w:p>
        </w:tc>
        <w:tc>
          <w:tcPr>
            <w:tcW w:w="168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年末结转和结余</w:t>
            </w:r>
          </w:p>
        </w:tc>
      </w:tr>
      <w:tr>
        <w:tblPrEx>
          <w:tblCellMar>
            <w:top w:w="0" w:type="dxa"/>
            <w:left w:w="0" w:type="dxa"/>
            <w:bottom w:w="0" w:type="dxa"/>
            <w:right w:w="0" w:type="dxa"/>
          </w:tblCellMar>
        </w:tblPrEx>
        <w:trPr>
          <w:trHeight w:val="335" w:hRule="atLeast"/>
        </w:trPr>
        <w:tc>
          <w:tcPr>
            <w:tcW w:w="6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0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57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4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1607"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29.39</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29.39</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29.39</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212</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城乡社区支出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9.39</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9.39</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9.39</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21208</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国有土地使用权出让收入安排的支出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8.58</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8.58</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8.58</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2120804</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农村基础设施建设支出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7.50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7.50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7.50</w:t>
            </w:r>
            <w:r>
              <w:rPr>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2120899</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其他国有土地使用权出让收入安排的支出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1.08</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1.08</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1.08</w:t>
            </w:r>
            <w:r>
              <w:rPr>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21211</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农业土地开发资金安排的支出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0.81</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0.81</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0.81</w:t>
            </w:r>
            <w:r>
              <w:rPr>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229</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其他支出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20.00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20.00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20.00</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22960</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彩票公益金安排的支出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20.00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20.00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20.00</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2296002</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用于社会福利的彩票公益金支出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bl>
    <w:p>
      <w:pPr>
        <w:rPr>
          <w:rFonts w:hint="default" w:cs="宋体"/>
          <w:sz w:val="21"/>
          <w:szCs w:val="21"/>
        </w:rPr>
      </w:pPr>
      <w:r>
        <w:rPr>
          <w:rFonts w:cs="宋体"/>
          <w:sz w:val="20"/>
          <w:szCs w:val="20"/>
        </w:rPr>
        <w:t>备注：1.本表反映部门本年度政府性基金预算财政拨款收入支出及结转和结余情况。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75"/>
        <w:gridCol w:w="3049"/>
        <w:gridCol w:w="3264"/>
        <w:gridCol w:w="199"/>
        <w:gridCol w:w="3463"/>
        <w:gridCol w:w="77"/>
        <w:gridCol w:w="3395"/>
      </w:tblGrid>
      <w:tr>
        <w:tblPrEx>
          <w:tblCellMar>
            <w:top w:w="0" w:type="dxa"/>
            <w:left w:w="0" w:type="dxa"/>
            <w:bottom w:w="0" w:type="dxa"/>
            <w:right w:w="0" w:type="dxa"/>
          </w:tblCellMar>
        </w:tblPrEx>
        <w:trPr>
          <w:trHeight w:val="65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tblPrEx>
          <w:tblCellMar>
            <w:top w:w="0" w:type="dxa"/>
            <w:left w:w="0" w:type="dxa"/>
            <w:bottom w:w="0" w:type="dxa"/>
            <w:right w:w="0" w:type="dxa"/>
          </w:tblCellMar>
        </w:tblPrEx>
        <w:trPr>
          <w:trHeight w:val="332" w:hRule="atLeast"/>
        </w:trPr>
        <w:tc>
          <w:tcPr>
            <w:tcW w:w="2672"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重庆市石柱土家族自治县三星乡人民政府</w:t>
            </w: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公开08表</w:t>
            </w:r>
          </w:p>
        </w:tc>
      </w:tr>
      <w:tr>
        <w:tblPrEx>
          <w:tblCellMar>
            <w:top w:w="0" w:type="dxa"/>
            <w:left w:w="0" w:type="dxa"/>
            <w:bottom w:w="0" w:type="dxa"/>
            <w:right w:w="0" w:type="dxa"/>
          </w:tblCellMar>
        </w:tblPrEx>
        <w:trPr>
          <w:trHeight w:val="332" w:hRule="atLeast"/>
        </w:trPr>
        <w:tc>
          <w:tcPr>
            <w:tcW w:w="2672"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22"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3393" w:type="pct"/>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39" w:hRule="atLeast"/>
        </w:trPr>
        <w:tc>
          <w:tcPr>
            <w:tcW w:w="61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99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科目名称</w:t>
            </w:r>
          </w:p>
        </w:tc>
        <w:tc>
          <w:tcPr>
            <w:tcW w:w="1130" w:type="pct"/>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13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133" w:type="pct"/>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26"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1"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130"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cs="宋体"/>
                <w:b/>
                <w:color w:val="000000"/>
                <w:sz w:val="20"/>
                <w:szCs w:val="20"/>
              </w:rPr>
            </w:pPr>
          </w:p>
        </w:tc>
        <w:tc>
          <w:tcPr>
            <w:tcW w:w="1133"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bl>
    <w:p>
      <w:pPr>
        <w:rPr>
          <w:rFonts w:hint="default" w:cs="宋体"/>
          <w:sz w:val="21"/>
          <w:szCs w:val="21"/>
        </w:rPr>
      </w:pPr>
      <w:r>
        <w:rPr>
          <w:rFonts w:cs="宋体"/>
          <w:sz w:val="20"/>
          <w:szCs w:val="20"/>
        </w:rPr>
        <w:t>备注：本表反映部门本年度国有资本经营预算财政拨款支出情况。本部门无国有资本经营收支，故本表无数据。</w:t>
      </w:r>
      <w:r>
        <w:rPr>
          <w:rFonts w:cs="宋体"/>
          <w:sz w:val="20"/>
          <w:szCs w:val="20"/>
        </w:rPr>
        <w:br w:type="textWrapping"/>
      </w:r>
      <w:r>
        <w:rPr>
          <w:rFonts w:cs="宋体"/>
          <w:sz w:val="20"/>
          <w:szCs w:val="20"/>
        </w:rPr>
        <w:br w:type="textWrapping"/>
      </w:r>
    </w:p>
    <w:p>
      <w:pPr>
        <w:rPr>
          <w:rFonts w:hint="default" w:cs="宋体"/>
          <w:sz w:val="21"/>
          <w:szCs w:val="21"/>
        </w:rPr>
      </w:pPr>
      <w:r>
        <w:rPr>
          <w:rFonts w:hint="default" w:cs="宋体"/>
          <w:sz w:val="21"/>
          <w:szCs w:val="21"/>
        </w:rPr>
        <w:br w:type="page"/>
      </w:r>
    </w:p>
    <w:tbl>
      <w:tblPr>
        <w:tblStyle w:val="7"/>
        <w:tblW w:w="4850" w:type="pct"/>
        <w:tblInd w:w="0" w:type="dxa"/>
        <w:tblLayout w:type="fixed"/>
        <w:tblCellMar>
          <w:top w:w="0" w:type="dxa"/>
          <w:left w:w="170" w:type="dxa"/>
          <w:bottom w:w="0" w:type="dxa"/>
          <w:right w:w="170" w:type="dxa"/>
        </w:tblCellMar>
      </w:tblPr>
      <w:tblGrid>
        <w:gridCol w:w="4004"/>
        <w:gridCol w:w="2146"/>
        <w:gridCol w:w="2093"/>
        <w:gridCol w:w="4482"/>
        <w:gridCol w:w="2137"/>
      </w:tblGrid>
      <w:tr>
        <w:tblPrEx>
          <w:tblCellMar>
            <w:top w:w="0" w:type="dxa"/>
            <w:left w:w="170" w:type="dxa"/>
            <w:bottom w:w="0" w:type="dxa"/>
            <w:right w:w="170" w:type="dxa"/>
          </w:tblCellMar>
        </w:tblPrEx>
        <w:trPr>
          <w:trHeight w:val="343" w:hRule="atLeast"/>
        </w:trPr>
        <w:tc>
          <w:tcPr>
            <w:tcW w:w="5000" w:type="pct"/>
            <w:gridSpan w:val="5"/>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kern w:val="2"/>
                <w:sz w:val="32"/>
                <w:szCs w:val="32"/>
              </w:rPr>
            </w:pPr>
            <w:r>
              <w:rPr>
                <w:rFonts w:cs="宋体"/>
                <w:b/>
                <w:color w:val="000000"/>
                <w:kern w:val="2"/>
                <w:sz w:val="32"/>
                <w:szCs w:val="32"/>
              </w:rPr>
              <w:t>机构运行信息表</w:t>
            </w:r>
          </w:p>
        </w:tc>
      </w:tr>
      <w:tr>
        <w:tblPrEx>
          <w:tblCellMar>
            <w:top w:w="0" w:type="dxa"/>
            <w:left w:w="170" w:type="dxa"/>
            <w:bottom w:w="0" w:type="dxa"/>
            <w:right w:w="170" w:type="dxa"/>
          </w:tblCellMar>
        </w:tblPrEx>
        <w:trPr>
          <w:trHeight w:val="244" w:hRule="atLeast"/>
        </w:trPr>
        <w:tc>
          <w:tcPr>
            <w:tcW w:w="1347" w:type="pct"/>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p>
        </w:tc>
        <w:tc>
          <w:tcPr>
            <w:tcW w:w="722" w:type="pct"/>
            <w:shd w:val="clear" w:color="auto" w:fill="auto"/>
            <w:noWrap/>
            <w:tcMar>
              <w:top w:w="15" w:type="dxa"/>
              <w:left w:w="15" w:type="dxa"/>
              <w:right w:w="15" w:type="dxa"/>
            </w:tcMar>
            <w:vAlign w:val="bottom"/>
          </w:tcPr>
          <w:p>
            <w:pPr>
              <w:spacing w:line="280" w:lineRule="exact"/>
              <w:jc w:val="center"/>
              <w:rPr>
                <w:rFonts w:hint="default" w:cs="宋体"/>
                <w:color w:val="000000"/>
                <w:kern w:val="2"/>
                <w:sz w:val="20"/>
                <w:szCs w:val="20"/>
              </w:rPr>
            </w:pPr>
          </w:p>
        </w:tc>
        <w:tc>
          <w:tcPr>
            <w:tcW w:w="704" w:type="pct"/>
            <w:shd w:val="clear" w:color="auto" w:fill="auto"/>
            <w:noWrap/>
            <w:tcMar>
              <w:top w:w="15" w:type="dxa"/>
              <w:left w:w="15" w:type="dxa"/>
              <w:right w:w="15" w:type="dxa"/>
            </w:tcMar>
            <w:vAlign w:val="bottom"/>
          </w:tcPr>
          <w:p>
            <w:pPr>
              <w:spacing w:line="280" w:lineRule="exact"/>
              <w:jc w:val="right"/>
              <w:rPr>
                <w:rFonts w:hint="default" w:cs="宋体"/>
                <w:color w:val="000000"/>
                <w:kern w:val="2"/>
                <w:sz w:val="20"/>
                <w:szCs w:val="20"/>
              </w:rPr>
            </w:pPr>
          </w:p>
        </w:tc>
        <w:tc>
          <w:tcPr>
            <w:tcW w:w="1508" w:type="pct"/>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p>
        </w:tc>
        <w:tc>
          <w:tcPr>
            <w:tcW w:w="719" w:type="pct"/>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kern w:val="2"/>
                <w:sz w:val="20"/>
                <w:szCs w:val="20"/>
              </w:rPr>
            </w:pPr>
            <w:r>
              <w:rPr>
                <w:rFonts w:cs="宋体"/>
                <w:color w:val="000000"/>
                <w:kern w:val="2"/>
                <w:sz w:val="20"/>
                <w:szCs w:val="20"/>
              </w:rPr>
              <w:t>公开09表</w:t>
            </w:r>
          </w:p>
        </w:tc>
      </w:tr>
      <w:tr>
        <w:tblPrEx>
          <w:tblCellMar>
            <w:top w:w="0" w:type="dxa"/>
            <w:left w:w="170" w:type="dxa"/>
            <w:bottom w:w="0" w:type="dxa"/>
            <w:right w:w="170" w:type="dxa"/>
          </w:tblCellMar>
        </w:tblPrEx>
        <w:trPr>
          <w:trHeight w:val="244" w:hRule="atLeast"/>
        </w:trPr>
        <w:tc>
          <w:tcPr>
            <w:tcW w:w="2069" w:type="pct"/>
            <w:gridSpan w:val="2"/>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r>
              <w:rPr>
                <w:rFonts w:cs="宋体"/>
                <w:kern w:val="2"/>
                <w:sz w:val="20"/>
                <w:szCs w:val="20"/>
              </w:rPr>
              <w:t>公开部门</w:t>
            </w:r>
            <w:r>
              <w:rPr>
                <w:rFonts w:cs="宋体"/>
                <w:color w:val="000000"/>
                <w:kern w:val="2"/>
                <w:sz w:val="20"/>
                <w:szCs w:val="20"/>
              </w:rPr>
              <w:t xml:space="preserve">： </w:t>
            </w:r>
            <w:r>
              <w:rPr>
                <w:color w:val="000000"/>
                <w:sz w:val="20"/>
                <w:u w:color="auto"/>
              </w:rPr>
              <w:t>重庆市石柱土家族自治县三星乡人民政府</w:t>
            </w:r>
          </w:p>
        </w:tc>
        <w:tc>
          <w:tcPr>
            <w:tcW w:w="704"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rPr>
                <w:rFonts w:hint="default" w:cs="宋体"/>
                <w:color w:val="000000"/>
                <w:kern w:val="2"/>
                <w:sz w:val="20"/>
                <w:szCs w:val="20"/>
              </w:rPr>
            </w:pPr>
          </w:p>
        </w:tc>
        <w:tc>
          <w:tcPr>
            <w:tcW w:w="1508"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p>
        </w:tc>
        <w:tc>
          <w:tcPr>
            <w:tcW w:w="719"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kern w:val="2"/>
                <w:sz w:val="20"/>
                <w:szCs w:val="20"/>
              </w:rPr>
            </w:pPr>
            <w:r>
              <w:rPr>
                <w:rFonts w:cs="宋体"/>
                <w:color w:val="000000"/>
                <w:kern w:val="2"/>
                <w:sz w:val="20"/>
                <w:szCs w:val="20"/>
              </w:rPr>
              <w:t>单位：</w:t>
            </w:r>
            <w:r>
              <w:rPr>
                <w:rFonts w:cs="宋体"/>
                <w:kern w:val="2"/>
                <w:sz w:val="20"/>
                <w:szCs w:val="20"/>
              </w:rPr>
              <w:t>万元</w:t>
            </w:r>
          </w:p>
        </w:tc>
      </w:tr>
      <w:tr>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项  目</w:t>
            </w:r>
          </w:p>
        </w:tc>
        <w:tc>
          <w:tcPr>
            <w:tcW w:w="722"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预算数</w:t>
            </w:r>
          </w:p>
        </w:tc>
        <w:tc>
          <w:tcPr>
            <w:tcW w:w="704"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决算数</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项  目</w:t>
            </w:r>
          </w:p>
        </w:tc>
        <w:tc>
          <w:tcPr>
            <w:tcW w:w="719"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决算数</w:t>
            </w:r>
          </w:p>
        </w:tc>
      </w:tr>
      <w:tr>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一、“三公”经费支出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四、机关运行经费</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67.44</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（一）支出合计</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13.73</w:t>
            </w: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13.73</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（一）行政单位</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67.44</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1．因公出国（境）费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（二）参照公务员法管理事业单位</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2．公务用车购置及运行维护费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9.17</w:t>
            </w: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9.17</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五、资产信息</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（1）公务用车购置费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（一）车辆数合计（辆）</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（2）公务用车运行维护费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9.17</w:t>
            </w: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9.17</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1．副部（省）级及以上领导用车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3．公务接待费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4.56</w:t>
            </w: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4.56</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2．主要领导干部用车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（1）国内接待费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4.56</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3．机要通信用车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4．应急保障用车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（2）国（境）外接待费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5．执法执勤用车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（二）相关统计数</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6．特种专业技术用车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1．因公出国（境）团组数（个）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7．离退休干部用车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2．因公出国（境）人次数（人）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8．其他用车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3．公务用车购置数（辆）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（二）单价100万元（含）以上设备（不含车辆）</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4．公务用车保有量（辆）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六、政府采购支出信息</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5．国内公务接待批次（个）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145</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（一）政府采购支出合计</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3.35</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1．政府采购货物支出</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3.35</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6．国内公务接待人次（人）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1,190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2．政府采购工程支出</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3．政府采购服务支出</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7．国（境）外公务接待批次（个）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（二）政府采购授予中小企业合同金额</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3.35</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8．国（境）外公务接待人次（人）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其中：授予小微企业合同金额</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3.35</w:t>
            </w:r>
            <w:r>
              <w:rPr>
                <w:color w:val="000000"/>
                <w:sz w:val="16"/>
                <w:u w:color="auto"/>
              </w:rPr>
              <w:t xml:space="preserve"> </w:t>
            </w:r>
          </w:p>
        </w:tc>
      </w:tr>
      <w:tr>
        <w:tblPrEx>
          <w:tblCellMar>
            <w:top w:w="0" w:type="dxa"/>
            <w:left w:w="170" w:type="dxa"/>
            <w:bottom w:w="0" w:type="dxa"/>
            <w:right w:w="170" w:type="dxa"/>
          </w:tblCellMar>
        </w:tblPrEx>
        <w:trPr>
          <w:trHeight w:val="286"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二、会议费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2.00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rPr>
                <w:rFonts w:hint="default" w:cs="宋体"/>
                <w:color w:val="000000"/>
                <w:kern w:val="2"/>
                <w:sz w:val="16"/>
                <w:szCs w:val="16"/>
              </w:rPr>
            </w:pP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kern w:val="2"/>
                <w:sz w:val="16"/>
                <w:szCs w:val="16"/>
              </w:rPr>
            </w:pPr>
          </w:p>
        </w:tc>
      </w:tr>
      <w:tr>
        <w:tblPrEx>
          <w:tblCellMar>
            <w:top w:w="0" w:type="dxa"/>
            <w:left w:w="170" w:type="dxa"/>
            <w:bottom w:w="0" w:type="dxa"/>
            <w:right w:w="170" w:type="dxa"/>
          </w:tblCellMar>
        </w:tblPrEx>
        <w:trPr>
          <w:trHeight w:val="389"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三、培训费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2.66</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rPr>
                <w:rFonts w:hint="default" w:cs="宋体"/>
                <w:color w:val="000000"/>
                <w:kern w:val="2"/>
                <w:sz w:val="16"/>
                <w:szCs w:val="16"/>
              </w:rPr>
            </w:pP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kern w:val="2"/>
                <w:sz w:val="16"/>
                <w:szCs w:val="16"/>
              </w:rPr>
            </w:pPr>
          </w:p>
        </w:tc>
      </w:tr>
    </w:tbl>
    <w:p>
      <w:pPr>
        <w:rPr>
          <w:rFonts w:hint="default"/>
        </w:rPr>
      </w:pPr>
      <w:r>
        <w:rPr>
          <w:rFonts w:cs="宋体"/>
          <w:sz w:val="20"/>
          <w:szCs w:val="20"/>
        </w:rPr>
        <w:t>备注：1.本表反映部门本年度财政拨款“三公”经费支出预决算情况。其中，预算数为“三公”经费全年预算数，反映按规定程序调整后的预算数；决算数为包括本年度财政拨款和以前年度结转资金安排的实际支出。</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sectPr>
      <w:headerReference r:id="rId4" w:type="default"/>
      <w:footerReference r:id="rId5" w:type="default"/>
      <w:pgSz w:w="16783" w:h="11850" w:orient="landscape"/>
      <w:pgMar w:top="567" w:right="454" w:bottom="567" w:left="1037" w:header="0" w:footer="283"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rPr>
    </w:pPr>
    <w:r>
      <w:rPr>
        <w:rFonts w:hint="default"/>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default"/>
                            </w:rPr>
                          </w:pPr>
                          <w:r>
                            <w:fldChar w:fldCharType="begin"/>
                          </w:r>
                          <w:r>
                            <w:instrText xml:space="preserve"> PAGE  \* MERGEFORMAT </w:instrText>
                          </w:r>
                          <w:r>
                            <w:fldChar w:fldCharType="separate"/>
                          </w:r>
                          <w:r>
                            <w:rPr>
                              <w:rFonts w:hint="default"/>
                            </w:rPr>
                            <w:t>- 24 -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3"/>
                      <w:rPr>
                        <w:rFonts w:hint="default"/>
                      </w:rPr>
                    </w:pPr>
                    <w:r>
                      <w:fldChar w:fldCharType="begin"/>
                    </w:r>
                    <w:r>
                      <w:instrText xml:space="preserve"> PAGE  \* MERGEFORMAT </w:instrText>
                    </w:r>
                    <w:r>
                      <w:fldChar w:fldCharType="separate"/>
                    </w:r>
                    <w:r>
                      <w:rPr>
                        <w:rFonts w:hint="default"/>
                      </w:rPr>
                      <w:t>- 24 -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rFonts w:hint="default"/>
      </w:rPr>
    </w:pPr>
    <w:r>
      <w:rPr>
        <w:rFonts w:hint="default"/>
      </w:rP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25 -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fill on="f" focussize="0,0"/>
              <v:stroke on="f" weight="0.5pt"/>
              <v:imagedata o:title=""/>
              <o:lock v:ext="edit" aspectratio="f"/>
              <v:textbox inset="0mm,0mm,0mm,0mm" style="mso-fit-shape-to-text:t;">
                <w:txbxContent>
                  <w:p>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25 -</w:t>
                    </w:r>
                    <w:r>
                      <w:fldChar w:fldCharType="end"/>
                    </w:r>
                    <w:r>
                      <w:t xml:space="preserve"> </w:t>
                    </w:r>
                  </w:p>
                </w:txbxContent>
              </v:textbox>
            </v:shape>
          </w:pict>
        </mc:Fallback>
      </mc:AlternateContent>
    </w:r>
    <w:r>
      <w:rPr>
        <w:rFonts w:hint="default"/>
      </w:rP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pPr>
                            <w:pStyle w:val="3"/>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fill on="f" focussize="0,0"/>
              <v:stroke on="f" weight="0.5pt"/>
              <v:imagedata o:title=""/>
              <o:lock v:ext="edit" aspectratio="f"/>
              <v:textbox inset="0mm,0mm,0mm,0mm">
                <w:txbxContent>
                  <w:p>
                    <w:pPr>
                      <w:pStyle w:val="3"/>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1758"/>
        <w:tab w:val="clear" w:pos="4153"/>
        <w:tab w:val="clear" w:pos="8306"/>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UyZTQzNTZlZTI4NTQ2YjViMzM0Nzk1NTI4ZGIzZWQifQ=="/>
  </w:docVars>
  <w:rsids>
    <w:rsidRoot w:val="00B03CCD"/>
    <w:rsid w:val="000C01CC"/>
    <w:rsid w:val="000D7702"/>
    <w:rsid w:val="002D0E5A"/>
    <w:rsid w:val="002E5443"/>
    <w:rsid w:val="004C12FF"/>
    <w:rsid w:val="00550ABE"/>
    <w:rsid w:val="005B023C"/>
    <w:rsid w:val="006137D7"/>
    <w:rsid w:val="00634FA8"/>
    <w:rsid w:val="0063613A"/>
    <w:rsid w:val="00792285"/>
    <w:rsid w:val="007A0D2E"/>
    <w:rsid w:val="007A3314"/>
    <w:rsid w:val="007B419D"/>
    <w:rsid w:val="00810F13"/>
    <w:rsid w:val="00944711"/>
    <w:rsid w:val="00984852"/>
    <w:rsid w:val="009B67B8"/>
    <w:rsid w:val="00A03B1E"/>
    <w:rsid w:val="00A67739"/>
    <w:rsid w:val="00A820B7"/>
    <w:rsid w:val="00AC5566"/>
    <w:rsid w:val="00B03CCD"/>
    <w:rsid w:val="00B40138"/>
    <w:rsid w:val="00BF5A85"/>
    <w:rsid w:val="00C307F6"/>
    <w:rsid w:val="00C96B11"/>
    <w:rsid w:val="00CC6B99"/>
    <w:rsid w:val="00DF7706"/>
    <w:rsid w:val="00E05175"/>
    <w:rsid w:val="00E654E2"/>
    <w:rsid w:val="00E76362"/>
    <w:rsid w:val="00F137D3"/>
    <w:rsid w:val="00F13C36"/>
    <w:rsid w:val="00F23C68"/>
    <w:rsid w:val="00F32C53"/>
    <w:rsid w:val="00F73F90"/>
    <w:rsid w:val="00F7623D"/>
    <w:rsid w:val="00F8598B"/>
    <w:rsid w:val="01474EBF"/>
    <w:rsid w:val="01F3521E"/>
    <w:rsid w:val="03B87EA0"/>
    <w:rsid w:val="03E3214F"/>
    <w:rsid w:val="044C50BA"/>
    <w:rsid w:val="05BC6D49"/>
    <w:rsid w:val="06194FF1"/>
    <w:rsid w:val="06A2550B"/>
    <w:rsid w:val="06F80EE2"/>
    <w:rsid w:val="07001CCA"/>
    <w:rsid w:val="075678DB"/>
    <w:rsid w:val="079D7CC7"/>
    <w:rsid w:val="08051BCA"/>
    <w:rsid w:val="086C12F4"/>
    <w:rsid w:val="08BA052C"/>
    <w:rsid w:val="08DB07BA"/>
    <w:rsid w:val="0969353F"/>
    <w:rsid w:val="098305D0"/>
    <w:rsid w:val="098A0877"/>
    <w:rsid w:val="0A5C4B69"/>
    <w:rsid w:val="0A86124A"/>
    <w:rsid w:val="0AB54CC0"/>
    <w:rsid w:val="0B3C3055"/>
    <w:rsid w:val="0B9335CE"/>
    <w:rsid w:val="0C3C7A2A"/>
    <w:rsid w:val="0C7927C4"/>
    <w:rsid w:val="0C9B098C"/>
    <w:rsid w:val="0D673E11"/>
    <w:rsid w:val="0DDA54E4"/>
    <w:rsid w:val="0E3A5F83"/>
    <w:rsid w:val="0E3B4C6D"/>
    <w:rsid w:val="0E74421A"/>
    <w:rsid w:val="0F836721"/>
    <w:rsid w:val="0FA25D96"/>
    <w:rsid w:val="107B59E5"/>
    <w:rsid w:val="10EC0126"/>
    <w:rsid w:val="10F70B9A"/>
    <w:rsid w:val="11114B5C"/>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6B32A6"/>
    <w:rsid w:val="17C374FC"/>
    <w:rsid w:val="17DC4D3B"/>
    <w:rsid w:val="189079DC"/>
    <w:rsid w:val="189B0D0B"/>
    <w:rsid w:val="18B43F7C"/>
    <w:rsid w:val="19320769"/>
    <w:rsid w:val="194A1770"/>
    <w:rsid w:val="19B906A4"/>
    <w:rsid w:val="1B540DF9"/>
    <w:rsid w:val="1B6F15B6"/>
    <w:rsid w:val="1BAA2EDC"/>
    <w:rsid w:val="1C5C0973"/>
    <w:rsid w:val="1CA55E64"/>
    <w:rsid w:val="1D014A01"/>
    <w:rsid w:val="1D022362"/>
    <w:rsid w:val="1D1B04B0"/>
    <w:rsid w:val="1DBD6767"/>
    <w:rsid w:val="1DC52125"/>
    <w:rsid w:val="1DD26311"/>
    <w:rsid w:val="1E374ACB"/>
    <w:rsid w:val="1E5E27E3"/>
    <w:rsid w:val="1EC6397F"/>
    <w:rsid w:val="1ECF0A66"/>
    <w:rsid w:val="1EF67CA4"/>
    <w:rsid w:val="1F020D3A"/>
    <w:rsid w:val="1F2C5189"/>
    <w:rsid w:val="1F4B0B02"/>
    <w:rsid w:val="1FBB35CD"/>
    <w:rsid w:val="1FCD26AF"/>
    <w:rsid w:val="20642787"/>
    <w:rsid w:val="21556F04"/>
    <w:rsid w:val="22403BD3"/>
    <w:rsid w:val="2358504A"/>
    <w:rsid w:val="23DA37D9"/>
    <w:rsid w:val="24B92327"/>
    <w:rsid w:val="24C14514"/>
    <w:rsid w:val="2533755C"/>
    <w:rsid w:val="25791755"/>
    <w:rsid w:val="26396DF4"/>
    <w:rsid w:val="27167136"/>
    <w:rsid w:val="27B23302"/>
    <w:rsid w:val="29310A5F"/>
    <w:rsid w:val="29C37A35"/>
    <w:rsid w:val="2A076083"/>
    <w:rsid w:val="2A73162E"/>
    <w:rsid w:val="2B167953"/>
    <w:rsid w:val="2B200583"/>
    <w:rsid w:val="2B25481F"/>
    <w:rsid w:val="2B8209DE"/>
    <w:rsid w:val="2C6762A3"/>
    <w:rsid w:val="2EBF7B3E"/>
    <w:rsid w:val="2EDE1934"/>
    <w:rsid w:val="2FCA4B37"/>
    <w:rsid w:val="2FE029D7"/>
    <w:rsid w:val="2FF06E00"/>
    <w:rsid w:val="30562E26"/>
    <w:rsid w:val="30586FEC"/>
    <w:rsid w:val="30820CE3"/>
    <w:rsid w:val="30EC7046"/>
    <w:rsid w:val="315F0B22"/>
    <w:rsid w:val="319D022C"/>
    <w:rsid w:val="31C90022"/>
    <w:rsid w:val="31D84415"/>
    <w:rsid w:val="32285F6F"/>
    <w:rsid w:val="32770556"/>
    <w:rsid w:val="329C0913"/>
    <w:rsid w:val="32AA0460"/>
    <w:rsid w:val="3337290D"/>
    <w:rsid w:val="33E31118"/>
    <w:rsid w:val="33EF7674"/>
    <w:rsid w:val="342D7BC6"/>
    <w:rsid w:val="352930DB"/>
    <w:rsid w:val="35573069"/>
    <w:rsid w:val="355F6038"/>
    <w:rsid w:val="358C217E"/>
    <w:rsid w:val="35937598"/>
    <w:rsid w:val="35A0079C"/>
    <w:rsid w:val="36C9128A"/>
    <w:rsid w:val="36E577A6"/>
    <w:rsid w:val="372E3953"/>
    <w:rsid w:val="373446A0"/>
    <w:rsid w:val="37841E99"/>
    <w:rsid w:val="37BF1123"/>
    <w:rsid w:val="383C3F15"/>
    <w:rsid w:val="38BE4696"/>
    <w:rsid w:val="3939115E"/>
    <w:rsid w:val="39B82A39"/>
    <w:rsid w:val="39C42CA8"/>
    <w:rsid w:val="39DC4FD6"/>
    <w:rsid w:val="39ED3C21"/>
    <w:rsid w:val="39F03D7A"/>
    <w:rsid w:val="39F33306"/>
    <w:rsid w:val="3A2C1C67"/>
    <w:rsid w:val="3B1705E5"/>
    <w:rsid w:val="3B18334B"/>
    <w:rsid w:val="3B36794F"/>
    <w:rsid w:val="3C566AD6"/>
    <w:rsid w:val="3C6A5B02"/>
    <w:rsid w:val="3D0E6439"/>
    <w:rsid w:val="3D2757A1"/>
    <w:rsid w:val="3D3D4FC4"/>
    <w:rsid w:val="3DDF3AB1"/>
    <w:rsid w:val="3E1D0952"/>
    <w:rsid w:val="3E42660A"/>
    <w:rsid w:val="3E7555B1"/>
    <w:rsid w:val="3E787ED9"/>
    <w:rsid w:val="3ED62A65"/>
    <w:rsid w:val="3EEC37F3"/>
    <w:rsid w:val="3F032E93"/>
    <w:rsid w:val="3F0527E5"/>
    <w:rsid w:val="3F694D83"/>
    <w:rsid w:val="3F885DCC"/>
    <w:rsid w:val="3FCD675E"/>
    <w:rsid w:val="4004000C"/>
    <w:rsid w:val="40EC4AE4"/>
    <w:rsid w:val="411B6CE5"/>
    <w:rsid w:val="412070D7"/>
    <w:rsid w:val="41314E40"/>
    <w:rsid w:val="41E0734B"/>
    <w:rsid w:val="426554D0"/>
    <w:rsid w:val="426C1EA8"/>
    <w:rsid w:val="42736402"/>
    <w:rsid w:val="42E86A87"/>
    <w:rsid w:val="43307B09"/>
    <w:rsid w:val="438D0E97"/>
    <w:rsid w:val="43BB152F"/>
    <w:rsid w:val="44C37687"/>
    <w:rsid w:val="4574669A"/>
    <w:rsid w:val="45CB699A"/>
    <w:rsid w:val="465B470D"/>
    <w:rsid w:val="469D6AD4"/>
    <w:rsid w:val="471E6C84"/>
    <w:rsid w:val="4748792B"/>
    <w:rsid w:val="475D719D"/>
    <w:rsid w:val="47674801"/>
    <w:rsid w:val="477E038A"/>
    <w:rsid w:val="48225EF7"/>
    <w:rsid w:val="488F422B"/>
    <w:rsid w:val="48B21583"/>
    <w:rsid w:val="48E36915"/>
    <w:rsid w:val="495C4A24"/>
    <w:rsid w:val="497135DF"/>
    <w:rsid w:val="4A263DF2"/>
    <w:rsid w:val="4A6F6675"/>
    <w:rsid w:val="4B0502DF"/>
    <w:rsid w:val="4B135857"/>
    <w:rsid w:val="4B756A80"/>
    <w:rsid w:val="4B7951CB"/>
    <w:rsid w:val="4B7C315C"/>
    <w:rsid w:val="4DAC4ACA"/>
    <w:rsid w:val="4DBE01D2"/>
    <w:rsid w:val="4EFC6D10"/>
    <w:rsid w:val="4F0C6BA3"/>
    <w:rsid w:val="4F10477D"/>
    <w:rsid w:val="4F186D58"/>
    <w:rsid w:val="4FEA65B7"/>
    <w:rsid w:val="50F06B6E"/>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938297B"/>
    <w:rsid w:val="5A3B59D6"/>
    <w:rsid w:val="5AD134D8"/>
    <w:rsid w:val="5B6503B1"/>
    <w:rsid w:val="5C263CE4"/>
    <w:rsid w:val="5C5D2777"/>
    <w:rsid w:val="5CF66BF3"/>
    <w:rsid w:val="5D290C69"/>
    <w:rsid w:val="5F1301D1"/>
    <w:rsid w:val="5F2D4A41"/>
    <w:rsid w:val="603E78AA"/>
    <w:rsid w:val="60C74F6C"/>
    <w:rsid w:val="61025A59"/>
    <w:rsid w:val="613D5BBC"/>
    <w:rsid w:val="61536C39"/>
    <w:rsid w:val="62944DD7"/>
    <w:rsid w:val="6319381F"/>
    <w:rsid w:val="63236436"/>
    <w:rsid w:val="63C25DC5"/>
    <w:rsid w:val="63C62057"/>
    <w:rsid w:val="641A0553"/>
    <w:rsid w:val="64571EF5"/>
    <w:rsid w:val="64FB113D"/>
    <w:rsid w:val="656152C6"/>
    <w:rsid w:val="6587477F"/>
    <w:rsid w:val="658C3A08"/>
    <w:rsid w:val="65C031CA"/>
    <w:rsid w:val="65CE6852"/>
    <w:rsid w:val="66267C04"/>
    <w:rsid w:val="663F505A"/>
    <w:rsid w:val="66967186"/>
    <w:rsid w:val="66EE5541"/>
    <w:rsid w:val="67924660"/>
    <w:rsid w:val="68407834"/>
    <w:rsid w:val="6883293E"/>
    <w:rsid w:val="688412AD"/>
    <w:rsid w:val="68EB1B71"/>
    <w:rsid w:val="69475C96"/>
    <w:rsid w:val="6AAD2300"/>
    <w:rsid w:val="6B474EF5"/>
    <w:rsid w:val="6BBF53FD"/>
    <w:rsid w:val="6C560CAE"/>
    <w:rsid w:val="6C576495"/>
    <w:rsid w:val="6CE71EE4"/>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6650B0"/>
    <w:rsid w:val="73934AD2"/>
    <w:rsid w:val="73B0525C"/>
    <w:rsid w:val="750837F0"/>
    <w:rsid w:val="754758CF"/>
    <w:rsid w:val="764F62AB"/>
    <w:rsid w:val="765C45EC"/>
    <w:rsid w:val="768A7619"/>
    <w:rsid w:val="772E1EBA"/>
    <w:rsid w:val="77EB79F7"/>
    <w:rsid w:val="78767BD0"/>
    <w:rsid w:val="7912124A"/>
    <w:rsid w:val="796D60A4"/>
    <w:rsid w:val="79A031D5"/>
    <w:rsid w:val="7A1525F7"/>
    <w:rsid w:val="7B420052"/>
    <w:rsid w:val="7B861484"/>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5"/>
    <w:qFormat/>
    <w:uiPriority w:val="0"/>
    <w:rPr>
      <w:sz w:val="18"/>
      <w:szCs w:val="18"/>
    </w:rPr>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批注框文本 Char"/>
    <w:basedOn w:val="9"/>
    <w:link w:val="2"/>
    <w:qFormat/>
    <w:uiPriority w:val="0"/>
    <w:rPr>
      <w:rFonts w:ascii="宋体" w:hAnsi="宋体"/>
      <w:sz w:val="18"/>
      <w:szCs w:val="18"/>
    </w:rPr>
  </w:style>
  <w:style w:type="paragraph" w:customStyle="1" w:styleId="16">
    <w:name w:val="普通(网站) Char Char"/>
    <w:basedOn w:val="1"/>
    <w:hidden/>
    <w:qFormat/>
    <w:uiPriority w:val="0"/>
    <w:pPr>
      <w:keepNext w:val="0"/>
      <w:keepLines w:val="0"/>
      <w:widowControl/>
      <w:suppressLineNumbers w:val="0"/>
      <w:spacing w:before="0" w:beforeAutospacing="1" w:after="0" w:afterAutospacing="1"/>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33</Pages>
  <Words>4095</Words>
  <Characters>23348</Characters>
  <Lines>194</Lines>
  <Paragraphs>54</Paragraphs>
  <TotalTime>22</TotalTime>
  <ScaleCrop>false</ScaleCrop>
  <LinksUpToDate>false</LinksUpToDate>
  <CharactersWithSpaces>27389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半半熊</cp:lastModifiedBy>
  <dcterms:modified xsi:type="dcterms:W3CDTF">2024-10-21T02:24:37Z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9300579FFC3B4FC9B855A601714E86DF</vt:lpwstr>
  </property>
</Properties>
</file>