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石柱土家族自治县石家乡景区服务中心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  <w:t>年度决算说明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一、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基本情况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ascii="楷体" w:hAnsi="楷体" w:eastAsia="楷体" w:cs="楷体"/>
          <w:sz w:val="32"/>
          <w:szCs w:val="32"/>
          <w:shd w:val="clear" w:color="auto" w:fill="FFFFFF"/>
        </w:rPr>
        <w:t>（一）职能职责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1" w:after="100" w:afterAutospacing="1" w:line="39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（1）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贯彻执行国家和地方关于旅游景区、自然保护区等相关法律法规和政策，确保景区运营合法合规。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1" w:after="100" w:afterAutospacing="1" w:line="39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（2）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负责景区内基础设施、服务设施、公共设施的维护和管理，确保景区设施的正常运行和游客的安全。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1" w:after="100" w:afterAutospacing="1" w:line="39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（3）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负责景区的宣传推广和市场营销，通过多种渠道（如新媒体、自媒体等）进行旅游形象宣传，举办各类促销活动和节会，提升景区知名度。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1" w:after="100" w:afterAutospacing="1" w:line="390" w:lineRule="atLeast"/>
        <w:ind w:left="0" w:right="0" w:firstLine="640" w:firstLineChars="200"/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（4）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负责景区的安全生产监管、旅游市场管理、旅游质量监督等工作，确保景区安全无事故。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1" w:after="100" w:afterAutospacing="1" w:line="39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（5）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积极规划布局景区内的餐饮、民宿、演艺、文创等产业，对景区内所有经营产业和商业行为的准入及运行进行统一管理，促进景区经济发展。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1" w:after="100" w:afterAutospacing="1" w:line="390" w:lineRule="atLeast"/>
        <w:ind w:left="0" w:right="0" w:firstLine="640" w:firstLineChars="200"/>
        <w:rPr>
          <w:rFonts w:hint="default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（6）完成乡党委政府交办的其他任务。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楷体" w:hAnsi="楷体" w:eastAsia="楷体" w:cs="楷体"/>
          <w:sz w:val="32"/>
          <w:szCs w:val="32"/>
        </w:rPr>
      </w:pPr>
      <w:r>
        <w:rPr>
          <w:rStyle w:val="9"/>
          <w:rFonts w:ascii="楷体" w:hAnsi="楷体" w:eastAsia="楷体" w:cs="楷体"/>
          <w:sz w:val="32"/>
          <w:szCs w:val="32"/>
          <w:shd w:val="clear" w:color="auto" w:fill="FFFFFF"/>
        </w:rPr>
        <w:t>（二）机构设置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  <w:t>石柱土家族自治县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  <w:t>石家乡景区服务中心是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  <w:t>隶属于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  <w:t>石家乡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  <w:t>人民政府的财政全额拨款公益一类副科级事业单位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shd w:val="clear" w:color="auto" w:fill="FFFFFF"/>
          <w:lang w:val="en-US" w:eastAsia="zh-CN" w:bidi="ar-SA"/>
        </w:rPr>
        <w:t>，为本年度机构改革新增单位。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决算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收支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情况说明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（一）收入支出决算总体情况说明</w:t>
      </w:r>
    </w:p>
    <w:p>
      <w:pPr>
        <w:pStyle w:val="6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总计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收、支与2023年度相比，增加35.51万元，增长100.0%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</w:p>
    <w:p>
      <w:pPr>
        <w:pStyle w:val="6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年度收入合计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；事业收入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；其他收入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使用非财政拨款结余（含专用结余）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万元，年初结转和结余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年度支出合计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；项目支出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；经营支出</w:t>
      </w:r>
      <w:r>
        <w:rPr>
          <w:rFonts w:hint="default" w:ascii="Times New Roman" w:hAnsi="Times New Roman" w:eastAsia="方正仿宋_GBK"/>
          <w:sz w:val="32"/>
          <w:szCs w:val="32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。此外，结余分配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（二）财政拨款收入支出决算总体情况说明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年度财政拨款收、支总计均为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万元。与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相比，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财政拨款收、支总计各增加35.51万元，增长100.0%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（三）一般公共预算财政拨款收入支出决算情况说明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本单位为本年度机构改革的新增单位，年初无相关数据。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此外，年初财政拨款结转和结余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较年初预算数增加35.51万元，增长100.0%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本单位为本年度机构改革的新增单位，年初无相关数据。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一般公共预算财政拨款支出主要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  <w:lang w:eastAsia="zh-CN"/>
        </w:rPr>
        <w:t>用途如下</w:t>
      </w: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：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）一般公共服务支出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7.31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较年初预算数增加7.31万元，增长100.0%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本单位为本年度机构改革的新增单位，年初无相关数据。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）社会保障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就业支出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25.10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70.7%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较年初预算数增加25.10万元，增长100.0%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本单位为本年度机构改革的新增单位，年初无相关数据。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）卫生健康支出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1.60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较年初预算数增加1.60万元，增长100.0%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本单位为本年度机构改革的新增单位，年初无相关数据。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auto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</w:t>
      </w:r>
      <w:r>
        <w:rPr>
          <w:rFonts w:ascii="方正仿宋_GBK" w:hAnsi="方正仿宋_GBK" w:eastAsia="方正仿宋_GBK" w:cs="方正仿宋_GBK"/>
          <w:sz w:val="32"/>
          <w:szCs w:val="32"/>
        </w:rPr>
        <w:t>住房保障支出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1.49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较年初预算数增加1.49万元，增长100.0%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本单位为本年度机构改革的新增单位，年初无相关数据。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3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年度年末一般公共预算财政拨款结转和结余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（四）一般公共预算财政拨款基本支出决算情况说明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年度一般公共财政拨款基本支出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35.51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0" w:firstLine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人员经费30.26万元，与2023年度相比，增加30.26万元，增长100.0%，主要原因是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人员经费用途主要包括基本工资、绩效工资、社会保障缴费等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公用经费5.25万元，与2023年度相比，增加5.25万元，增长100.0%，主要原因是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公用经费用途主要包括办公费、水费、电费、邮电费、差旅费、工会经费、劳务费等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（五）政府性基金预算收支决算情况说明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2024年度无政府性基金预算财政拨款收支。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（六）国有资本经营预算财政拨款支出决算情况说明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2024年度无国有资本经营预算财政拨款支出。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三、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财政拨款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“三公”经费情况说明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（一）“三公”经费支出总体情况说明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年度“三公”经费支出共计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较年初预算数无增减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较上年支出数无增减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（二）“三公”经费分项支出情况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因公出国（境）费用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车购置费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车运行维护费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公务接待费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（三）“三公”经费实物量情况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个团组，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人；公务用车购置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辆，公务车保有量为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辆；国内公务接待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人，其中：国内外事接待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人；国（境）外公务接待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人均接待费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元，车均购置费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万元，车均维护费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四、其他需要说明的事项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  <w:t>（一）财政拨款会议费、培训费和差旅费情况说明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本年度会议费支出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本年度培训费支出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与2023年度相比，无变化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本年度差旅费支出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2.15</w:t>
      </w:r>
      <w:r>
        <w:rPr>
          <w:rFonts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与2023年度相比，增加2.15万元，增长100.0%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本单位为本年度机构改革的新增单位，去年无相关决算数据。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（二）机关运行经费情况说明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yellow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按照部门决算列报口径，我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不在机关运行经费统计范围之内。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（三）国有资产占用情况说明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截至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日，本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共有车辆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辆，其中，副部（省）级及以上领导用车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辆、主要负责人用车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辆、机要通信用车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辆、应急保障用车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辆、执法执勤用车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辆，特种专业技术用车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辆，离退休干部用车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辆。单价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万元（含）以上专用设备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台（套）。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因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本单位为石家乡人民政府下属的二级事业单位，资产在本级决算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，我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资产未纳入部门决算报表。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（四）政府采购支出情况说明</w:t>
      </w:r>
    </w:p>
    <w:p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sectPr>
          <w:footerReference r:id="rId3" w:type="default"/>
          <w:pgSz w:w="11915" w:h="16840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bookmarkStart w:id="0" w:name="_GoBack"/>
      <w:bookmarkEnd w:id="0"/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2024年度我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未发生政府采购事项，无相关经费支出。</w:t>
      </w:r>
    </w:p>
    <w:tbl>
      <w:tblPr>
        <w:tblStyle w:val="7"/>
        <w:tblW w:w="19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838"/>
        <w:gridCol w:w="4583"/>
        <w:gridCol w:w="4950"/>
        <w:gridCol w:w="800"/>
        <w:gridCol w:w="44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收入</w:t>
            </w:r>
          </w:p>
        </w:tc>
        <w:tc>
          <w:tcPr>
            <w:tcW w:w="101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73,122.46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四、上级补助收入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六、经营收入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七、附属单位上缴收入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八、其他收入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251,048.86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16,024.08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14,935.68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355,131.08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使用非财政拨款结余（含专用结余）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结余分配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355,131.08</w:t>
            </w:r>
          </w:p>
        </w:tc>
      </w:tr>
    </w:tbl>
    <w:p>
      <w:pPr>
        <w:pStyle w:val="10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4" w:type="default"/>
          <w:footerReference r:id="rId5" w:type="default"/>
          <w:pgSz w:w="23811" w:h="16838" w:orient="landscape"/>
          <w:pgMar w:top="567" w:right="454" w:bottom="567" w:left="1037" w:header="0" w:footer="283" w:gutter="0"/>
          <w:pgNumType w:fmt="numberInDash"/>
          <w:cols w:space="720" w:num="1"/>
          <w:docGrid w:type="lines" w:linePitch="312" w:charSpace="0"/>
        </w:sectPr>
      </w:pPr>
    </w:p>
    <w:p>
      <w:pPr>
        <w:pStyle w:val="10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7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583"/>
        <w:gridCol w:w="550"/>
        <w:gridCol w:w="3900"/>
        <w:gridCol w:w="2403"/>
        <w:gridCol w:w="2403"/>
        <w:gridCol w:w="2403"/>
        <w:gridCol w:w="2403"/>
        <w:gridCol w:w="2403"/>
        <w:gridCol w:w="2403"/>
        <w:gridCol w:w="24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24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02表</w:t>
            </w: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财政拨款收入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240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其他收入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一般公共服务支出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政府办公厅（室）及相关机构事务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2010350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251,048.86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251,048.86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36,959.04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36,959.04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24,639.36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24,639.36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12,319.68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12,319.68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20828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退役军人管理事务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2082850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11,824.08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11,824.08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50"/>
        <w:gridCol w:w="483"/>
        <w:gridCol w:w="4433"/>
        <w:gridCol w:w="2737"/>
        <w:gridCol w:w="2737"/>
        <w:gridCol w:w="2737"/>
        <w:gridCol w:w="2737"/>
        <w:gridCol w:w="2737"/>
        <w:gridCol w:w="27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 xml:space="preserve">石柱土家族自治县石家乡景区服务中心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经营支出</w:t>
            </w:r>
          </w:p>
        </w:tc>
        <w:tc>
          <w:tcPr>
            <w:tcW w:w="27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对附属单位补助支出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4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一般公共服务支出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20103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政府办公厅（室）及相关机构事务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2010350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251,048.86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251,048.86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36,959.04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36,959.04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24,639.36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24,639.36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12,319.68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12,319.68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20828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退役军人管理事务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2082850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11,824.08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11,824.08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3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683"/>
        <w:gridCol w:w="2700"/>
        <w:gridCol w:w="3583"/>
        <w:gridCol w:w="717"/>
        <w:gridCol w:w="2872"/>
        <w:gridCol w:w="2872"/>
        <w:gridCol w:w="2872"/>
        <w:gridCol w:w="28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2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财政拨款收入支出决算表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     入</w:t>
            </w:r>
          </w:p>
        </w:tc>
        <w:tc>
          <w:tcPr>
            <w:tcW w:w="15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3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一般公共预算财政拨款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政府性基金预算财政拨款</w:t>
            </w:r>
          </w:p>
        </w:tc>
        <w:tc>
          <w:tcPr>
            <w:tcW w:w="2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国有资本经营预算财政拨款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73,122.46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251,048.86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251,048.86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16,024.08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355,131.08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355,131.08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355,131.08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355,131.08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355,131.08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一般公共服务支出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20103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政府办公厅（室）及相关机构事务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2010350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73,122.46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社会保障和就业支出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251,048.86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251,048.86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251,048.86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251,048.86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行政事业单位养老支出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36,959.04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36,959.04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36,959.04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36,959.04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24,639.36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24,639.36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24,639.36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24,639.36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机关事业单位职业年金缴费支出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12,319.68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12,319.68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12,319.68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12,319.68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20828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退役军人管理事务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2082850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卫生健康支出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16,024.08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11,824.08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11,824.08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11,824.08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11,824.08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其他行政事业单位医疗支出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4,200.00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4,200.00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住房保障支出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住房改革支出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2210201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14,935.68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36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3616"/>
        <w:gridCol w:w="2650"/>
        <w:gridCol w:w="1234"/>
        <w:gridCol w:w="2866"/>
        <w:gridCol w:w="2367"/>
        <w:gridCol w:w="1133"/>
        <w:gridCol w:w="4467"/>
        <w:gridCol w:w="2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3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一般公共预算财政拨款基本支出决算明细表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474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6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2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8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3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8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302,641.83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52,489.25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基本工资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60,984.00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13,500.00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津贴补贴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23,346.00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印刷费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咨询费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伙食补助费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手续费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绩效工资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148,775.00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水费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24,639.36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信息网络及软件购置更新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职业年金缴费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12,319.68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邮电费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6,240.00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物资储备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12,446.40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取暖费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土地补偿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物业管理费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安置补助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995.71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差旅费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21,500.00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地上附着物和青苗补偿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14,935.68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拆迁补偿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4,200.00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维修（护）费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租赁费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其他交通工具购置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文物和陈列品购置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离休费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无形资产购置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退职（役）费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专用材料费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抚恤金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被装购置费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资本金注入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生活补助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专用燃料费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政府投资基金股权投资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救济费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劳务费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31204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费用补贴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委托业务费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利息补贴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助学金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工会经费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2,489.25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奖励金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福利费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个人农业生产补贴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代缴社会保险费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国家赔偿费用支出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30240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税金及附加费用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对民间非营利组织和群众性自治组织补贴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5,260.00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经常性赠与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其他支出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96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人员经费合计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bottom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302,641.83 </w:t>
            </w:r>
          </w:p>
        </w:tc>
        <w:tc>
          <w:tcPr>
            <w:tcW w:w="1206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公用经费合计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52,489.25 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政府性基金预算财政拨款收入支出决算表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1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"/>
        <w:gridCol w:w="350"/>
        <w:gridCol w:w="350"/>
        <w:gridCol w:w="2664"/>
        <w:gridCol w:w="2437"/>
        <w:gridCol w:w="2063"/>
        <w:gridCol w:w="2186"/>
        <w:gridCol w:w="2482"/>
        <w:gridCol w:w="2400"/>
        <w:gridCol w:w="2307"/>
        <w:gridCol w:w="2287"/>
        <w:gridCol w:w="196"/>
        <w:gridCol w:w="21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1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国有资本经营预算财政拨款收入支出决算表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6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6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69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18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2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312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03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7"/>
        <w:gridCol w:w="867"/>
        <w:gridCol w:w="4383"/>
        <w:gridCol w:w="5317"/>
        <w:gridCol w:w="883"/>
        <w:gridCol w:w="42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机构运行信息决算表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石柱土家族自治县石家乡景区服务中心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38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5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28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一、“三公”经费支出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五、机关运行经费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（一）支出合计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（一）行政单位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（二）参照公务员法管理事业单位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2．公务用车购置及运行维护费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六、资产信息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（1）公务用车购置费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（一）车辆数合计（辆）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1．副部（省）级及以上领导用车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2．主要领导干部用车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（1）国内接待费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3．机要通信用车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其中：外事接待费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4．应急保障用车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（2）国（境）外接待费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5．执法执勤用车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（二）相关统计数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6．特种专业技术用车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1．因公出国（境）团组数（个）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7．离退休干部用车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2．因公出国（境）人次数（人）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8．其他用车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3．公务用车购置数（辆）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（二）单价100万元（含）以上设备（不含车辆）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4．公务用车保有量（辆）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七、政府采购支出信息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5．国内公务接待批次（个）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（一）政府采购支出合计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1．政府采购货物支出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6．国内公务接待人次（人）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2．政府采购工程支出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3．政府采购服务支出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7．国（境）外公务接待批次（个）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（二）政府采购授予中小企业合同金额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8．国（境）外公务接待人次（人）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其中：授予小微企业合同金额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二、会议费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三、培训费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3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四、差旅费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21,500.00</w:t>
            </w: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>
      <w:pPr>
        <w:pStyle w:val="10"/>
        <w:autoSpaceDE w:val="0"/>
        <w:ind w:firstLine="0" w:firstLineChars="0"/>
        <w:rPr>
          <w:rFonts w:hint="default" w:ascii="宋体" w:hAnsi="宋体" w:eastAsia="宋体" w:cs="宋体"/>
          <w:sz w:val="21"/>
          <w:szCs w:val="21"/>
        </w:rPr>
      </w:pPr>
    </w:p>
    <w:sectPr>
      <w:headerReference r:id="rId6" w:type="default"/>
      <w:footerReference r:id="rId7" w:type="default"/>
      <w:pgSz w:w="23811" w:h="16838" w:orient="landscape"/>
      <w:pgMar w:top="567" w:right="454" w:bottom="567" w:left="1037" w:header="0" w:footer="283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4DVRU2AAAAAoBAAAPAAAAAAAAAAEAIAAAACIAAABkcnMvZG93bnJl&#10;di54bWxQSwECFAAUAAAACACHTuJAW1c5XDYCAABi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" name="文本框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OYorozAgAAZw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OYorozAgAAZ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126" name="文本框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A1UVNgAAAAKAQAADwAAAAAAAAABACAAAAAiAAAAZHJzL2Rvd25y&#10;ZXYueG1sUEsBAhQAFAAAAAgAh07iQALFEI03AgAAZg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wYWQ1YTE0ZDA0NjgxYzlhMjZlMDExNTFmMWI3MmEifQ=="/>
  </w:docVars>
  <w:rsids>
    <w:rsidRoot w:val="00B03CCD"/>
    <w:rsid w:val="00550ABE"/>
    <w:rsid w:val="007B419D"/>
    <w:rsid w:val="009B67B8"/>
    <w:rsid w:val="00B03CCD"/>
    <w:rsid w:val="00FE7556"/>
    <w:rsid w:val="01474EBF"/>
    <w:rsid w:val="01F3521E"/>
    <w:rsid w:val="03E3214F"/>
    <w:rsid w:val="04446191"/>
    <w:rsid w:val="044C50BA"/>
    <w:rsid w:val="06A2550B"/>
    <w:rsid w:val="06F80EE2"/>
    <w:rsid w:val="07001CCA"/>
    <w:rsid w:val="075678DB"/>
    <w:rsid w:val="08051BCA"/>
    <w:rsid w:val="08887FC5"/>
    <w:rsid w:val="08BA052C"/>
    <w:rsid w:val="08DB07BA"/>
    <w:rsid w:val="098305D0"/>
    <w:rsid w:val="09B72B6E"/>
    <w:rsid w:val="0A3851D8"/>
    <w:rsid w:val="0A5C4B69"/>
    <w:rsid w:val="0AEC3BC7"/>
    <w:rsid w:val="0B9335CE"/>
    <w:rsid w:val="0C7927C4"/>
    <w:rsid w:val="0C9B098C"/>
    <w:rsid w:val="0D11728C"/>
    <w:rsid w:val="0D673E11"/>
    <w:rsid w:val="0DB50EFE"/>
    <w:rsid w:val="0DDA54E4"/>
    <w:rsid w:val="0E3A5F83"/>
    <w:rsid w:val="0F836721"/>
    <w:rsid w:val="103645A3"/>
    <w:rsid w:val="107B59E5"/>
    <w:rsid w:val="11003CB0"/>
    <w:rsid w:val="111445C7"/>
    <w:rsid w:val="1158083A"/>
    <w:rsid w:val="11F03528"/>
    <w:rsid w:val="12C921C4"/>
    <w:rsid w:val="13850DCB"/>
    <w:rsid w:val="13871C70"/>
    <w:rsid w:val="13A71CB4"/>
    <w:rsid w:val="13AF1D43"/>
    <w:rsid w:val="13CE1647"/>
    <w:rsid w:val="141A11EA"/>
    <w:rsid w:val="14200702"/>
    <w:rsid w:val="148E377E"/>
    <w:rsid w:val="1580711B"/>
    <w:rsid w:val="189B0D0B"/>
    <w:rsid w:val="194A1770"/>
    <w:rsid w:val="19917D9C"/>
    <w:rsid w:val="19B906A4"/>
    <w:rsid w:val="1A1F744B"/>
    <w:rsid w:val="1A4854EC"/>
    <w:rsid w:val="1B6F15B6"/>
    <w:rsid w:val="1BAA2EDC"/>
    <w:rsid w:val="1CE157EE"/>
    <w:rsid w:val="1D014A01"/>
    <w:rsid w:val="1D022362"/>
    <w:rsid w:val="1DD26311"/>
    <w:rsid w:val="1EF67CA4"/>
    <w:rsid w:val="1FCD26AF"/>
    <w:rsid w:val="20642787"/>
    <w:rsid w:val="21556F04"/>
    <w:rsid w:val="22403BD3"/>
    <w:rsid w:val="24B92327"/>
    <w:rsid w:val="2533755C"/>
    <w:rsid w:val="26396DF4"/>
    <w:rsid w:val="27167136"/>
    <w:rsid w:val="27B23302"/>
    <w:rsid w:val="29310A5F"/>
    <w:rsid w:val="29C37A35"/>
    <w:rsid w:val="29C95E09"/>
    <w:rsid w:val="2A076083"/>
    <w:rsid w:val="2A73162E"/>
    <w:rsid w:val="2B167953"/>
    <w:rsid w:val="2B200583"/>
    <w:rsid w:val="2B8209DE"/>
    <w:rsid w:val="2C161D32"/>
    <w:rsid w:val="2C2D3EC7"/>
    <w:rsid w:val="2C6762A3"/>
    <w:rsid w:val="2D8D2A49"/>
    <w:rsid w:val="2FE029D7"/>
    <w:rsid w:val="2FF06E00"/>
    <w:rsid w:val="315D199F"/>
    <w:rsid w:val="315F0B22"/>
    <w:rsid w:val="31D84415"/>
    <w:rsid w:val="32285F6F"/>
    <w:rsid w:val="32770556"/>
    <w:rsid w:val="329C0913"/>
    <w:rsid w:val="3337290D"/>
    <w:rsid w:val="352930DB"/>
    <w:rsid w:val="35573069"/>
    <w:rsid w:val="358C217E"/>
    <w:rsid w:val="359F188C"/>
    <w:rsid w:val="362D2433"/>
    <w:rsid w:val="36C9128A"/>
    <w:rsid w:val="37841E99"/>
    <w:rsid w:val="37BF1123"/>
    <w:rsid w:val="37F26E25"/>
    <w:rsid w:val="38BE4696"/>
    <w:rsid w:val="39166507"/>
    <w:rsid w:val="39B82A39"/>
    <w:rsid w:val="39F33306"/>
    <w:rsid w:val="3B1705E5"/>
    <w:rsid w:val="3B18334B"/>
    <w:rsid w:val="3B36794F"/>
    <w:rsid w:val="3B544954"/>
    <w:rsid w:val="3BF014AD"/>
    <w:rsid w:val="3C6A5B02"/>
    <w:rsid w:val="3D2757A1"/>
    <w:rsid w:val="3D3D4FC4"/>
    <w:rsid w:val="3DDF3AB1"/>
    <w:rsid w:val="3DE60B7E"/>
    <w:rsid w:val="3E1D0952"/>
    <w:rsid w:val="3E247234"/>
    <w:rsid w:val="3E42660A"/>
    <w:rsid w:val="3E7555B1"/>
    <w:rsid w:val="3F0527E5"/>
    <w:rsid w:val="3F16459E"/>
    <w:rsid w:val="3F3617F2"/>
    <w:rsid w:val="3FDE15A7"/>
    <w:rsid w:val="4004000C"/>
    <w:rsid w:val="40FD5440"/>
    <w:rsid w:val="411B6CE5"/>
    <w:rsid w:val="412070D7"/>
    <w:rsid w:val="41314E40"/>
    <w:rsid w:val="4142353C"/>
    <w:rsid w:val="415C674B"/>
    <w:rsid w:val="426C1EA8"/>
    <w:rsid w:val="42E86A87"/>
    <w:rsid w:val="43136432"/>
    <w:rsid w:val="43770A38"/>
    <w:rsid w:val="443A3B12"/>
    <w:rsid w:val="44A854C2"/>
    <w:rsid w:val="44DD597D"/>
    <w:rsid w:val="465B470D"/>
    <w:rsid w:val="469D6AD4"/>
    <w:rsid w:val="47674801"/>
    <w:rsid w:val="48225EF7"/>
    <w:rsid w:val="495C4A24"/>
    <w:rsid w:val="4AD70EE7"/>
    <w:rsid w:val="4B7951CB"/>
    <w:rsid w:val="4B7C315C"/>
    <w:rsid w:val="4BAB7F90"/>
    <w:rsid w:val="4DAC4ACA"/>
    <w:rsid w:val="4F186D58"/>
    <w:rsid w:val="50EC262C"/>
    <w:rsid w:val="522F6E0C"/>
    <w:rsid w:val="52463BA1"/>
    <w:rsid w:val="53C0244D"/>
    <w:rsid w:val="53DD4D4E"/>
    <w:rsid w:val="53E578CE"/>
    <w:rsid w:val="543B029D"/>
    <w:rsid w:val="545D0246"/>
    <w:rsid w:val="554E5773"/>
    <w:rsid w:val="555A3CBC"/>
    <w:rsid w:val="56530F5D"/>
    <w:rsid w:val="5842572D"/>
    <w:rsid w:val="5AE75037"/>
    <w:rsid w:val="5B58571C"/>
    <w:rsid w:val="5B8376C2"/>
    <w:rsid w:val="5B96133A"/>
    <w:rsid w:val="5C1336B7"/>
    <w:rsid w:val="5C263CE4"/>
    <w:rsid w:val="5C5D2777"/>
    <w:rsid w:val="5C6A65F1"/>
    <w:rsid w:val="5D290C69"/>
    <w:rsid w:val="5D537F41"/>
    <w:rsid w:val="5EFA176D"/>
    <w:rsid w:val="5F0247F9"/>
    <w:rsid w:val="5F2D4A41"/>
    <w:rsid w:val="601C34ED"/>
    <w:rsid w:val="60A958A9"/>
    <w:rsid w:val="60D22ADB"/>
    <w:rsid w:val="61025A59"/>
    <w:rsid w:val="613D5BBC"/>
    <w:rsid w:val="61536C39"/>
    <w:rsid w:val="62944DD7"/>
    <w:rsid w:val="634D1435"/>
    <w:rsid w:val="63C25DC5"/>
    <w:rsid w:val="63C62057"/>
    <w:rsid w:val="63C73832"/>
    <w:rsid w:val="64FB113D"/>
    <w:rsid w:val="656152C6"/>
    <w:rsid w:val="6587477F"/>
    <w:rsid w:val="658C3A08"/>
    <w:rsid w:val="65C031CA"/>
    <w:rsid w:val="65CE6852"/>
    <w:rsid w:val="66267C04"/>
    <w:rsid w:val="663F505A"/>
    <w:rsid w:val="665C1999"/>
    <w:rsid w:val="667F2393"/>
    <w:rsid w:val="66EE5541"/>
    <w:rsid w:val="692172FD"/>
    <w:rsid w:val="6A3829EE"/>
    <w:rsid w:val="6B474EF5"/>
    <w:rsid w:val="6C560CAE"/>
    <w:rsid w:val="6D0615E4"/>
    <w:rsid w:val="6D903FF5"/>
    <w:rsid w:val="6DA955B8"/>
    <w:rsid w:val="6DE346AB"/>
    <w:rsid w:val="6F7F6A2D"/>
    <w:rsid w:val="6FB442D1"/>
    <w:rsid w:val="6FFB2E76"/>
    <w:rsid w:val="71C34D91"/>
    <w:rsid w:val="71ED38AA"/>
    <w:rsid w:val="720229AA"/>
    <w:rsid w:val="72DB435C"/>
    <w:rsid w:val="750837F0"/>
    <w:rsid w:val="764F62AB"/>
    <w:rsid w:val="765C45EC"/>
    <w:rsid w:val="768A7619"/>
    <w:rsid w:val="76E14979"/>
    <w:rsid w:val="77EA362A"/>
    <w:rsid w:val="7875383E"/>
    <w:rsid w:val="796D60A4"/>
    <w:rsid w:val="79A031D5"/>
    <w:rsid w:val="7A1525F7"/>
    <w:rsid w:val="7A3E6CB6"/>
    <w:rsid w:val="7A680D2D"/>
    <w:rsid w:val="7B420052"/>
    <w:rsid w:val="7BD06A28"/>
    <w:rsid w:val="7C1E4CD7"/>
    <w:rsid w:val="7C3A7C0B"/>
    <w:rsid w:val="7C5248E4"/>
    <w:rsid w:val="7C566698"/>
    <w:rsid w:val="7FA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styleId="9">
    <w:name w:val="Strong"/>
    <w:qFormat/>
    <w:uiPriority w:val="0"/>
    <w:rPr>
      <w:b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8481</Words>
  <Characters>12681</Characters>
  <Lines>161</Lines>
  <Paragraphs>45</Paragraphs>
  <TotalTime>2</TotalTime>
  <ScaleCrop>false</ScaleCrop>
  <LinksUpToDate>false</LinksUpToDate>
  <CharactersWithSpaces>13865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2024-07-11T02:00:00Z</dcterms:created>
  <dc:creator>Administrator</dc:creator>
  <cp:lastModifiedBy>Administrator</cp:lastModifiedBy>
  <dcterms:modified xsi:type="dcterms:W3CDTF">2025-10-14T08:26:02Z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BB46EABDBB2749749395447164B066B3_12</vt:lpwstr>
  </property>
</Properties>
</file>