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topLinePunct w:val="0"/>
        <w:autoSpaceDE/>
        <w:autoSpaceDN/>
        <w:bidi w:val="0"/>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b w:val="0"/>
          <w:bCs w:val="0"/>
          <w:snapToGrid w:val="0"/>
          <w:kern w:val="2"/>
          <w:sz w:val="32"/>
          <w:szCs w:val="32"/>
          <w:lang w:eastAsia="zh-C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833755</wp:posOffset>
                </wp:positionV>
                <wp:extent cx="56388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6388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85pt;margin-top:65.65pt;height:0pt;width:444pt;z-index:251660288;mso-width-relative:page;mso-height-relative:page;" filled="f" stroked="t" coordsize="21600,21600" o:gfxdata="UEsFBgAAAAAAAAAAAAAAAAAAAAAAAFBLAwQKAAAAAACHTuJAAAAAAAAAAAAAAAAABAAAAGRycy9Q&#10;SwMEFAAAAAgAh07iQEv8HePWAAAACgEAAA8AAABkcnMvZG93bnJldi54bWxNj8FOwzAMhu9IvENk&#10;JG4sbSfYKE0nQHBDQitsu2aNaao1TtVkXff2GAkJjv786/fnYjW5Tow4hNaTgnSWgECqvWmpUfD5&#10;8XqzBBGiJqM7T6jgjAFW5eVFoXPjT7TGsYqN4BIKuVZgY+xzKUNt0ekw8z0S77784HTkcWikGfSJ&#10;y10nsyS5k063xBes7vHZYn2ojk7BtF0+2t1bfHrxm3d7mHaVG7OzUtdXafIAIuIU/8Lwo8/qULLT&#10;3h/JBNEpyBYLTjKfp3MQHLhPb5nsf4ksC/n/hfIbUEsDBBQAAAAIAIdO4kBXzsOO4AEAAJoDAAAO&#10;AAAAZHJzL2Uyb0RvYy54bWytU0uOEzEQ3SNxB8t70j1BGaJWOrOYEDYIRgIOULHd3Zb8U9lJJ5fg&#10;AkjsYMWSPbdh5hiUnUyGzwYhelFddpWf33tdvbjaW8N2CqP2ruUXk5oz5YSX2vUtf/d2/WTOWUzg&#10;JBjvVMsPKvKr5eNHizE0auoHb6RCRiAuNmNo+ZBSaKoqikFZiBMflKNi59FCoiX2lUQYCd2aalrX&#10;l9XoUQb0QsVIu6tjkS8LftcpkV53XVSJmZYTt1QilrjJsVouoOkRwqDFiQb8AwsL2tGlZ6gVJGBb&#10;1H9AWS3QR9+lifC28l2nhSoaSM1F/ZuaNwMEVbSQOTGcbYr/D1a82t0g07LlU84cWPpEtx++fn//&#10;6e7bR4q3Xz6zaTZpDLGh3mt3g6dVDDeYFe87tPlNWti+GHs4G6v2iQnanF0+nc9r8l/c16qHgwFj&#10;eqG8ZTlpudEua4YGdi9josuo9b4lbxvHRmI7nz2bER7QzHQGEqU2kIro+nI4eqPlWhuTj0TsN9cG&#10;2Q5oCtbrmp6siYB/acu3rCAOx75SOs7HoEA+d5KlQyB/HA0yzxyskpwZRXOfMwKEJoE2f9NJVxtH&#10;DLKtRyNztvHyQF9jG1D3A1mRcKsK0VykASiUT8OaJ+zndQF7+KW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L/B3j1gAAAAoBAAAPAAAAAAAAAAEAIAAAADgAAABkcnMvZG93bnJldi54bWxQSwEC&#10;FAAUAAAACACHTuJAV87DjuABAACaAwAADgAAAAAAAAABACAAAAA7AQAAZHJzL2Uyb0RvYy54bWxQ&#10;SwUGAAAAAAYABgBZAQAAjQUAAAAA&#10;">
                <v:fill on="f" focussize="0,0"/>
                <v:stroke weight="2.25pt" color="#FF0000" joinstyle="round"/>
                <v:imagedata o:title=""/>
                <o:lock v:ext="edit" aspectratio="f"/>
              </v:line>
            </w:pict>
          </mc:Fallback>
        </mc:AlternateContent>
      </w:r>
      <w:r>
        <w:rPr>
          <w:rFonts w:hint="default" w:ascii="Times New Roman" w:hAnsi="Times New Roman" w:cs="Times New Roman"/>
        </w:rPr>
        <w:pict>
          <v:shape id="AutoShape 9" o:spid="_x0000_s1026" o:spt="136" type="#_x0000_t136" style="position:absolute;left:0pt;margin-left:20.3pt;margin-top:-90.25pt;height:56.65pt;width:44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三河镇人民政府文件" style="font-family:宋体;font-size:28pt;font-weight:bold;v-text-align:center;"/>
          </v:shape>
        </w:pic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b w:val="0"/>
          <w:bCs w:val="0"/>
          <w:snapToGrid w:val="0"/>
          <w:sz w:val="32"/>
          <w:szCs w:val="32"/>
        </w:rPr>
      </w:pPr>
      <w:r>
        <w:rPr>
          <w:rFonts w:hint="default" w:ascii="Times New Roman" w:hAnsi="Times New Roman" w:eastAsia="方正仿宋_GBK" w:cs="Times New Roman"/>
          <w:b w:val="0"/>
          <w:bCs w:val="0"/>
          <w:snapToGrid w:val="0"/>
          <w:kern w:val="2"/>
          <w:sz w:val="32"/>
          <w:szCs w:val="32"/>
          <w:lang w:eastAsia="zh-CN"/>
        </w:rPr>
        <w:t>三河</w:t>
      </w:r>
      <w:r>
        <w:rPr>
          <w:rFonts w:hint="eastAsia" w:ascii="Times New Roman" w:hAnsi="Times New Roman" w:eastAsia="方正仿宋_GBK" w:cs="Times New Roman"/>
          <w:b w:val="0"/>
          <w:bCs w:val="0"/>
          <w:snapToGrid w:val="0"/>
          <w:kern w:val="2"/>
          <w:sz w:val="32"/>
          <w:szCs w:val="32"/>
          <w:lang w:eastAsia="zh-CN"/>
        </w:rPr>
        <w:t>安委办</w:t>
      </w:r>
      <w:r>
        <w:rPr>
          <w:rFonts w:hint="default" w:ascii="Times New Roman" w:hAnsi="Times New Roman" w:eastAsia="方正仿宋_GBK" w:cs="Times New Roman"/>
          <w:b w:val="0"/>
          <w:bCs w:val="0"/>
          <w:snapToGrid w:val="0"/>
          <w:kern w:val="2"/>
          <w:sz w:val="32"/>
          <w:szCs w:val="32"/>
          <w:lang w:eastAsia="zh-CN"/>
        </w:rPr>
        <w:t>发〔</w:t>
      </w:r>
      <w:r>
        <w:rPr>
          <w:rFonts w:hint="default" w:ascii="Times New Roman" w:hAnsi="Times New Roman" w:eastAsia="方正仿宋_GBK" w:cs="Times New Roman"/>
          <w:b w:val="0"/>
          <w:bCs w:val="0"/>
          <w:snapToGrid w:val="0"/>
          <w:kern w:val="2"/>
          <w:sz w:val="32"/>
          <w:szCs w:val="32"/>
          <w:lang w:val="en-US" w:eastAsia="zh-CN"/>
        </w:rPr>
        <w:t>202</w:t>
      </w:r>
      <w:r>
        <w:rPr>
          <w:rFonts w:hint="eastAsia" w:ascii="Times New Roman" w:hAnsi="Times New Roman" w:eastAsia="方正仿宋_GBK" w:cs="Times New Roman"/>
          <w:b w:val="0"/>
          <w:bCs w:val="0"/>
          <w:snapToGrid w:val="0"/>
          <w:kern w:val="2"/>
          <w:sz w:val="32"/>
          <w:szCs w:val="32"/>
          <w:lang w:val="en-US" w:eastAsia="zh-CN"/>
        </w:rPr>
        <w:t>4</w:t>
      </w:r>
      <w:r>
        <w:rPr>
          <w:rFonts w:hint="default" w:ascii="Times New Roman" w:hAnsi="Times New Roman" w:eastAsia="方正仿宋_GBK" w:cs="Times New Roman"/>
          <w:b w:val="0"/>
          <w:bCs w:val="0"/>
          <w:snapToGrid w:val="0"/>
          <w:kern w:val="2"/>
          <w:sz w:val="32"/>
          <w:szCs w:val="32"/>
          <w:lang w:eastAsia="zh-CN"/>
        </w:rPr>
        <w:t>〕</w:t>
      </w:r>
      <w:r>
        <w:rPr>
          <w:rFonts w:hint="eastAsia" w:ascii="Times New Roman" w:hAnsi="Times New Roman" w:eastAsia="方正仿宋_GBK" w:cs="Times New Roman"/>
          <w:b w:val="0"/>
          <w:bCs w:val="0"/>
          <w:snapToGrid w:val="0"/>
          <w:kern w:val="2"/>
          <w:sz w:val="32"/>
          <w:szCs w:val="32"/>
          <w:lang w:val="en-US" w:eastAsia="zh-CN"/>
        </w:rPr>
        <w:t>69</w:t>
      </w:r>
      <w:r>
        <w:rPr>
          <w:rFonts w:hint="default" w:ascii="Times New Roman" w:hAnsi="Times New Roman" w:eastAsia="方正仿宋_GBK" w:cs="Times New Roman"/>
          <w:b w:val="0"/>
          <w:bCs w:val="0"/>
          <w:snapToGrid w:val="0"/>
          <w:kern w:val="2"/>
          <w:sz w:val="32"/>
          <w:szCs w:val="32"/>
          <w:lang w:eastAsia="zh-CN"/>
        </w:rPr>
        <w:t>号</w: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topLinePunct w:val="0"/>
        <w:bidi w:val="0"/>
        <w:spacing w:line="594" w:lineRule="exact"/>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rPr>
        <w:t>三河镇</w:t>
      </w:r>
      <w:r>
        <w:rPr>
          <w:rFonts w:hint="default" w:ascii="Times New Roman" w:hAnsi="Times New Roman" w:eastAsia="方正小标宋_GBK" w:cs="Times New Roman"/>
          <w:bCs/>
          <w:sz w:val="44"/>
          <w:szCs w:val="44"/>
          <w:lang w:val="en-US" w:eastAsia="zh-CN"/>
        </w:rPr>
        <w:t>人民政府</w:t>
      </w:r>
    </w:p>
    <w:p>
      <w:pPr>
        <w:keepNext w:val="0"/>
        <w:keepLines w:val="0"/>
        <w:pageBreakBefore w:val="0"/>
        <w:kinsoku/>
        <w:wordWrap/>
        <w:topLinePunct w:val="0"/>
        <w:bidi w:val="0"/>
        <w:spacing w:line="594" w:lineRule="exact"/>
        <w:jc w:val="center"/>
        <w:rPr>
          <w:rFonts w:hint="default"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lang w:val="en-US" w:eastAsia="zh-CN"/>
        </w:rPr>
        <w:t>三河镇</w:t>
      </w:r>
      <w:r>
        <w:rPr>
          <w:rFonts w:hint="eastAsia" w:ascii="Times New Roman" w:hAnsi="Times New Roman" w:eastAsia="方正小标宋_GBK" w:cs="Times New Roman"/>
          <w:bCs/>
          <w:sz w:val="44"/>
          <w:szCs w:val="44"/>
        </w:rPr>
        <w:t>特种设备安全隐患专项排查整治工作实施方案》的通知</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各村（社区），有关科室，各特种设备生产、经营、使用单位：</w:t>
      </w:r>
    </w:p>
    <w:p>
      <w:pPr>
        <w:keepNext w:val="0"/>
        <w:keepLines w:val="0"/>
        <w:pageBreakBefore w:val="0"/>
        <w:widowControl w:val="0"/>
        <w:kinsoku/>
        <w:overflowPunct/>
        <w:topLinePunct w:val="0"/>
        <w:bidi w:val="0"/>
        <w:snapToGrid/>
        <w:spacing w:line="560" w:lineRule="exact"/>
        <w:ind w:right="0" w:firstLine="640" w:firstLineChars="200"/>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根据相关工作安排，三河镇人民政府制定了《三河镇特种设备安全隐患专项排查整治工作实施方案》，现印发给你们，请抓好贯彻落实。</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firstLine="5440" w:firstLineChars="17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三河镇人民政府</w:t>
      </w:r>
    </w:p>
    <w:p>
      <w:pPr>
        <w:keepNext w:val="0"/>
        <w:keepLines w:val="0"/>
        <w:pageBreakBefore w:val="0"/>
        <w:widowControl w:val="0"/>
        <w:kinsoku/>
        <w:wordWrap/>
        <w:overflowPunct/>
        <w:topLinePunct w:val="0"/>
        <w:autoSpaceDE/>
        <w:autoSpaceDN/>
        <w:bidi w:val="0"/>
        <w:adjustRightInd/>
        <w:snapToGrid/>
        <w:spacing w:line="540" w:lineRule="exact"/>
        <w:ind w:right="0" w:firstLine="5440" w:firstLineChars="17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rPr>
        <w:t>日</w:t>
      </w:r>
    </w:p>
    <w:p>
      <w:pPr>
        <w:keepNext w:val="0"/>
        <w:keepLines w:val="0"/>
        <w:pageBreakBefore w:val="0"/>
        <w:widowControl w:val="0"/>
        <w:kinsoku/>
        <w:overflowPunct/>
        <w:topLinePunct w:val="0"/>
        <w:bidi w:val="0"/>
        <w:snapToGrid/>
        <w:spacing w:line="560" w:lineRule="exact"/>
        <w:ind w:right="0"/>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（此件公开发布）</w:t>
      </w:r>
      <w:r>
        <w:rPr>
          <w:rFonts w:hint="default" w:ascii="Times New Roman" w:hAnsi="Times New Roman" w:eastAsia="方正仿宋_GBK" w:cs="Times New Roman"/>
          <w:sz w:val="32"/>
          <w:szCs w:val="44"/>
          <w:lang w:val="en-US" w:eastAsia="zh-CN"/>
        </w:rPr>
        <w:br w:type="page"/>
      </w:r>
    </w:p>
    <w:p>
      <w:pPr>
        <w:spacing w:line="594" w:lineRule="exact"/>
        <w:jc w:val="center"/>
        <w:rPr>
          <w:rFonts w:eastAsia="方正小标宋_GBK"/>
          <w:spacing w:val="-6"/>
          <w:sz w:val="44"/>
          <w:szCs w:val="44"/>
        </w:rPr>
      </w:pPr>
      <w:r>
        <w:rPr>
          <w:rFonts w:hint="eastAsia" w:eastAsia="方正小标宋_GBK"/>
          <w:spacing w:val="-6"/>
          <w:sz w:val="44"/>
          <w:szCs w:val="44"/>
          <w:lang w:val="en-US" w:eastAsia="zh-CN"/>
        </w:rPr>
        <w:t>三河镇</w:t>
      </w:r>
      <w:r>
        <w:rPr>
          <w:rFonts w:hint="eastAsia" w:eastAsia="方正小标宋_GBK"/>
          <w:spacing w:val="-6"/>
          <w:sz w:val="44"/>
          <w:szCs w:val="44"/>
        </w:rPr>
        <w:t>特种设备安全隐患专项排查整治工作</w:t>
      </w:r>
    </w:p>
    <w:p>
      <w:pPr>
        <w:spacing w:line="594" w:lineRule="exact"/>
        <w:jc w:val="center"/>
        <w:rPr>
          <w:color w:val="000000"/>
          <w:kern w:val="0"/>
          <w:szCs w:val="32"/>
        </w:rPr>
      </w:pPr>
      <w:r>
        <w:rPr>
          <w:rFonts w:hint="eastAsia" w:eastAsia="方正小标宋_GBK"/>
          <w:sz w:val="44"/>
          <w:szCs w:val="44"/>
        </w:rPr>
        <w:t>实施方案</w:t>
      </w:r>
    </w:p>
    <w:p>
      <w:pPr>
        <w:spacing w:line="594" w:lineRule="exact"/>
        <w:rPr>
          <w:rFonts w:hint="eastAsia"/>
          <w:kern w:val="0"/>
          <w:szCs w:val="32"/>
          <w:lang w:bidi="zh-TW"/>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bidi="zh-TW"/>
        </w:rPr>
      </w:pPr>
      <w:r>
        <w:rPr>
          <w:rFonts w:hint="default" w:ascii="Times New Roman" w:hAnsi="Times New Roman" w:eastAsia="方正仿宋_GBK" w:cs="Times New Roman"/>
          <w:kern w:val="0"/>
          <w:sz w:val="32"/>
          <w:szCs w:val="32"/>
          <w:lang w:bidi="zh-TW"/>
        </w:rPr>
        <w:t>为深入贯彻习近平总书记关于安全生产工作重要指示批示精神，认真落实全国、全市、全县安全生产工作相关会议精神，切实防范化解重大安全生产风险，坚决遏制较大及以上事故发生，努力保障全</w:t>
      </w:r>
      <w:r>
        <w:rPr>
          <w:rFonts w:hint="default" w:ascii="Times New Roman" w:hAnsi="Times New Roman" w:eastAsia="方正仿宋_GBK" w:cs="Times New Roman"/>
          <w:kern w:val="0"/>
          <w:sz w:val="32"/>
          <w:szCs w:val="32"/>
          <w:lang w:val="en-US" w:eastAsia="zh-CN" w:bidi="zh-TW"/>
        </w:rPr>
        <w:t>镇</w:t>
      </w:r>
      <w:r>
        <w:rPr>
          <w:rFonts w:hint="default" w:ascii="Times New Roman" w:hAnsi="Times New Roman" w:eastAsia="方正仿宋_GBK" w:cs="Times New Roman"/>
          <w:kern w:val="0"/>
          <w:sz w:val="32"/>
          <w:szCs w:val="32"/>
          <w:lang w:bidi="zh-TW"/>
        </w:rPr>
        <w:t>特种设备平稳有序运行，</w:t>
      </w:r>
      <w:r>
        <w:rPr>
          <w:rFonts w:hint="default" w:ascii="Times New Roman" w:hAnsi="Times New Roman" w:eastAsia="方正仿宋_GBK" w:cs="Times New Roman"/>
          <w:kern w:val="0"/>
          <w:sz w:val="32"/>
          <w:szCs w:val="32"/>
          <w:lang w:val="en-US" w:eastAsia="zh-CN" w:bidi="zh-TW"/>
        </w:rPr>
        <w:t>三河镇人民政府</w:t>
      </w:r>
      <w:r>
        <w:rPr>
          <w:rFonts w:hint="default" w:ascii="Times New Roman" w:hAnsi="Times New Roman" w:eastAsia="方正仿宋_GBK" w:cs="Times New Roman"/>
          <w:kern w:val="0"/>
          <w:sz w:val="32"/>
          <w:szCs w:val="32"/>
          <w:lang w:bidi="zh-TW"/>
        </w:rPr>
        <w:t>决定从即日起在全</w:t>
      </w:r>
      <w:r>
        <w:rPr>
          <w:rFonts w:hint="default" w:ascii="Times New Roman" w:hAnsi="Times New Roman" w:eastAsia="方正仿宋_GBK" w:cs="Times New Roman"/>
          <w:kern w:val="0"/>
          <w:sz w:val="32"/>
          <w:szCs w:val="32"/>
          <w:lang w:val="en-US" w:eastAsia="zh-CN" w:bidi="zh-TW"/>
        </w:rPr>
        <w:t>镇</w:t>
      </w:r>
      <w:r>
        <w:rPr>
          <w:rFonts w:hint="default" w:ascii="Times New Roman" w:hAnsi="Times New Roman" w:eastAsia="方正仿宋_GBK" w:cs="Times New Roman"/>
          <w:kern w:val="0"/>
          <w:sz w:val="32"/>
          <w:szCs w:val="32"/>
          <w:lang w:bidi="zh-TW"/>
        </w:rPr>
        <w:t>范围内开展特种设备安全隐患专项排查整治工作。</w:t>
      </w:r>
    </w:p>
    <w:p>
      <w:pPr>
        <w:keepNext w:val="0"/>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kern w:val="0"/>
          <w:sz w:val="32"/>
          <w:szCs w:val="32"/>
          <w:lang w:bidi="zh-TW"/>
        </w:rPr>
      </w:pPr>
      <w:r>
        <w:rPr>
          <w:rFonts w:hint="default" w:ascii="Times New Roman" w:hAnsi="Times New Roman" w:eastAsia="方正仿宋_GBK" w:cs="Times New Roman"/>
          <w:kern w:val="0"/>
          <w:sz w:val="32"/>
          <w:szCs w:val="32"/>
          <w:lang w:bidi="zh-TW"/>
        </w:rPr>
        <w:t>以习近平新时代中国特色社会主义思想为指导，全面贯彻落实党的二十大精神，坚持人民至上、生命至上，以“时时放心不下”的责任感，统筹推进高质量发展和高水平安全，强化履职，严格监管执法，压实各方责任，</w:t>
      </w:r>
      <w:r>
        <w:rPr>
          <w:rFonts w:hint="default" w:ascii="Times New Roman" w:hAnsi="Times New Roman" w:eastAsia="方正仿宋_GBK" w:cs="Times New Roman"/>
          <w:sz w:val="32"/>
          <w:szCs w:val="32"/>
        </w:rPr>
        <w:t>深入开展特种设备安全隐患专项排查整治，着力从根本上消除事故隐患、从根本上解决问题，坚决守牢安全底线，</w:t>
      </w:r>
      <w:r>
        <w:rPr>
          <w:rFonts w:hint="default" w:ascii="Times New Roman" w:hAnsi="Times New Roman" w:eastAsia="方正仿宋_GBK" w:cs="Times New Roman"/>
          <w:kern w:val="0"/>
          <w:sz w:val="32"/>
          <w:szCs w:val="32"/>
          <w:lang w:bidi="zh-TW"/>
        </w:rPr>
        <w:t>切实维护人民群众生命财产安全。</w:t>
      </w:r>
    </w:p>
    <w:p>
      <w:pPr>
        <w:keepNext w:val="0"/>
        <w:keepLines w:val="0"/>
        <w:pageBreakBefore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二、工作目标</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kern w:val="0"/>
          <w:sz w:val="32"/>
          <w:szCs w:val="32"/>
          <w:lang w:bidi="zh-TW"/>
        </w:rPr>
      </w:pPr>
      <w:r>
        <w:rPr>
          <w:rFonts w:hint="default" w:ascii="Times New Roman" w:hAnsi="Times New Roman" w:eastAsia="方正仿宋_GBK" w:cs="Times New Roman"/>
          <w:kern w:val="0"/>
          <w:sz w:val="32"/>
          <w:szCs w:val="32"/>
          <w:lang w:bidi="zh-TW"/>
        </w:rPr>
        <w:t>深刻汲取全国全市全县安全事故教训，聚焦群众身边的安全隐患，以</w:t>
      </w:r>
      <w:r>
        <w:rPr>
          <w:rFonts w:hint="default" w:ascii="Times New Roman" w:hAnsi="Times New Roman" w:eastAsia="方正仿宋_GBK" w:cs="Times New Roman"/>
          <w:color w:val="000000"/>
          <w:kern w:val="0"/>
          <w:sz w:val="32"/>
          <w:szCs w:val="32"/>
        </w:rPr>
        <w:t>更加有力、更有针对性的举措，全面</w:t>
      </w:r>
      <w:r>
        <w:rPr>
          <w:rFonts w:hint="default" w:ascii="Times New Roman" w:hAnsi="Times New Roman" w:eastAsia="方正仿宋_GBK" w:cs="Times New Roman"/>
          <w:sz w:val="32"/>
          <w:szCs w:val="32"/>
        </w:rPr>
        <w:t>开展特种设备风险隐患排查整治，做到风险隐患早发现、早预警、早处置，健全隐患排查整治长效机制，切实</w:t>
      </w:r>
      <w:r>
        <w:rPr>
          <w:rFonts w:hint="default" w:ascii="Times New Roman" w:hAnsi="Times New Roman" w:eastAsia="方正仿宋_GBK" w:cs="Times New Roman"/>
          <w:kern w:val="0"/>
          <w:sz w:val="32"/>
          <w:szCs w:val="32"/>
          <w:lang w:bidi="zh-TW"/>
        </w:rPr>
        <w:t>夯实特种设备安全工作基础，着力减少一般事故，杜绝较大及以上事故，坚决防止发生群死群伤责任事件，全力营造安全稳定的发展环境。</w:t>
      </w:r>
    </w:p>
    <w:p>
      <w:pPr>
        <w:keepNext w:val="0"/>
        <w:keepLines w:val="0"/>
        <w:pageBreakBefore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三、重点内容</w:t>
      </w:r>
    </w:p>
    <w:p>
      <w:pPr>
        <w:keepNext w:val="0"/>
        <w:keepLines w:val="0"/>
        <w:pageBreakBefore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（一）强化企业主体责任</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特种设备生产、经营、使用单位要严格落实安全生产主体责任，加强本单位特种设备隐患排查治理。</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按规定设置</w:t>
      </w:r>
      <w:r>
        <w:rPr>
          <w:rFonts w:hint="default" w:ascii="Times New Roman" w:hAnsi="Times New Roman" w:eastAsia="方正仿宋_GBK" w:cs="Times New Roman"/>
          <w:bCs/>
          <w:sz w:val="32"/>
          <w:szCs w:val="32"/>
        </w:rPr>
        <w:t>安全管理机构</w:t>
      </w:r>
      <w:r>
        <w:rPr>
          <w:rFonts w:hint="default" w:ascii="Times New Roman" w:hAnsi="Times New Roman" w:eastAsia="方正仿宋_GBK" w:cs="Times New Roman"/>
          <w:sz w:val="32"/>
          <w:szCs w:val="32"/>
        </w:rPr>
        <w:t>或配备专兼职</w:t>
      </w:r>
      <w:r>
        <w:rPr>
          <w:rFonts w:hint="default" w:ascii="Times New Roman" w:hAnsi="Times New Roman" w:eastAsia="方正仿宋_GBK" w:cs="Times New Roman"/>
          <w:bCs/>
          <w:sz w:val="32"/>
          <w:szCs w:val="32"/>
        </w:rPr>
        <w:t>安全管理人员</w:t>
      </w:r>
      <w:r>
        <w:rPr>
          <w:rFonts w:hint="default" w:ascii="Times New Roman" w:hAnsi="Times New Roman" w:eastAsia="方正仿宋_GBK" w:cs="Times New Roman"/>
          <w:sz w:val="32"/>
          <w:szCs w:val="32"/>
        </w:rPr>
        <w:t>，建立并实施</w:t>
      </w:r>
      <w:r>
        <w:rPr>
          <w:rFonts w:hint="default" w:ascii="Times New Roman" w:hAnsi="Times New Roman" w:eastAsia="方正仿宋_GBK" w:cs="Times New Roman"/>
          <w:bCs/>
          <w:sz w:val="32"/>
          <w:szCs w:val="32"/>
        </w:rPr>
        <w:t>安全管理制度和操作规程</w:t>
      </w:r>
      <w:r>
        <w:rPr>
          <w:rFonts w:hint="default" w:ascii="Times New Roman" w:hAnsi="Times New Roman" w:eastAsia="方正仿宋_GBK" w:cs="Times New Roman"/>
          <w:sz w:val="32"/>
          <w:szCs w:val="32"/>
        </w:rPr>
        <w:t>，每类设备制定事故</w:t>
      </w:r>
      <w:r>
        <w:rPr>
          <w:rFonts w:hint="default" w:ascii="Times New Roman" w:hAnsi="Times New Roman" w:eastAsia="方正仿宋_GBK" w:cs="Times New Roman"/>
          <w:bCs/>
          <w:sz w:val="32"/>
          <w:szCs w:val="32"/>
        </w:rPr>
        <w:t>应急（专项）预案</w:t>
      </w:r>
      <w:r>
        <w:rPr>
          <w:rFonts w:hint="default" w:ascii="Times New Roman" w:hAnsi="Times New Roman" w:eastAsia="方正仿宋_GBK" w:cs="Times New Roman"/>
          <w:sz w:val="32"/>
          <w:szCs w:val="32"/>
        </w:rPr>
        <w:t>、每年开展</w:t>
      </w:r>
      <w:r>
        <w:rPr>
          <w:rFonts w:hint="default" w:ascii="Times New Roman" w:hAnsi="Times New Roman" w:eastAsia="方正仿宋_GBK" w:cs="Times New Roman"/>
          <w:bCs/>
          <w:sz w:val="32"/>
          <w:szCs w:val="32"/>
        </w:rPr>
        <w:t>不低于1次演练并记录</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保障本单位使用的特种设备</w:t>
      </w:r>
      <w:r>
        <w:rPr>
          <w:rFonts w:hint="default" w:ascii="Times New Roman" w:hAnsi="Times New Roman" w:eastAsia="方正仿宋_GBK" w:cs="Times New Roman"/>
          <w:bCs/>
          <w:sz w:val="32"/>
          <w:szCs w:val="32"/>
        </w:rPr>
        <w:t>办理使用登记</w:t>
      </w:r>
      <w:r>
        <w:rPr>
          <w:rFonts w:hint="default" w:ascii="Times New Roman" w:hAnsi="Times New Roman" w:eastAsia="方正仿宋_GBK" w:cs="Times New Roman"/>
          <w:sz w:val="32"/>
          <w:szCs w:val="32"/>
        </w:rPr>
        <w:t>，处在检验</w:t>
      </w:r>
      <w:r>
        <w:rPr>
          <w:rFonts w:hint="default" w:ascii="Times New Roman" w:hAnsi="Times New Roman" w:eastAsia="方正仿宋_GBK" w:cs="Times New Roman"/>
          <w:bCs/>
          <w:sz w:val="32"/>
          <w:szCs w:val="32"/>
        </w:rPr>
        <w:t>有效期</w:t>
      </w:r>
      <w:r>
        <w:rPr>
          <w:rFonts w:hint="default" w:ascii="Times New Roman" w:hAnsi="Times New Roman" w:eastAsia="方正仿宋_GBK" w:cs="Times New Roman"/>
          <w:sz w:val="32"/>
          <w:szCs w:val="32"/>
        </w:rPr>
        <w:t>内，按要求建立</w:t>
      </w:r>
      <w:r>
        <w:rPr>
          <w:rFonts w:hint="default" w:ascii="Times New Roman" w:hAnsi="Times New Roman" w:eastAsia="方正仿宋_GBK" w:cs="Times New Roman"/>
          <w:bCs/>
          <w:sz w:val="32"/>
          <w:szCs w:val="32"/>
        </w:rPr>
        <w:t>人员、设备、隐患排查整治三本台账</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bCs/>
          <w:sz w:val="32"/>
          <w:szCs w:val="32"/>
        </w:rPr>
        <w:t>安全管理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一设备一档案资料</w:t>
      </w:r>
      <w:r>
        <w:rPr>
          <w:rFonts w:hint="default" w:ascii="Times New Roman" w:hAnsi="Times New Roman" w:eastAsia="方正仿宋_GBK" w:cs="Times New Roman"/>
          <w:sz w:val="32"/>
          <w:szCs w:val="32"/>
        </w:rPr>
        <w:t>，设备进行经常性</w:t>
      </w:r>
      <w:r>
        <w:rPr>
          <w:rFonts w:hint="default" w:ascii="Times New Roman" w:hAnsi="Times New Roman" w:eastAsia="方正仿宋_GBK" w:cs="Times New Roman"/>
          <w:bCs/>
          <w:sz w:val="32"/>
          <w:szCs w:val="32"/>
        </w:rPr>
        <w:t>维护保养并记录</w:t>
      </w:r>
      <w:r>
        <w:rPr>
          <w:rFonts w:hint="default" w:ascii="Times New Roman" w:hAnsi="Times New Roman" w:eastAsia="方正仿宋_GBK" w:cs="Times New Roman"/>
          <w:sz w:val="32"/>
          <w:szCs w:val="32"/>
        </w:rPr>
        <w:t>，建立健全设备</w:t>
      </w:r>
      <w:r>
        <w:rPr>
          <w:rFonts w:hint="default" w:ascii="Times New Roman" w:hAnsi="Times New Roman" w:eastAsia="方正仿宋_GBK" w:cs="Times New Roman"/>
          <w:bCs/>
          <w:sz w:val="32"/>
          <w:szCs w:val="32"/>
        </w:rPr>
        <w:t>异常情况处置记录</w:t>
      </w:r>
      <w:r>
        <w:rPr>
          <w:rFonts w:hint="default" w:ascii="Times New Roman" w:hAnsi="Times New Roman" w:eastAsia="方正仿宋_GBK" w:cs="Times New Roman"/>
          <w:sz w:val="32"/>
          <w:szCs w:val="32"/>
        </w:rPr>
        <w:t>，安全管理人员和作业人员</w:t>
      </w:r>
      <w:r>
        <w:rPr>
          <w:rFonts w:hint="default" w:ascii="Times New Roman" w:hAnsi="Times New Roman" w:eastAsia="方正仿宋_GBK" w:cs="Times New Roman"/>
          <w:bCs/>
          <w:sz w:val="32"/>
          <w:szCs w:val="32"/>
        </w:rPr>
        <w:t>证件在有效期内</w:t>
      </w:r>
      <w:r>
        <w:rPr>
          <w:rFonts w:hint="default" w:ascii="Times New Roman" w:hAnsi="Times New Roman" w:eastAsia="方正仿宋_GBK" w:cs="Times New Roman"/>
          <w:sz w:val="32"/>
          <w:szCs w:val="32"/>
        </w:rPr>
        <w:t>、项目符合要求并</w:t>
      </w:r>
      <w:r>
        <w:rPr>
          <w:rFonts w:hint="default" w:ascii="Times New Roman" w:hAnsi="Times New Roman" w:eastAsia="方正仿宋_GBK" w:cs="Times New Roman"/>
          <w:bCs/>
          <w:sz w:val="32"/>
          <w:szCs w:val="32"/>
        </w:rPr>
        <w:t>办理聘用手续</w:t>
      </w:r>
      <w:r>
        <w:rPr>
          <w:rFonts w:hint="default" w:ascii="Times New Roman" w:hAnsi="Times New Roman" w:eastAsia="方正仿宋_GBK" w:cs="Times New Roman"/>
          <w:sz w:val="32"/>
          <w:szCs w:val="32"/>
        </w:rPr>
        <w:t>，有特种设备作业人员</w:t>
      </w:r>
      <w:r>
        <w:rPr>
          <w:rFonts w:hint="default" w:ascii="Times New Roman" w:hAnsi="Times New Roman" w:eastAsia="方正仿宋_GBK" w:cs="Times New Roman"/>
          <w:bCs/>
          <w:sz w:val="32"/>
          <w:szCs w:val="32"/>
        </w:rPr>
        <w:t>培训考核记录</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履行安全总监和安全员职责，认真开展</w:t>
      </w:r>
      <w:r>
        <w:rPr>
          <w:rFonts w:hint="default" w:ascii="Times New Roman" w:hAnsi="Times New Roman" w:eastAsia="方正仿宋_GBK" w:cs="Times New Roman"/>
          <w:bCs/>
          <w:sz w:val="32"/>
          <w:szCs w:val="32"/>
        </w:rPr>
        <w:t>“日管控、周排查、月调度”</w:t>
      </w:r>
      <w:r>
        <w:rPr>
          <w:rFonts w:hint="default" w:ascii="Times New Roman" w:hAnsi="Times New Roman" w:eastAsia="方正仿宋_GBK" w:cs="Times New Roman"/>
          <w:sz w:val="32"/>
          <w:szCs w:val="32"/>
        </w:rPr>
        <w:t>隐患排查治理制度，</w:t>
      </w:r>
      <w:r>
        <w:rPr>
          <w:rFonts w:hint="default" w:ascii="Times New Roman" w:hAnsi="Times New Roman" w:eastAsia="方正仿宋_GBK" w:cs="Times New Roman"/>
          <w:bCs/>
          <w:sz w:val="32"/>
          <w:szCs w:val="32"/>
        </w:rPr>
        <w:t>严禁</w:t>
      </w:r>
      <w:r>
        <w:rPr>
          <w:rFonts w:hint="default" w:ascii="Times New Roman" w:hAnsi="Times New Roman" w:eastAsia="方正仿宋_GBK" w:cs="Times New Roman"/>
          <w:sz w:val="32"/>
          <w:szCs w:val="32"/>
        </w:rPr>
        <w:t>特种设备</w:t>
      </w:r>
      <w:r>
        <w:rPr>
          <w:rFonts w:hint="default" w:ascii="Times New Roman" w:hAnsi="Times New Roman" w:eastAsia="方正仿宋_GBK" w:cs="Times New Roman"/>
          <w:bCs/>
          <w:sz w:val="32"/>
          <w:szCs w:val="32"/>
        </w:rPr>
        <w:t>超范围超参数运行</w:t>
      </w:r>
      <w:r>
        <w:rPr>
          <w:rFonts w:hint="default" w:ascii="Times New Roman" w:hAnsi="Times New Roman" w:eastAsia="方正仿宋_GBK" w:cs="Times New Roman"/>
          <w:sz w:val="32"/>
          <w:szCs w:val="32"/>
        </w:rPr>
        <w:t>，确保其</w:t>
      </w:r>
      <w:r>
        <w:rPr>
          <w:rFonts w:hint="default" w:ascii="Times New Roman" w:hAnsi="Times New Roman" w:eastAsia="方正仿宋_GBK" w:cs="Times New Roman"/>
          <w:bCs/>
          <w:sz w:val="32"/>
          <w:szCs w:val="32"/>
        </w:rPr>
        <w:t>持续符合</w:t>
      </w:r>
      <w:r>
        <w:rPr>
          <w:rFonts w:hint="default" w:ascii="Times New Roman" w:hAnsi="Times New Roman" w:eastAsia="方正仿宋_GBK" w:cs="Times New Roman"/>
          <w:sz w:val="32"/>
          <w:szCs w:val="32"/>
        </w:rPr>
        <w:t>安全技术规范规定的</w:t>
      </w:r>
      <w:r>
        <w:rPr>
          <w:rFonts w:hint="default" w:ascii="Times New Roman" w:hAnsi="Times New Roman" w:eastAsia="方正仿宋_GBK" w:cs="Times New Roman"/>
          <w:bCs/>
          <w:sz w:val="32"/>
          <w:szCs w:val="32"/>
        </w:rPr>
        <w:t>技术条件</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（二）从严做好监督检查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shd w:val="clear" w:color="auto" w:fill="FFFFFF"/>
        </w:rPr>
        <w:t xml:space="preserve">1. </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相关科室</w:t>
      </w:r>
      <w:r>
        <w:rPr>
          <w:rFonts w:hint="default" w:ascii="Times New Roman" w:hAnsi="Times New Roman" w:eastAsia="方正仿宋_GBK" w:cs="Times New Roman"/>
          <w:bCs/>
          <w:color w:val="000000"/>
          <w:sz w:val="32"/>
          <w:szCs w:val="32"/>
        </w:rPr>
        <w:t>要充分发挥哨点作用，在本行业、本地区开展一次特种设备安全隐患大排查。</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排查特种设备是否未办理使用登记</w:t>
      </w:r>
      <w:r>
        <w:rPr>
          <w:rFonts w:hint="default" w:ascii="Times New Roman" w:hAnsi="Times New Roman" w:eastAsia="方正仿宋_GBK" w:cs="Times New Roman"/>
          <w:bCs/>
          <w:color w:val="000000"/>
          <w:sz w:val="32"/>
          <w:szCs w:val="32"/>
        </w:rPr>
        <w:t>，如小作坊可能使用的锅炉、农家乐或小区加装的电梯、工厂厂区使用的叉车、有关工程使用的起重机械（建筑工地、市政工程除外）等；</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排查特种设备是否未开展定期检验</w:t>
      </w:r>
      <w:r>
        <w:rPr>
          <w:rFonts w:hint="default" w:ascii="Times New Roman" w:hAnsi="Times New Roman" w:eastAsia="方正仿宋_GBK" w:cs="Times New Roman"/>
          <w:bCs/>
          <w:color w:val="000000"/>
          <w:sz w:val="32"/>
          <w:szCs w:val="32"/>
        </w:rPr>
        <w:t>，如旅游区域季节性使用的电梯、大型游乐设施、锅炉、观光车等；</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排查特种设备是否超范围超参数运行</w:t>
      </w:r>
      <w:r>
        <w:rPr>
          <w:rFonts w:hint="default" w:ascii="Times New Roman" w:hAnsi="Times New Roman" w:eastAsia="方正仿宋_GBK" w:cs="Times New Roman"/>
          <w:bCs/>
          <w:color w:val="000000"/>
          <w:sz w:val="32"/>
          <w:szCs w:val="32"/>
        </w:rPr>
        <w:t>，如旅游观光车或厂区叉车开出规定的区域行驶，观光车超速（最大行驶坡度≤10度时，速度不得大于30km/h；10度&lt;最大行驶坡度≤15度时，速度不得大于20km/h）和不按规定线路行驶等；</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排查特种设备作业人员是否未持证上岗</w:t>
      </w:r>
      <w:r>
        <w:rPr>
          <w:rFonts w:hint="default" w:ascii="Times New Roman" w:hAnsi="Times New Roman" w:eastAsia="方正仿宋_GBK" w:cs="Times New Roman"/>
          <w:bCs/>
          <w:color w:val="000000"/>
          <w:sz w:val="32"/>
          <w:szCs w:val="32"/>
        </w:rPr>
        <w:t>（作业证需是市场监管部门颁发的特种设备作业证），如无证驾驶工厂厂区使用的叉车、旅游景区使用的观光车、有关工程使用的起重机械（建筑工地、市政工程除外）和焊接作业等。</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在排查出相关违法违规线索后，第一时间书面函告至</w:t>
      </w:r>
      <w:r>
        <w:rPr>
          <w:rFonts w:hint="default" w:ascii="Times New Roman" w:hAnsi="Times New Roman" w:eastAsia="方正仿宋_GBK" w:cs="Times New Roman"/>
          <w:bCs/>
          <w:color w:val="000000"/>
          <w:sz w:val="32"/>
          <w:szCs w:val="32"/>
          <w:lang w:val="en-US" w:eastAsia="zh-CN"/>
        </w:rPr>
        <w:t>镇应急办</w:t>
      </w:r>
      <w:r>
        <w:rPr>
          <w:rFonts w:hint="default" w:ascii="Times New Roman" w:hAnsi="Times New Roman" w:eastAsia="方正仿宋_GBK" w:cs="Times New Roman"/>
          <w:bCs/>
          <w:color w:val="000000"/>
          <w:sz w:val="32"/>
          <w:szCs w:val="32"/>
        </w:rPr>
        <w:t>，并配合落实闭环整改。如需技术支持请联系片区市场监管所配合。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2. </w:t>
      </w:r>
      <w:r>
        <w:rPr>
          <w:rFonts w:hint="default" w:ascii="Times New Roman" w:hAnsi="Times New Roman" w:eastAsia="方正仿宋_GBK" w:cs="Times New Roman"/>
          <w:bCs/>
          <w:color w:val="000000"/>
          <w:sz w:val="32"/>
          <w:szCs w:val="32"/>
          <w:lang w:val="en-US" w:eastAsia="zh-CN"/>
        </w:rPr>
        <w:t>镇安办要指导各村（社区）</w:t>
      </w:r>
      <w:r>
        <w:rPr>
          <w:rFonts w:hint="default" w:ascii="Times New Roman" w:hAnsi="Times New Roman" w:eastAsia="方正仿宋_GBK" w:cs="Times New Roman"/>
          <w:bCs/>
          <w:color w:val="000000"/>
          <w:sz w:val="32"/>
          <w:szCs w:val="32"/>
        </w:rPr>
        <w:t>充分发挥属地作用，加强对电梯使用单位落实使用安全主体责任的监督管理。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特种设备使用单位落实使用安全主体责任监督管理规定》第八十五条第一款第（五）项“属于共有产权的，共有人须委托物业服务企业、维护保养单位或者专业公司等市场主体管理电梯，受委托方是使用单位”、第二款“除上述情形之外无法确定使用单位的，由电梯所在地乡镇人民政府、街道办事处协调确定使用单位，或者由电梯所在地乡镇人民政府、街道办事处承担使用单位”的规定，各乡镇（街道）要充分研判，通过</w:t>
      </w:r>
      <w:r>
        <w:rPr>
          <w:rFonts w:hint="default" w:ascii="Times New Roman" w:hAnsi="Times New Roman" w:eastAsia="方正仿宋_GBK" w:cs="Times New Roman"/>
          <w:color w:val="000000"/>
          <w:sz w:val="32"/>
          <w:szCs w:val="32"/>
        </w:rPr>
        <w:t>协商确定使用单位</w:t>
      </w:r>
      <w:r>
        <w:rPr>
          <w:rFonts w:hint="default" w:ascii="Times New Roman" w:hAnsi="Times New Roman" w:eastAsia="方正仿宋_GBK" w:cs="Times New Roman"/>
          <w:bCs/>
          <w:color w:val="000000"/>
          <w:sz w:val="32"/>
          <w:szCs w:val="32"/>
        </w:rPr>
        <w:t>或者由</w:t>
      </w:r>
      <w:r>
        <w:rPr>
          <w:rFonts w:hint="default" w:ascii="Times New Roman" w:hAnsi="Times New Roman" w:eastAsia="方正仿宋_GBK" w:cs="Times New Roman"/>
          <w:color w:val="000000"/>
          <w:sz w:val="32"/>
          <w:szCs w:val="32"/>
        </w:rPr>
        <w:t>乡镇（街道）承担使用责任</w:t>
      </w:r>
      <w:r>
        <w:rPr>
          <w:rFonts w:hint="default" w:ascii="Times New Roman" w:hAnsi="Times New Roman" w:eastAsia="方正仿宋_GBK" w:cs="Times New Roman"/>
          <w:bCs/>
          <w:color w:val="000000"/>
          <w:sz w:val="32"/>
          <w:szCs w:val="32"/>
        </w:rPr>
        <w:t>等方式，确保电梯安全管理得到落实，保障居民乘梯安全。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此项工作时间紧任务重，</w:t>
      </w:r>
      <w:r>
        <w:rPr>
          <w:rFonts w:hint="default" w:ascii="Times New Roman" w:hAnsi="Times New Roman" w:eastAsia="方正仿宋_GBK" w:cs="Times New Roman"/>
          <w:sz w:val="32"/>
          <w:szCs w:val="32"/>
        </w:rPr>
        <w:t>请</w:t>
      </w:r>
      <w:r>
        <w:rPr>
          <w:rFonts w:hint="default" w:ascii="Times New Roman" w:hAnsi="Times New Roman" w:eastAsia="方正仿宋_GBK" w:cs="Times New Roman"/>
          <w:bCs/>
          <w:color w:val="000000"/>
          <w:sz w:val="32"/>
          <w:szCs w:val="32"/>
          <w:lang w:val="en-US" w:eastAsia="zh-CN"/>
        </w:rPr>
        <w:t>各村（社区）</w:t>
      </w:r>
      <w:r>
        <w:rPr>
          <w:rFonts w:hint="default" w:ascii="Times New Roman" w:hAnsi="Times New Roman" w:eastAsia="方正仿宋_GBK" w:cs="Times New Roman"/>
          <w:sz w:val="32"/>
          <w:szCs w:val="32"/>
        </w:rPr>
        <w:t>于5月底前完成，并将落实情况（附件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）于5月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日前通过渝快政报送至</w:t>
      </w:r>
      <w:r>
        <w:rPr>
          <w:rFonts w:hint="default" w:ascii="Times New Roman" w:hAnsi="Times New Roman" w:eastAsia="方正仿宋_GBK" w:cs="Times New Roman"/>
          <w:sz w:val="32"/>
          <w:szCs w:val="32"/>
          <w:lang w:val="en-US" w:eastAsia="zh-CN"/>
        </w:rPr>
        <w:t>镇安办</w:t>
      </w:r>
      <w:r>
        <w:rPr>
          <w:rFonts w:hint="default" w:ascii="Times New Roman" w:hAnsi="Times New Roman" w:eastAsia="方正仿宋_GBK" w:cs="Times New Roman"/>
          <w:bCs/>
          <w:color w:val="000000"/>
          <w:sz w:val="32"/>
          <w:szCs w:val="32"/>
        </w:rPr>
        <w:t>，逾期未报的进行通报并纳入</w:t>
      </w:r>
      <w:r>
        <w:rPr>
          <w:rFonts w:hint="default" w:ascii="Times New Roman" w:hAnsi="Times New Roman" w:eastAsia="方正仿宋_GBK" w:cs="Times New Roman"/>
          <w:bCs/>
          <w:color w:val="000000"/>
          <w:sz w:val="32"/>
          <w:szCs w:val="32"/>
          <w:lang w:val="en-US" w:eastAsia="zh-CN"/>
        </w:rPr>
        <w:t>季度</w:t>
      </w:r>
      <w:r>
        <w:rPr>
          <w:rFonts w:hint="default" w:ascii="Times New Roman" w:hAnsi="Times New Roman" w:eastAsia="方正仿宋_GBK" w:cs="Times New Roman"/>
          <w:bCs/>
          <w:color w:val="000000"/>
          <w:sz w:val="32"/>
          <w:szCs w:val="32"/>
        </w:rPr>
        <w:t>考核。</w:t>
      </w:r>
    </w:p>
    <w:p>
      <w:pPr>
        <w:keepNext w:val="0"/>
        <w:keepLines w:val="0"/>
        <w:pageBreakBefore w:val="0"/>
        <w:kinsoku/>
        <w:wordWrap/>
        <w:overflowPunct/>
        <w:topLinePunct w:val="0"/>
        <w:bidi w:val="0"/>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（三）加大执法力度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三河镇市场监管所</w:t>
      </w:r>
      <w:r>
        <w:rPr>
          <w:rFonts w:hint="default" w:ascii="Times New Roman" w:hAnsi="Times New Roman" w:eastAsia="方正仿宋_GBK" w:cs="Times New Roman"/>
          <w:sz w:val="32"/>
          <w:szCs w:val="32"/>
        </w:rPr>
        <w:t>要将本次专项排查整治行动的监管执法作为尽责履职的重要标准，落实执法主体责任、履行执法主体义务、依法开展监管执法。要严格按照</w:t>
      </w:r>
      <w:r>
        <w:rPr>
          <w:rFonts w:hint="default" w:ascii="Times New Roman" w:hAnsi="Times New Roman" w:eastAsia="方正仿宋_GBK" w:cs="Times New Roman"/>
          <w:sz w:val="32"/>
          <w:szCs w:val="32"/>
          <w:lang w:val="zh-CN"/>
        </w:rPr>
        <w:t>“检查</w:t>
      </w:r>
      <w:r>
        <w:rPr>
          <w:rFonts w:hint="default" w:ascii="Times New Roman" w:hAnsi="Times New Roman" w:eastAsia="方正仿宋_GBK" w:cs="Times New Roman"/>
          <w:sz w:val="32"/>
          <w:szCs w:val="32"/>
        </w:rPr>
        <w:t>诊断、行政处罚、整改复查”闭环执法的要求，深入开展</w:t>
      </w:r>
      <w:r>
        <w:rPr>
          <w:rFonts w:hint="default" w:ascii="Times New Roman" w:hAnsi="Times New Roman" w:eastAsia="方正仿宋_GBK" w:cs="Times New Roman"/>
          <w:sz w:val="32"/>
          <w:szCs w:val="32"/>
          <w:lang w:val="zh-CN"/>
        </w:rPr>
        <w:t>“执法</w:t>
      </w:r>
      <w:r>
        <w:rPr>
          <w:rFonts w:hint="default" w:ascii="Times New Roman" w:hAnsi="Times New Roman" w:eastAsia="方正仿宋_GBK" w:cs="Times New Roman"/>
          <w:sz w:val="32"/>
          <w:szCs w:val="32"/>
        </w:rPr>
        <w:t>清零”和</w:t>
      </w:r>
      <w:r>
        <w:rPr>
          <w:rFonts w:hint="default" w:ascii="Times New Roman" w:hAnsi="Times New Roman" w:eastAsia="方正仿宋_GBK" w:cs="Times New Roman"/>
          <w:sz w:val="32"/>
          <w:szCs w:val="32"/>
          <w:lang w:val="zh-CN"/>
        </w:rPr>
        <w:t>“执</w:t>
      </w:r>
      <w:r>
        <w:rPr>
          <w:rFonts w:hint="default" w:ascii="Times New Roman" w:hAnsi="Times New Roman" w:eastAsia="方正仿宋_GBK" w:cs="Times New Roman"/>
          <w:sz w:val="32"/>
          <w:szCs w:val="32"/>
        </w:rPr>
        <w:t>法量提升”行动。要加强监管和执法的衔接，坚决杜绝该处罚不处罚，该重罚而从轻处罚的情况。要加强部门内部以及与其他部门之间的协调沟通，用好信用监管手段，开展联合惩戒，多措并举消除安全隐患。</w:t>
      </w:r>
    </w:p>
    <w:p>
      <w:pPr>
        <w:keepNext w:val="0"/>
        <w:keepLines w:val="0"/>
        <w:pageBreakBefore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四、实施步骤</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rPr>
        <w:t>（一）动员部署阶段（即日起-4月底）。</w:t>
      </w:r>
      <w:r>
        <w:rPr>
          <w:rFonts w:hint="default" w:ascii="Times New Roman" w:hAnsi="Times New Roman" w:eastAsia="方正仿宋_GBK" w:cs="Times New Roman"/>
          <w:sz w:val="32"/>
          <w:szCs w:val="32"/>
          <w:lang w:val="en-US" w:eastAsia="zh-CN"/>
        </w:rPr>
        <w:t>镇安办负责制定三河镇特种设备安全隐患专项排查整治工作实施方案，进一步强化组织领导，细化工作对象重点内容、工作举措、责任单位。各相关科室、村(社区)收到通知后要及时召开动员部署会议，认真研究本行业、本地区特种设备安全风险隐患，提出应对措施，落实监督检查，问题整改闭环。</w:t>
      </w:r>
    </w:p>
    <w:p>
      <w:pPr>
        <w:keepNext w:val="0"/>
        <w:keepLines w:val="0"/>
        <w:pageBreakBefore w:val="0"/>
        <w:kinsoku/>
        <w:wordWrap/>
        <w:overflowPunct/>
        <w:topLinePunct w:val="0"/>
        <w:bidi w:val="0"/>
        <w:spacing w:line="560" w:lineRule="exact"/>
        <w:ind w:firstLine="640"/>
        <w:jc w:val="both"/>
        <w:textAlignment w:val="auto"/>
        <w:rPr>
          <w:rFonts w:hint="default" w:ascii="Times New Roman" w:hAnsi="Times New Roman" w:eastAsia="方正仿宋_GBK" w:cs="Times New Roman"/>
          <w:color w:val="000000"/>
          <w:sz w:val="32"/>
          <w:szCs w:val="32"/>
          <w:shd w:val="clear" w:color="auto" w:fill="FFFFFF"/>
        </w:rPr>
      </w:pPr>
      <w:r>
        <w:rPr>
          <w:rFonts w:hint="default" w:ascii="方正楷体_GBK" w:hAnsi="方正楷体_GBK" w:eastAsia="方正楷体_GBK" w:cs="方正楷体_GBK"/>
          <w:sz w:val="32"/>
          <w:szCs w:val="32"/>
        </w:rPr>
        <w:t>（二）企业自查阶段（5月1日-5月10日）。</w:t>
      </w:r>
      <w:r>
        <w:rPr>
          <w:rFonts w:hint="default" w:ascii="Times New Roman" w:hAnsi="Times New Roman" w:eastAsia="方正仿宋_GBK" w:cs="Times New Roman"/>
          <w:color w:val="000000"/>
          <w:sz w:val="32"/>
          <w:szCs w:val="32"/>
          <w:shd w:val="clear" w:color="auto" w:fill="FFFFFF"/>
        </w:rPr>
        <w:t>各特种设备生产、经营、使用单位要利用10天的时间，认真排查梳理本单位生产、经营、使用的特种设备在安全管理和设备本体及其安全附件上存在的安全隐患，不留死角，真查真改，确保本单位设备安全稳定运行，并将自查表（附件</w:t>
      </w: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）于5月15日前经主要负责人签字后书面报送至辖区市场监管所留档备查。</w:t>
      </w:r>
    </w:p>
    <w:p>
      <w:pPr>
        <w:pStyle w:val="17"/>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shd w:val="clear" w:color="auto" w:fill="FFFFFF"/>
        </w:rPr>
      </w:pPr>
      <w:r>
        <w:rPr>
          <w:rFonts w:hint="default" w:ascii="方正楷体_GBK" w:hAnsi="方正楷体_GBK" w:eastAsia="方正楷体_GBK" w:cs="方正楷体_GBK"/>
          <w:kern w:val="2"/>
          <w:sz w:val="32"/>
          <w:szCs w:val="32"/>
          <w:lang w:val="en-US" w:eastAsia="zh-CN" w:bidi="ar-SA"/>
        </w:rPr>
        <w:t>（三）排查整治阶段（5月11日-9月10日）。</w:t>
      </w:r>
      <w:r>
        <w:rPr>
          <w:rFonts w:hint="default" w:ascii="Times New Roman" w:hAnsi="Times New Roman" w:eastAsia="方正仿宋_GBK" w:cs="Times New Roman"/>
          <w:color w:val="000000"/>
          <w:kern w:val="2"/>
          <w:sz w:val="32"/>
          <w:szCs w:val="32"/>
          <w:shd w:val="clear" w:color="auto" w:fill="FFFFFF"/>
        </w:rPr>
        <w:t>各</w:t>
      </w:r>
      <w:r>
        <w:rPr>
          <w:rFonts w:hint="default" w:ascii="Times New Roman" w:hAnsi="Times New Roman" w:eastAsia="方正仿宋_GBK" w:cs="Times New Roman"/>
          <w:color w:val="000000"/>
          <w:kern w:val="2"/>
          <w:sz w:val="32"/>
          <w:szCs w:val="32"/>
          <w:shd w:val="clear" w:color="auto" w:fill="FFFFFF"/>
          <w:lang w:val="en-US" w:eastAsia="zh-CN"/>
        </w:rPr>
        <w:t>有关科室</w:t>
      </w:r>
      <w:r>
        <w:rPr>
          <w:rFonts w:hint="default" w:ascii="Times New Roman" w:hAnsi="Times New Roman" w:eastAsia="方正仿宋_GBK" w:cs="Times New Roman"/>
          <w:color w:val="000000"/>
          <w:kern w:val="2"/>
          <w:sz w:val="32"/>
          <w:szCs w:val="32"/>
          <w:shd w:val="clear" w:color="auto" w:fill="FFFFFF"/>
        </w:rPr>
        <w:t>、</w:t>
      </w:r>
      <w:r>
        <w:rPr>
          <w:rFonts w:hint="default" w:ascii="Times New Roman" w:hAnsi="Times New Roman" w:eastAsia="方正仿宋_GBK" w:cs="Times New Roman"/>
          <w:color w:val="000000"/>
          <w:kern w:val="2"/>
          <w:sz w:val="32"/>
          <w:szCs w:val="32"/>
          <w:shd w:val="clear" w:color="auto" w:fill="FFFFFF"/>
          <w:lang w:val="en-US" w:eastAsia="zh-CN"/>
        </w:rPr>
        <w:t>村</w:t>
      </w:r>
      <w:r>
        <w:rPr>
          <w:rFonts w:hint="default" w:ascii="Times New Roman" w:hAnsi="Times New Roman" w:eastAsia="方正仿宋_GBK" w:cs="Times New Roman"/>
          <w:color w:val="000000"/>
          <w:kern w:val="2"/>
          <w:sz w:val="32"/>
          <w:szCs w:val="32"/>
          <w:shd w:val="clear" w:color="auto" w:fill="FFFFFF"/>
        </w:rPr>
        <w:t>（</w:t>
      </w:r>
      <w:r>
        <w:rPr>
          <w:rFonts w:hint="default" w:ascii="Times New Roman" w:hAnsi="Times New Roman" w:eastAsia="方正仿宋_GBK" w:cs="Times New Roman"/>
          <w:color w:val="000000"/>
          <w:kern w:val="2"/>
          <w:sz w:val="32"/>
          <w:szCs w:val="32"/>
          <w:shd w:val="clear" w:color="auto" w:fill="FFFFFF"/>
          <w:lang w:val="en-US" w:eastAsia="zh-CN"/>
        </w:rPr>
        <w:t>社区</w:t>
      </w:r>
      <w:r>
        <w:rPr>
          <w:rFonts w:hint="default" w:ascii="Times New Roman" w:hAnsi="Times New Roman" w:eastAsia="方正仿宋_GBK" w:cs="Times New Roman"/>
          <w:color w:val="000000"/>
          <w:kern w:val="2"/>
          <w:sz w:val="32"/>
          <w:szCs w:val="32"/>
          <w:shd w:val="clear" w:color="auto" w:fill="FFFFFF"/>
        </w:rPr>
        <w:t>）要加强对本行业、本领域、本地区的特种设备生产、经营、使用单位的监督管理。要深入企业、深入一线、深入现场开展检查；检查中，要全面排查整治安全隐患，建立隐患排查整治台账。对排查发现的隐患问题，要严格执行清单化管理，定任务、定措施、定人员、定岗位、定时限、强化督促检查，确保闭环整改。</w:t>
      </w:r>
    </w:p>
    <w:p>
      <w:pPr>
        <w:pStyle w:val="17"/>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方正仿宋_GBK" w:cs="Times New Roman"/>
          <w:color w:val="000000"/>
          <w:kern w:val="2"/>
          <w:sz w:val="32"/>
          <w:szCs w:val="32"/>
          <w:shd w:val="clear" w:color="auto" w:fill="FFFFFF"/>
        </w:rPr>
      </w:pPr>
      <w:r>
        <w:rPr>
          <w:rFonts w:hint="default" w:ascii="方正楷体_GBK" w:hAnsi="方正楷体_GBK" w:eastAsia="方正楷体_GBK" w:cs="方正楷体_GBK"/>
          <w:kern w:val="2"/>
          <w:sz w:val="32"/>
          <w:szCs w:val="32"/>
          <w:lang w:val="en-US" w:eastAsia="zh-CN" w:bidi="ar-SA"/>
        </w:rPr>
        <w:t>（四）总结提升阶段（9月11日-12月31日）。</w:t>
      </w:r>
      <w:r>
        <w:rPr>
          <w:rFonts w:hint="default" w:ascii="Times New Roman" w:hAnsi="Times New Roman" w:eastAsia="方正仿宋_GBK" w:cs="Times New Roman"/>
          <w:color w:val="000000"/>
          <w:kern w:val="2"/>
          <w:sz w:val="32"/>
          <w:szCs w:val="32"/>
          <w:shd w:val="clear" w:color="auto" w:fill="FFFFFF"/>
        </w:rPr>
        <w:t>各</w:t>
      </w:r>
      <w:r>
        <w:rPr>
          <w:rFonts w:hint="default" w:ascii="Times New Roman" w:hAnsi="Times New Roman" w:eastAsia="方正仿宋_GBK" w:cs="Times New Roman"/>
          <w:color w:val="000000"/>
          <w:kern w:val="2"/>
          <w:sz w:val="32"/>
          <w:szCs w:val="32"/>
          <w:shd w:val="clear" w:color="auto" w:fill="FFFFFF"/>
          <w:lang w:val="en-US" w:eastAsia="zh-CN"/>
        </w:rPr>
        <w:t>有关科室</w:t>
      </w:r>
      <w:r>
        <w:rPr>
          <w:rFonts w:hint="default" w:ascii="Times New Roman" w:hAnsi="Times New Roman" w:eastAsia="方正仿宋_GBK" w:cs="Times New Roman"/>
          <w:color w:val="000000"/>
          <w:kern w:val="2"/>
          <w:sz w:val="32"/>
          <w:szCs w:val="32"/>
          <w:shd w:val="clear" w:color="auto" w:fill="FFFFFF"/>
        </w:rPr>
        <w:t>、</w:t>
      </w:r>
      <w:r>
        <w:rPr>
          <w:rFonts w:hint="default" w:ascii="Times New Roman" w:hAnsi="Times New Roman" w:eastAsia="方正仿宋_GBK" w:cs="Times New Roman"/>
          <w:color w:val="000000"/>
          <w:kern w:val="2"/>
          <w:sz w:val="32"/>
          <w:szCs w:val="32"/>
          <w:shd w:val="clear" w:color="auto" w:fill="FFFFFF"/>
          <w:lang w:val="en-US" w:eastAsia="zh-CN"/>
        </w:rPr>
        <w:t>村</w:t>
      </w:r>
      <w:r>
        <w:rPr>
          <w:rFonts w:hint="default" w:ascii="Times New Roman" w:hAnsi="Times New Roman" w:eastAsia="方正仿宋_GBK" w:cs="Times New Roman"/>
          <w:color w:val="000000"/>
          <w:kern w:val="2"/>
          <w:sz w:val="32"/>
          <w:szCs w:val="32"/>
          <w:shd w:val="clear" w:color="auto" w:fill="FFFFFF"/>
        </w:rPr>
        <w:t>（</w:t>
      </w:r>
      <w:r>
        <w:rPr>
          <w:rFonts w:hint="default" w:ascii="Times New Roman" w:hAnsi="Times New Roman" w:eastAsia="方正仿宋_GBK" w:cs="Times New Roman"/>
          <w:color w:val="000000"/>
          <w:kern w:val="2"/>
          <w:sz w:val="32"/>
          <w:szCs w:val="32"/>
          <w:shd w:val="clear" w:color="auto" w:fill="FFFFFF"/>
          <w:lang w:val="en-US" w:eastAsia="zh-CN"/>
        </w:rPr>
        <w:t>社区</w:t>
      </w:r>
      <w:r>
        <w:rPr>
          <w:rFonts w:hint="default" w:ascii="Times New Roman" w:hAnsi="Times New Roman" w:eastAsia="方正仿宋_GBK" w:cs="Times New Roman"/>
          <w:color w:val="000000"/>
          <w:kern w:val="2"/>
          <w:sz w:val="32"/>
          <w:szCs w:val="32"/>
          <w:shd w:val="clear" w:color="auto" w:fill="FFFFFF"/>
        </w:rPr>
        <w:t>）要同步查找工作推进、日常监管、制度建设等方面存在的问题和不足，边整改、边总结、边建设、边提升，全面总结工作经验和阶段成效，固化有效做法，努力保障本行业、本领域、本地区特种设备安全稳定运行。</w:t>
      </w:r>
    </w:p>
    <w:p>
      <w:pPr>
        <w:keepNext w:val="0"/>
        <w:keepLines w:val="0"/>
        <w:pageBreakBefore w:val="0"/>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五、工作措施</w:t>
      </w:r>
    </w:p>
    <w:p>
      <w:pPr>
        <w:pStyle w:val="17"/>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kern w:val="2"/>
          <w:sz w:val="32"/>
          <w:szCs w:val="32"/>
          <w:lang w:val="en-US" w:eastAsia="zh-CN" w:bidi="ar-SA"/>
        </w:rPr>
        <w:t>（一）全面贯彻落实。</w:t>
      </w:r>
      <w:r>
        <w:rPr>
          <w:rFonts w:hint="default" w:ascii="Times New Roman" w:hAnsi="Times New Roman" w:eastAsia="方正仿宋_GBK" w:cs="Times New Roman"/>
          <w:color w:val="000000"/>
          <w:sz w:val="32"/>
          <w:szCs w:val="32"/>
        </w:rPr>
        <w:t>各单位要深入学习贯彻习近平总书记对近期重特大事故的重要指示批示精神，全面落实全国、全市、全县安全生产会议精神和国务院安委会、市安委办、县安委办有关文件要求，把对特种设备安全隐患的整治内容落实到具体工作中。</w:t>
      </w:r>
    </w:p>
    <w:p>
      <w:pPr>
        <w:pStyle w:val="17"/>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kern w:val="2"/>
          <w:sz w:val="32"/>
          <w:szCs w:val="32"/>
          <w:lang w:val="en-US" w:eastAsia="zh-CN" w:bidi="ar-SA"/>
        </w:rPr>
        <w:t>（二）强化排查整治。</w:t>
      </w:r>
      <w:r>
        <w:rPr>
          <w:rFonts w:hint="default" w:ascii="Times New Roman" w:hAnsi="Times New Roman" w:eastAsia="方正仿宋_GBK" w:cs="Times New Roman"/>
          <w:color w:val="000000"/>
          <w:sz w:val="32"/>
          <w:szCs w:val="32"/>
        </w:rPr>
        <w:t>各单位要深刻汲取近期安全事故教训，针对性加强风险研判，采取更加有力、更有针对性的措施，全方位排查整治特种设备安全隐患。各</w:t>
      </w:r>
      <w:r>
        <w:rPr>
          <w:rFonts w:hint="default" w:ascii="Times New Roman" w:hAnsi="Times New Roman" w:eastAsia="方正仿宋_GBK" w:cs="Times New Roman"/>
          <w:color w:val="000000"/>
          <w:sz w:val="32"/>
          <w:szCs w:val="32"/>
          <w:lang w:val="en-US" w:eastAsia="zh-CN"/>
        </w:rPr>
        <w:t>相关科室、村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）在开展检查后于9月28日前通过渝快政将排查整治情况（附件</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）报送至</w:t>
      </w:r>
      <w:r>
        <w:rPr>
          <w:rFonts w:hint="default" w:ascii="Times New Roman" w:hAnsi="Times New Roman" w:eastAsia="方正仿宋_GBK" w:cs="Times New Roman"/>
          <w:color w:val="000000"/>
          <w:sz w:val="32"/>
          <w:szCs w:val="32"/>
          <w:lang w:val="en-US" w:eastAsia="zh-CN"/>
        </w:rPr>
        <w:t>镇安办。</w:t>
      </w:r>
      <w:r>
        <w:rPr>
          <w:rFonts w:hint="default" w:ascii="Times New Roman" w:hAnsi="Times New Roman" w:eastAsia="方正仿宋_GBK" w:cs="Times New Roman"/>
          <w:color w:val="000000"/>
          <w:sz w:val="32"/>
          <w:szCs w:val="32"/>
        </w:rPr>
        <w:t>逾期未报送的将通报批评并纳入年底考核。</w:t>
      </w:r>
    </w:p>
    <w:p>
      <w:pPr>
        <w:pStyle w:val="17"/>
        <w:keepNext w:val="0"/>
        <w:keepLines w:val="0"/>
        <w:pageBreakBefore w:val="0"/>
        <w:kinsoku/>
        <w:wordWrap/>
        <w:overflowPunct/>
        <w:topLinePunct w:val="0"/>
        <w:bidi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000000"/>
          <w:kern w:val="2"/>
          <w:sz w:val="32"/>
          <w:szCs w:val="32"/>
          <w:shd w:val="clear" w:color="auto" w:fill="FFFFFF"/>
        </w:rPr>
      </w:pPr>
      <w:r>
        <w:rPr>
          <w:rFonts w:hint="default" w:ascii="方正楷体_GBK" w:hAnsi="方正楷体_GBK" w:eastAsia="方正楷体_GBK" w:cs="方正楷体_GBK"/>
          <w:kern w:val="2"/>
          <w:sz w:val="32"/>
          <w:szCs w:val="32"/>
          <w:lang w:val="en-US" w:eastAsia="zh-CN" w:bidi="ar-SA"/>
        </w:rPr>
        <w:t>（三）建立长效机制。</w:t>
      </w:r>
      <w:r>
        <w:rPr>
          <w:rFonts w:hint="default" w:ascii="Times New Roman" w:hAnsi="Times New Roman" w:eastAsia="方正仿宋_GBK" w:cs="Times New Roman"/>
          <w:color w:val="000000"/>
          <w:kern w:val="2"/>
          <w:sz w:val="32"/>
          <w:szCs w:val="32"/>
        </w:rPr>
        <w:t>各单位要进一步压实安全生产责任，提升隐患排查治理质效，强化问题清单管控，在隐患排查整治上下功夫，在责任闭环落实上求实效，定期总结分析形势，研究部署重点工作。</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方正仿宋_GBK" w:cs="Times New Roman"/>
          <w:snapToGrid w:val="0"/>
          <w:sz w:val="32"/>
          <w:szCs w:val="32"/>
        </w:rPr>
      </w:pPr>
    </w:p>
    <w:p>
      <w:pPr>
        <w:pStyle w:val="11"/>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 . 特种设备目录</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企业落实特种设备主体责任情况自查表</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）落实电梯使用单位主体责任情况表</w:t>
      </w:r>
    </w:p>
    <w:p>
      <w:pPr>
        <w:keepNext w:val="0"/>
        <w:keepLines w:val="0"/>
        <w:pageBreakBefore w:val="0"/>
        <w:kinsoku/>
        <w:wordWrap/>
        <w:overflowPunct/>
        <w:topLinePunct w:val="0"/>
        <w:bidi w:val="0"/>
        <w:adjustRightInd w:val="0"/>
        <w:snapToGrid w:val="0"/>
        <w:spacing w:line="56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相关科室、村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）特种设备检查情况汇总表</w:t>
      </w: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p>
    <w:tbl>
      <w:tblPr>
        <w:tblStyle w:val="20"/>
        <w:tblpPr w:leftFromText="180" w:rightFromText="180" w:vertAnchor="page" w:horzAnchor="page" w:tblpX="1540" w:tblpY="1429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80" w:type="dxa"/>
            <w:tcBorders>
              <w:top w:val="single" w:color="auto" w:sz="4" w:space="0"/>
              <w:left w:val="nil"/>
              <w:right w:val="nil"/>
            </w:tcBorders>
            <w:noWrap w:val="0"/>
            <w:vAlign w:val="top"/>
          </w:tcPr>
          <w:p>
            <w:pPr>
              <w:keepNext w:val="0"/>
              <w:keepLines w:val="0"/>
              <w:pageBreakBefore w:val="0"/>
              <w:widowControl w:val="0"/>
              <w:tabs>
                <w:tab w:val="left" w:pos="435"/>
              </w:tabs>
              <w:kinsoku/>
              <w:wordWrap/>
              <w:overflowPunct/>
              <w:topLinePunct w:val="0"/>
              <w:autoSpaceDE/>
              <w:autoSpaceDN/>
              <w:bidi w:val="0"/>
              <w:snapToGrid/>
              <w:spacing w:line="560" w:lineRule="exact"/>
              <w:ind w:right="0"/>
              <w:jc w:val="left"/>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三河镇党政办公室                  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13</w:t>
            </w:r>
            <w:r>
              <w:rPr>
                <w:rFonts w:hint="default" w:ascii="Times New Roman" w:hAnsi="Times New Roman" w:eastAsia="方正仿宋_GBK" w:cs="Times New Roman"/>
                <w:color w:val="auto"/>
                <w:kern w:val="2"/>
                <w:sz w:val="32"/>
                <w:szCs w:val="32"/>
                <w:lang w:val="en-US" w:eastAsia="zh-CN" w:bidi="ar-SA"/>
              </w:rPr>
              <w:t>日印</w:t>
            </w:r>
            <w:r>
              <w:rPr>
                <w:rFonts w:hint="eastAsia" w:ascii="Times New Roman" w:hAnsi="Times New Roman" w:eastAsia="方正仿宋_GBK" w:cs="Times New Roman"/>
                <w:color w:val="auto"/>
                <w:kern w:val="2"/>
                <w:sz w:val="32"/>
                <w:szCs w:val="32"/>
                <w:lang w:val="en-US" w:eastAsia="zh-CN" w:bidi="ar-SA"/>
              </w:rPr>
              <w:t>发</w:t>
            </w:r>
          </w:p>
        </w:tc>
      </w:tr>
    </w:tbl>
    <w:p>
      <w:pPr>
        <w:keepNext w:val="0"/>
        <w:keepLines w:val="0"/>
        <w:pageBreakBefore w:val="0"/>
        <w:widowControl w:val="0"/>
        <w:kinsoku/>
        <w:overflowPunct/>
        <w:topLinePunct w:val="0"/>
        <w:bidi w:val="0"/>
        <w:snapToGrid/>
        <w:spacing w:line="560" w:lineRule="exact"/>
        <w:ind w:right="0"/>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（此页无正文）</w:t>
      </w: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pStyle w:val="2"/>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p>
    <w:p>
      <w:pPr>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附件1：</w:t>
      </w:r>
    </w:p>
    <w:p>
      <w:pPr>
        <w:spacing w:line="600" w:lineRule="exact"/>
        <w:jc w:val="center"/>
        <w:rPr>
          <w:rFonts w:eastAsia="方正小标宋_GBK"/>
          <w:bCs/>
          <w:sz w:val="44"/>
          <w:szCs w:val="44"/>
        </w:rPr>
      </w:pPr>
      <w:r>
        <w:rPr>
          <w:rFonts w:hint="eastAsia" w:eastAsia="方正小标宋_GBK"/>
          <w:bCs/>
          <w:sz w:val="44"/>
          <w:szCs w:val="44"/>
        </w:rPr>
        <w:t>特种设备目录</w:t>
      </w:r>
    </w:p>
    <w:p>
      <w:pPr>
        <w:spacing w:line="600" w:lineRule="exact"/>
        <w:jc w:val="center"/>
        <w:rPr>
          <w:rFonts w:eastAsia="方正小标宋简体"/>
          <w:bCs/>
          <w:sz w:val="44"/>
          <w:szCs w:val="4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392"/>
        <w:gridCol w:w="2677"/>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blHeader/>
          <w:jc w:val="center"/>
        </w:trPr>
        <w:tc>
          <w:tcPr>
            <w:tcW w:w="1627" w:type="dxa"/>
            <w:shd w:val="clear" w:color="auto" w:fill="auto"/>
            <w:noWrap/>
            <w:vAlign w:val="center"/>
          </w:tcPr>
          <w:p>
            <w:pPr>
              <w:spacing w:line="320" w:lineRule="exact"/>
              <w:jc w:val="center"/>
              <w:rPr>
                <w:rFonts w:eastAsia="方正黑体_GBK"/>
                <w:bCs/>
                <w:sz w:val="28"/>
                <w:szCs w:val="28"/>
              </w:rPr>
            </w:pPr>
            <w:r>
              <w:rPr>
                <w:rFonts w:hint="eastAsia" w:eastAsia="方正黑体_GBK"/>
                <w:bCs/>
                <w:sz w:val="28"/>
                <w:szCs w:val="28"/>
              </w:rPr>
              <w:t>代码</w:t>
            </w:r>
          </w:p>
        </w:tc>
        <w:tc>
          <w:tcPr>
            <w:tcW w:w="1952" w:type="dxa"/>
            <w:shd w:val="clear" w:color="auto" w:fill="auto"/>
            <w:noWrap/>
            <w:vAlign w:val="center"/>
          </w:tcPr>
          <w:p>
            <w:pPr>
              <w:spacing w:line="320" w:lineRule="exact"/>
              <w:jc w:val="center"/>
              <w:rPr>
                <w:rFonts w:eastAsia="方正黑体_GBK"/>
                <w:bCs/>
                <w:sz w:val="28"/>
                <w:szCs w:val="28"/>
              </w:rPr>
            </w:pPr>
            <w:r>
              <w:rPr>
                <w:rFonts w:hint="eastAsia" w:eastAsia="方正黑体_GBK"/>
                <w:bCs/>
                <w:sz w:val="28"/>
                <w:szCs w:val="28"/>
              </w:rPr>
              <w:t>种</w:t>
            </w:r>
            <w:r>
              <w:rPr>
                <w:rFonts w:eastAsia="方正黑体_GBK"/>
                <w:bCs/>
                <w:sz w:val="28"/>
                <w:szCs w:val="28"/>
              </w:rPr>
              <w:t xml:space="preserve">  </w:t>
            </w:r>
            <w:r>
              <w:rPr>
                <w:rFonts w:hint="eastAsia" w:eastAsia="方正黑体_GBK"/>
                <w:bCs/>
                <w:sz w:val="28"/>
                <w:szCs w:val="28"/>
              </w:rPr>
              <w:t>类</w:t>
            </w:r>
          </w:p>
        </w:tc>
        <w:tc>
          <w:tcPr>
            <w:tcW w:w="3851" w:type="dxa"/>
            <w:shd w:val="clear" w:color="auto" w:fill="auto"/>
            <w:noWrap/>
            <w:vAlign w:val="center"/>
          </w:tcPr>
          <w:p>
            <w:pPr>
              <w:spacing w:line="320" w:lineRule="exact"/>
              <w:jc w:val="center"/>
              <w:rPr>
                <w:rFonts w:eastAsia="方正黑体_GBK"/>
                <w:bCs/>
                <w:sz w:val="28"/>
                <w:szCs w:val="28"/>
              </w:rPr>
            </w:pPr>
            <w:r>
              <w:rPr>
                <w:rFonts w:hint="eastAsia" w:eastAsia="方正黑体_GBK"/>
                <w:bCs/>
                <w:sz w:val="28"/>
                <w:szCs w:val="28"/>
              </w:rPr>
              <w:t>类</w:t>
            </w:r>
            <w:r>
              <w:rPr>
                <w:rFonts w:eastAsia="方正黑体_GBK"/>
                <w:bCs/>
                <w:sz w:val="28"/>
                <w:szCs w:val="28"/>
              </w:rPr>
              <w:t xml:space="preserve">  </w:t>
            </w:r>
            <w:r>
              <w:rPr>
                <w:rFonts w:hint="eastAsia" w:eastAsia="方正黑体_GBK"/>
                <w:bCs/>
                <w:sz w:val="28"/>
                <w:szCs w:val="28"/>
              </w:rPr>
              <w:t>别</w:t>
            </w:r>
          </w:p>
        </w:tc>
        <w:tc>
          <w:tcPr>
            <w:tcW w:w="5789" w:type="dxa"/>
            <w:shd w:val="clear" w:color="auto" w:fill="auto"/>
            <w:noWrap/>
            <w:vAlign w:val="center"/>
          </w:tcPr>
          <w:p>
            <w:pPr>
              <w:spacing w:line="320" w:lineRule="exact"/>
              <w:jc w:val="center"/>
              <w:rPr>
                <w:rFonts w:eastAsia="方正黑体_GBK"/>
                <w:bCs/>
                <w:sz w:val="28"/>
                <w:szCs w:val="28"/>
              </w:rPr>
            </w:pPr>
            <w:r>
              <w:rPr>
                <w:rFonts w:hint="eastAsia" w:eastAsia="方正黑体_GBK"/>
                <w:bCs/>
                <w:sz w:val="28"/>
                <w:szCs w:val="28"/>
              </w:rPr>
              <w:t>品</w:t>
            </w:r>
            <w:r>
              <w:rPr>
                <w:rFonts w:eastAsia="方正黑体_GBK"/>
                <w:bCs/>
                <w:sz w:val="28"/>
                <w:szCs w:val="28"/>
              </w:rPr>
              <w:t xml:space="preserve">  </w:t>
            </w:r>
            <w:r>
              <w:rPr>
                <w:rFonts w:hint="eastAsia" w:eastAsia="方正黑体_GBK"/>
                <w:bCs/>
                <w:sz w:val="28"/>
                <w:szCs w:val="28"/>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锅炉</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锅炉，是指利用各种燃料、电或者其他能源，将所盛装的液体加热到一定的参数，并通过对外输出介质的形式提供热能的设备，其范围规定为设计正常水位容积大于或者等于</w:t>
            </w:r>
            <w:r>
              <w:rPr>
                <w:rFonts w:eastAsia="方正仿宋简体"/>
                <w:bCs/>
                <w:sz w:val="24"/>
              </w:rPr>
              <w:t>30L</w:t>
            </w:r>
            <w:r>
              <w:rPr>
                <w:rFonts w:hint="eastAsia" w:eastAsia="方正仿宋简体"/>
                <w:bCs/>
                <w:sz w:val="24"/>
              </w:rPr>
              <w:t>，且额定蒸汽压力大于或者等于</w:t>
            </w:r>
            <w:r>
              <w:rPr>
                <w:rFonts w:eastAsia="方正仿宋简体"/>
                <w:bCs/>
                <w:sz w:val="24"/>
              </w:rPr>
              <w:t>0.1MPa</w:t>
            </w:r>
            <w:r>
              <w:rPr>
                <w:rFonts w:hint="eastAsia" w:eastAsia="方正仿宋简体"/>
                <w:bCs/>
                <w:sz w:val="24"/>
              </w:rPr>
              <w:t>（表压）的承压蒸汽锅炉；出口水压大于或者等于</w:t>
            </w:r>
            <w:r>
              <w:rPr>
                <w:rFonts w:eastAsia="方正仿宋简体"/>
                <w:bCs/>
                <w:sz w:val="24"/>
              </w:rPr>
              <w:t>0.1MPa</w:t>
            </w:r>
            <w:r>
              <w:rPr>
                <w:rFonts w:hint="eastAsia" w:eastAsia="方正仿宋简体"/>
                <w:bCs/>
                <w:sz w:val="24"/>
              </w:rPr>
              <w:t>（表压），且额定功率大于或者等于</w:t>
            </w:r>
            <w:r>
              <w:rPr>
                <w:rFonts w:eastAsia="方正仿宋简体"/>
                <w:bCs/>
                <w:sz w:val="24"/>
              </w:rPr>
              <w:t>0.1MW</w:t>
            </w:r>
            <w:r>
              <w:rPr>
                <w:rFonts w:hint="eastAsia" w:eastAsia="方正仿宋简体"/>
                <w:bCs/>
                <w:sz w:val="24"/>
              </w:rPr>
              <w:t>的承压热水锅炉；额定功率大于或者等于</w:t>
            </w:r>
            <w:r>
              <w:rPr>
                <w:rFonts w:eastAsia="方正仿宋简体"/>
                <w:bCs/>
                <w:sz w:val="24"/>
              </w:rPr>
              <w:t>0.1MW</w:t>
            </w:r>
            <w:r>
              <w:rPr>
                <w:rFonts w:hint="eastAsia" w:eastAsia="方正仿宋简体"/>
                <w:bCs/>
                <w:sz w:val="24"/>
              </w:rPr>
              <w:t>的有机热载体锅炉。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承压蒸汽锅炉</w:t>
            </w:r>
          </w:p>
        </w:tc>
        <w:tc>
          <w:tcPr>
            <w:tcW w:w="5789" w:type="dxa"/>
            <w:shd w:val="clear" w:color="auto" w:fill="auto"/>
            <w:noWrap/>
            <w:vAlign w:val="center"/>
          </w:tcPr>
          <w:p>
            <w:pPr>
              <w:keepNext/>
              <w:keepLines/>
              <w:spacing w:line="320" w:lineRule="exact"/>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承压热水锅炉</w:t>
            </w:r>
          </w:p>
        </w:tc>
        <w:tc>
          <w:tcPr>
            <w:tcW w:w="5789" w:type="dxa"/>
            <w:shd w:val="clear" w:color="auto" w:fill="auto"/>
            <w:noWrap/>
            <w:vAlign w:val="center"/>
          </w:tcPr>
          <w:p>
            <w:pPr>
              <w:keepNext/>
              <w:keepLines/>
              <w:spacing w:line="320" w:lineRule="exact"/>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有机热载体锅炉</w:t>
            </w:r>
          </w:p>
        </w:tc>
        <w:tc>
          <w:tcPr>
            <w:tcW w:w="5789" w:type="dxa"/>
            <w:shd w:val="clear" w:color="auto" w:fill="auto"/>
            <w:noWrap/>
            <w:vAlign w:val="center"/>
          </w:tcPr>
          <w:p>
            <w:pPr>
              <w:keepNext/>
              <w:keepLines/>
              <w:spacing w:line="320" w:lineRule="exact"/>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bCs/>
                <w:sz w:val="24"/>
              </w:rPr>
            </w:pPr>
            <w:r>
              <w:rPr>
                <w:rFonts w:hint="eastAsia" w:eastAsia="方正仿宋简体"/>
                <w:bCs/>
                <w:sz w:val="24"/>
              </w:rPr>
              <w:t>有机热载体气相炉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1320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bCs/>
                <w:sz w:val="24"/>
              </w:rPr>
            </w:pPr>
            <w:r>
              <w:rPr>
                <w:rFonts w:hint="eastAsia" w:eastAsia="方正仿宋简体"/>
                <w:bCs/>
                <w:sz w:val="24"/>
              </w:rPr>
              <w:t>有机热载体液相炉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压力容器</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压力容器，是指盛装气体或者液体，承载一定压力的密闭设备，其范围规定为最高工作压力大于或者等于</w:t>
            </w:r>
            <w:r>
              <w:rPr>
                <w:rFonts w:eastAsia="方正仿宋简体"/>
                <w:bCs/>
                <w:sz w:val="24"/>
              </w:rPr>
              <w:t>0.1MPa</w:t>
            </w:r>
            <w:r>
              <w:rPr>
                <w:rFonts w:hint="eastAsia" w:eastAsia="方正仿宋简体"/>
                <w:bCs/>
                <w:sz w:val="24"/>
              </w:rPr>
              <w:t>（表压）的气体、液化气体和最高工作温度高于或者等于标准沸点的液体、容积大于或者等于</w:t>
            </w:r>
            <w:r>
              <w:rPr>
                <w:rFonts w:eastAsia="方正仿宋简体"/>
                <w:bCs/>
                <w:sz w:val="24"/>
              </w:rPr>
              <w:t>30L</w:t>
            </w:r>
            <w:r>
              <w:rPr>
                <w:rFonts w:hint="eastAsia" w:eastAsia="方正仿宋简体"/>
                <w:bCs/>
                <w:sz w:val="24"/>
              </w:rPr>
              <w:t>且内直径</w:t>
            </w:r>
            <w:r>
              <w:rPr>
                <w:rFonts w:eastAsia="方正仿宋简体"/>
                <w:bCs/>
                <w:sz w:val="24"/>
              </w:rPr>
              <w:t>(</w:t>
            </w:r>
            <w:r>
              <w:rPr>
                <w:rFonts w:hint="eastAsia" w:eastAsia="方正仿宋简体"/>
                <w:bCs/>
                <w:sz w:val="24"/>
              </w:rPr>
              <w:t>非圆形截面指截面内边界最大几何尺寸</w:t>
            </w:r>
            <w:r>
              <w:rPr>
                <w:rFonts w:eastAsia="方正仿宋简体"/>
                <w:bCs/>
                <w:sz w:val="24"/>
              </w:rPr>
              <w:t>)</w:t>
            </w:r>
            <w:r>
              <w:rPr>
                <w:rFonts w:hint="eastAsia" w:eastAsia="方正仿宋简体"/>
                <w:bCs/>
                <w:sz w:val="24"/>
              </w:rPr>
              <w:t>大于或者等于</w:t>
            </w:r>
            <w:r>
              <w:rPr>
                <w:rFonts w:eastAsia="方正仿宋简体"/>
                <w:bCs/>
                <w:sz w:val="24"/>
              </w:rPr>
              <w:t>150mm</w:t>
            </w:r>
            <w:r>
              <w:rPr>
                <w:rFonts w:hint="eastAsia" w:eastAsia="方正仿宋简体"/>
                <w:bCs/>
                <w:sz w:val="24"/>
              </w:rPr>
              <w:t>的固定式容器和移动式容器；盛装公称工作压力大于或者等于</w:t>
            </w:r>
            <w:r>
              <w:rPr>
                <w:rFonts w:eastAsia="方正仿宋简体"/>
                <w:bCs/>
                <w:sz w:val="24"/>
              </w:rPr>
              <w:t>0.2MPa</w:t>
            </w:r>
            <w:r>
              <w:rPr>
                <w:rFonts w:hint="eastAsia" w:eastAsia="方正仿宋简体"/>
                <w:bCs/>
                <w:sz w:val="24"/>
              </w:rPr>
              <w:t>（表压），且压力与容积的乘积大于或者等于</w:t>
            </w:r>
            <w:r>
              <w:rPr>
                <w:rFonts w:eastAsia="方正仿宋简体"/>
                <w:bCs/>
                <w:sz w:val="24"/>
              </w:rPr>
              <w:t>1.0MPa大于</w:t>
            </w:r>
            <w:r>
              <w:rPr>
                <w:rFonts w:hint="eastAsia" w:eastAsia="方正仿宋简体"/>
                <w:bCs/>
                <w:sz w:val="24"/>
              </w:rPr>
              <w:t>的气体、液化气体和标准沸点等于或者低于</w:t>
            </w:r>
            <w:r>
              <w:rPr>
                <w:rFonts w:eastAsia="方正仿宋简体"/>
                <w:bCs/>
                <w:sz w:val="24"/>
              </w:rPr>
              <w:t>60</w:t>
            </w:r>
            <w:r>
              <w:rPr>
                <w:rFonts w:hint="eastAsia" w:eastAsia="方正仿宋简体"/>
                <w:bCs/>
                <w:sz w:val="24"/>
              </w:rPr>
              <w:t>℃液体的气瓶；氧舱。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固定式压力容器</w:t>
            </w:r>
          </w:p>
        </w:tc>
        <w:tc>
          <w:tcPr>
            <w:tcW w:w="5789" w:type="dxa"/>
            <w:shd w:val="clear" w:color="auto" w:fill="auto"/>
            <w:noWrap/>
            <w:vAlign w:val="center"/>
          </w:tcPr>
          <w:p>
            <w:pPr>
              <w:keepNext/>
              <w:keepLines/>
              <w:spacing w:line="320" w:lineRule="exact"/>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2110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超高压容器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2130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第三类压力容器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2150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第二类压力容器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2170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第一类压力容器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移动式压力容器</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铁路罐车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汽车罐车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长管拖车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罐式集装箱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2250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管束式集装箱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气瓶</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无缝气瓶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焊接气瓶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23T0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eastAsia="方正仿宋简体"/>
                <w:bCs/>
                <w:sz w:val="24"/>
              </w:rPr>
              <w:t xml:space="preserve">  </w:t>
            </w:r>
            <w:r>
              <w:rPr>
                <w:rFonts w:hint="eastAsia" w:eastAsia="方正仿宋简体"/>
                <w:bCs/>
                <w:sz w:val="24"/>
              </w:rPr>
              <w:t>特种气瓶（内装填料气瓶、纤维缠绕气瓶、</w:t>
            </w:r>
          </w:p>
          <w:p>
            <w:pPr>
              <w:spacing w:line="320" w:lineRule="exact"/>
              <w:ind w:left="-99" w:leftChars="-47"/>
              <w:jc w:val="center"/>
              <w:rPr>
                <w:rFonts w:eastAsia="方正仿宋简体"/>
                <w:bCs/>
                <w:sz w:val="24"/>
              </w:rPr>
            </w:pPr>
            <w:r>
              <w:rPr>
                <w:rFonts w:hint="eastAsia" w:eastAsia="方正仿宋简体"/>
                <w:bCs/>
                <w:sz w:val="24"/>
              </w:rPr>
              <w:t>低温绝热气瓶）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2400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氧舱</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2410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医用氧舱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2420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高气压舱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压力管道</w:t>
            </w:r>
          </w:p>
        </w:tc>
        <w:tc>
          <w:tcPr>
            <w:tcW w:w="9640" w:type="dxa"/>
            <w:gridSpan w:val="2"/>
            <w:shd w:val="clear" w:color="auto" w:fill="auto"/>
            <w:noWrap/>
            <w:vAlign w:val="center"/>
          </w:tcPr>
          <w:p>
            <w:pPr>
              <w:spacing w:line="320" w:lineRule="exact"/>
              <w:ind w:firstLine="487" w:firstLineChars="203"/>
              <w:jc w:val="left"/>
              <w:rPr>
                <w:rFonts w:eastAsia="方正仿宋简体"/>
                <w:sz w:val="24"/>
              </w:rPr>
            </w:pPr>
            <w:r>
              <w:rPr>
                <w:rFonts w:hint="eastAsia" w:eastAsia="方正仿宋简体"/>
                <w:bCs/>
                <w:sz w:val="24"/>
              </w:rPr>
              <w:t>压力管道，是指利用一定的压力，用于输送气体或者液体的管状设备，其范围规定为最高工作压力大于或者等于</w:t>
            </w:r>
            <w:r>
              <w:rPr>
                <w:rFonts w:eastAsia="方正仿宋简体"/>
                <w:bCs/>
                <w:sz w:val="24"/>
              </w:rPr>
              <w:t>0.1MPa</w:t>
            </w:r>
            <w:r>
              <w:rPr>
                <w:rFonts w:hint="eastAsia" w:eastAsia="方正仿宋简体"/>
                <w:bCs/>
                <w:sz w:val="24"/>
              </w:rPr>
              <w:t>（表压），介质为气体、液化气体、蒸汽或者可燃、易爆、有毒、有腐蚀性、最高工作温度高于或者等于标准沸点的液体，且公称直径大于或者等于</w:t>
            </w:r>
            <w:r>
              <w:rPr>
                <w:rFonts w:eastAsia="方正仿宋简体"/>
                <w:bCs/>
                <w:sz w:val="24"/>
              </w:rPr>
              <w:t>50mm</w:t>
            </w:r>
            <w:r>
              <w:rPr>
                <w:rFonts w:hint="eastAsia" w:eastAsia="方正仿宋简体"/>
                <w:bCs/>
                <w:sz w:val="24"/>
              </w:rPr>
              <w:t>的管道。公称直径小于</w:t>
            </w:r>
            <w:r>
              <w:rPr>
                <w:rFonts w:eastAsia="方正仿宋简体"/>
                <w:bCs/>
                <w:sz w:val="24"/>
              </w:rPr>
              <w:t>150mm</w:t>
            </w:r>
            <w:r>
              <w:rPr>
                <w:rFonts w:hint="eastAsia" w:eastAsia="方正仿宋简体"/>
                <w:bCs/>
                <w:sz w:val="24"/>
              </w:rPr>
              <w:t>，且其最高工作压力小于</w:t>
            </w:r>
            <w:r>
              <w:rPr>
                <w:rFonts w:eastAsia="方正仿宋简体"/>
                <w:bCs/>
                <w:sz w:val="24"/>
              </w:rPr>
              <w:t>1.6MPa</w:t>
            </w:r>
            <w:r>
              <w:rPr>
                <w:rFonts w:hint="eastAsia" w:eastAsia="方正仿宋简体"/>
                <w:bCs/>
                <w:sz w:val="24"/>
              </w:rPr>
              <w:t>（表压）的输送无毒、不可燃、无腐蚀性气体的管道和设备本体所属管道除外。其中，石油天然气管道的安全监督管理还应按照《安全生产法》、《石油天然气管道保护法》等法律法规实施。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长输管道</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8110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输油管道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8120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输气管道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公用管道</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8210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热力管道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工业管道</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工艺管道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动力管道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8330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制冷管道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压力管道元件</w:t>
            </w: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压力管道管子</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无缝钢管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焊接钢管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有色金属管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球墨铸铁管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复合管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71F0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非金属材料管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压力管道管件</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非焊接管件（无缝管件）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焊接管件（有缝管件）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锻制管件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7270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复合管件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72F0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压力管道阀门</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金属阀门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73F0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73T0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特种阀门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7400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压力管道法兰</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7410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钢制锻造法兰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7420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7500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补偿器</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7510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金属波纹膨胀节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tcPr>
          <w:p>
            <w:pPr>
              <w:spacing w:line="320" w:lineRule="exact"/>
              <w:jc w:val="center"/>
              <w:rPr>
                <w:rFonts w:eastAsia="方正仿宋简体"/>
                <w:bCs/>
                <w:sz w:val="24"/>
              </w:rPr>
            </w:pPr>
            <w:r>
              <w:rPr>
                <w:rFonts w:eastAsia="方正仿宋简体"/>
                <w:bCs/>
                <w:sz w:val="24"/>
              </w:rPr>
              <w:t>7530</w:t>
            </w:r>
          </w:p>
        </w:tc>
        <w:tc>
          <w:tcPr>
            <w:tcW w:w="1952" w:type="dxa"/>
            <w:shd w:val="clear" w:color="auto" w:fill="auto"/>
            <w:noWrap/>
          </w:tcPr>
          <w:p>
            <w:pPr>
              <w:keepNext/>
              <w:keepLines/>
              <w:spacing w:line="320" w:lineRule="exact"/>
              <w:jc w:val="center"/>
              <w:rPr>
                <w:rFonts w:eastAsia="方正仿宋简体"/>
                <w:bCs/>
                <w:sz w:val="24"/>
              </w:rPr>
            </w:pPr>
          </w:p>
        </w:tc>
        <w:tc>
          <w:tcPr>
            <w:tcW w:w="3851" w:type="dxa"/>
            <w:shd w:val="clear" w:color="auto" w:fill="auto"/>
            <w:noWrap/>
          </w:tcPr>
          <w:p>
            <w:pPr>
              <w:keepNext/>
              <w:keepLines/>
              <w:spacing w:line="320" w:lineRule="exact"/>
              <w:ind w:left="-84" w:leftChars="-40"/>
              <w:jc w:val="center"/>
              <w:rPr>
                <w:rFonts w:eastAsia="方正仿宋简体"/>
                <w:bCs/>
                <w:sz w:val="24"/>
              </w:rPr>
            </w:pPr>
          </w:p>
        </w:tc>
        <w:tc>
          <w:tcPr>
            <w:tcW w:w="5789" w:type="dxa"/>
            <w:shd w:val="clear" w:color="auto" w:fill="auto"/>
            <w:noWrap/>
          </w:tcPr>
          <w:p>
            <w:pPr>
              <w:spacing w:line="320" w:lineRule="exact"/>
              <w:ind w:left="-99" w:leftChars="-47"/>
              <w:jc w:val="center"/>
              <w:rPr>
                <w:rFonts w:eastAsia="方正仿宋简体"/>
                <w:bCs/>
                <w:sz w:val="24"/>
              </w:rPr>
            </w:pPr>
            <w:r>
              <w:rPr>
                <w:rFonts w:hint="eastAsia" w:eastAsia="方正仿宋简体"/>
                <w:bCs/>
                <w:sz w:val="24"/>
              </w:rPr>
              <w:t>旋转补偿器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75F0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非金属膨胀节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7700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压力管道密封元件</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7710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金属密封元件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77F0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非金属密封元件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7T00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压力管道特种元件</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7T10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防腐管道元件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7TZ0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元件组合装置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3000</w:t>
            </w:r>
          </w:p>
        </w:tc>
        <w:tc>
          <w:tcPr>
            <w:tcW w:w="1952" w:type="dxa"/>
            <w:shd w:val="clear" w:color="auto" w:fill="auto"/>
            <w:noWrap/>
            <w:vAlign w:val="center"/>
          </w:tcPr>
          <w:p>
            <w:pPr>
              <w:spacing w:line="320" w:lineRule="exact"/>
              <w:jc w:val="center"/>
              <w:rPr>
                <w:rFonts w:eastAsia="方正黑体简体"/>
                <w:sz w:val="28"/>
                <w:szCs w:val="28"/>
              </w:rPr>
            </w:pPr>
            <w:r>
              <w:rPr>
                <w:rFonts w:hint="eastAsia" w:eastAsia="方正黑体简体"/>
                <w:sz w:val="28"/>
                <w:szCs w:val="28"/>
              </w:rPr>
              <w:t>电梯</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3100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曳引与强制驱动电梯</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3110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曳引驱动乘客电梯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3120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曳引驱动载货电梯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3130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强制驱动载货电梯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3200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液压驱动电梯</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3210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液压乘客电梯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3220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液压载货电梯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3300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自动扶梯与自动人行道</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3310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自动扶梯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3320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自动人行道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3400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其</w:t>
            </w:r>
            <w:r>
              <w:rPr>
                <w:rFonts w:hint="eastAsia" w:eastAsia="方正仿宋简体"/>
                <w:bCs/>
                <w:sz w:val="24"/>
                <w:lang w:eastAsia="zh-CN"/>
              </w:rPr>
              <w:t>他</w:t>
            </w:r>
            <w:bookmarkStart w:id="0" w:name="_GoBack"/>
            <w:bookmarkEnd w:id="0"/>
            <w:r>
              <w:rPr>
                <w:rFonts w:hint="eastAsia" w:eastAsia="方正仿宋简体"/>
                <w:bCs/>
                <w:sz w:val="24"/>
              </w:rPr>
              <w:t>类型电梯</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3410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防爆电梯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3420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消防员电梯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sz w:val="24"/>
              </w:rPr>
            </w:pPr>
            <w:r>
              <w:rPr>
                <w:rFonts w:eastAsia="方正仿宋简体"/>
                <w:sz w:val="24"/>
              </w:rPr>
              <w:t>3430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杂物电梯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起重机械</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起重机械，是指用于垂直升降或者垂直升降并水平移动重物的机电设备，其范围规定为额定起重量大于或者等于</w:t>
            </w:r>
            <w:r>
              <w:rPr>
                <w:rFonts w:eastAsia="方正仿宋简体"/>
                <w:bCs/>
                <w:sz w:val="24"/>
              </w:rPr>
              <w:t>0.5t</w:t>
            </w:r>
            <w:r>
              <w:rPr>
                <w:rFonts w:hint="eastAsia" w:eastAsia="方正仿宋简体"/>
                <w:bCs/>
                <w:sz w:val="24"/>
              </w:rPr>
              <w:t>的升降机；额定起重量大于或者等于</w:t>
            </w:r>
            <w:r>
              <w:rPr>
                <w:rFonts w:eastAsia="方正仿宋简体"/>
                <w:bCs/>
                <w:sz w:val="24"/>
              </w:rPr>
              <w:t>3t</w:t>
            </w:r>
            <w:r>
              <w:rPr>
                <w:rFonts w:hint="eastAsia" w:eastAsia="方正仿宋简体"/>
                <w:bCs/>
                <w:sz w:val="24"/>
              </w:rPr>
              <w:t>（或额定起重力矩大于或者等于</w:t>
            </w:r>
            <w:r>
              <w:rPr>
                <w:rFonts w:eastAsia="方正仿宋简体"/>
                <w:bCs/>
                <w:sz w:val="24"/>
              </w:rPr>
              <w:t>40t定起</w:t>
            </w:r>
            <w:r>
              <w:rPr>
                <w:rFonts w:hint="eastAsia" w:eastAsia="方正仿宋简体"/>
                <w:bCs/>
                <w:sz w:val="24"/>
              </w:rPr>
              <w:t>的塔式起重机，或生产率大于或者等于</w:t>
            </w:r>
            <w:r>
              <w:rPr>
                <w:rFonts w:eastAsia="方正仿宋简体"/>
                <w:bCs/>
                <w:sz w:val="24"/>
              </w:rPr>
              <w:t>300t/h</w:t>
            </w:r>
            <w:r>
              <w:rPr>
                <w:rFonts w:hint="eastAsia" w:eastAsia="方正仿宋简体"/>
                <w:bCs/>
                <w:sz w:val="24"/>
              </w:rPr>
              <w:t>的装卸桥），且提升高度大于或者等于</w:t>
            </w:r>
            <w:r>
              <w:rPr>
                <w:rFonts w:eastAsia="方正仿宋简体"/>
                <w:bCs/>
                <w:sz w:val="24"/>
              </w:rPr>
              <w:t>2m</w:t>
            </w:r>
            <w:r>
              <w:rPr>
                <w:rFonts w:hint="eastAsia" w:eastAsia="方正仿宋简体"/>
                <w:bCs/>
                <w:sz w:val="24"/>
              </w:rPr>
              <w:t>的起重机；层数大于或者等于</w:t>
            </w:r>
            <w:r>
              <w:rPr>
                <w:rFonts w:eastAsia="方正仿宋简体"/>
                <w:bCs/>
                <w:sz w:val="24"/>
              </w:rPr>
              <w:t>2</w:t>
            </w:r>
            <w:r>
              <w:rPr>
                <w:rFonts w:hint="eastAsia" w:eastAsia="方正仿宋简体"/>
                <w:bCs/>
                <w:sz w:val="24"/>
              </w:rPr>
              <w:t>层的机械式停车设备。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桥式起重机</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通用桥式起重机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防爆桥式起重机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绝缘桥式起重机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冶金桥式起重机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4170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电动单梁起重机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4190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电动葫芦桥式起重机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门式起重机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通用门式起重机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防爆门式起重机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轨道式集装箱门式起重机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轮胎式集装箱门式起重机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岸边集装箱起重机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4260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造船门式起重机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4270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电动葫芦门式起重机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4280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装卸桥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4290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架桥机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塔式起重机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普通塔式起重机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电站塔式起重机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4400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流动式起重机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4410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轮胎起重机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4420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履带起重机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4440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集装箱正面吊运起重机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4450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铁路起重机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4700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门座式起重机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4710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门座起重机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4760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固定式起重机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4800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升降机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4860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施工升降机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4870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ind w:left="-99" w:leftChars="-47"/>
              <w:jc w:val="center"/>
              <w:rPr>
                <w:rFonts w:eastAsia="方正仿宋简体"/>
                <w:bCs/>
                <w:sz w:val="24"/>
              </w:rPr>
            </w:pPr>
            <w:r>
              <w:rPr>
                <w:rFonts w:hint="eastAsia" w:eastAsia="方正仿宋简体"/>
                <w:bCs/>
                <w:sz w:val="24"/>
              </w:rPr>
              <w:t>简易升降机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4900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缆索式起重机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4A00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桅杆式起重机</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4D00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机械式停车设备</w:t>
            </w:r>
          </w:p>
        </w:tc>
        <w:tc>
          <w:tcPr>
            <w:tcW w:w="5789" w:type="dxa"/>
            <w:shd w:val="clear" w:color="auto" w:fill="auto"/>
            <w:noWrap/>
            <w:vAlign w:val="center"/>
          </w:tcPr>
          <w:p>
            <w:pPr>
              <w:keepNext/>
              <w:keepLines/>
              <w:spacing w:line="320" w:lineRule="exact"/>
              <w:ind w:left="-99" w:leftChars="-47"/>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客运索道</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客运索道，是指动力驱动，利用柔性绳索牵引箱体等运载工具运送人员的机电设备，包括客运架空索道、客运缆车、客运拖牵索道等。非公用客运索道和专用于单位内部通勤的客运索道除外。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客运架空索道</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9110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往复式客运架空索道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9120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循环式客运架空索道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客运缆车</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9210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往复式客运缆车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循环式客运缆车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客运拖牵索道</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低位客运拖牵索道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9320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高位客运拖牵索道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bCs/>
                <w:sz w:val="28"/>
                <w:szCs w:val="28"/>
              </w:rPr>
              <w:t>大型游乐设施</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大型游乐设施，是指用于经营目的，承载乘客游乐的设施，其范围规定为设计最大运行线速度大于或者等于</w:t>
            </w:r>
            <w:r>
              <w:rPr>
                <w:rFonts w:eastAsia="方正仿宋简体"/>
                <w:bCs/>
                <w:sz w:val="24"/>
              </w:rPr>
              <w:t>2m/s</w:t>
            </w:r>
            <w:r>
              <w:rPr>
                <w:rFonts w:hint="eastAsia" w:eastAsia="方正仿宋简体"/>
                <w:bCs/>
                <w:sz w:val="24"/>
              </w:rPr>
              <w:t>，或者运行高度距地面高于或者等于</w:t>
            </w:r>
            <w:r>
              <w:rPr>
                <w:rFonts w:eastAsia="方正仿宋简体"/>
                <w:bCs/>
                <w:sz w:val="24"/>
              </w:rPr>
              <w:t>2m</w:t>
            </w:r>
            <w:r>
              <w:rPr>
                <w:rFonts w:hint="eastAsia" w:eastAsia="方正仿宋简体"/>
                <w:bCs/>
                <w:sz w:val="24"/>
              </w:rPr>
              <w:t>的载人大型游乐设施。用于体育运动、文艺演出和非经营活动的大型游乐设施除外。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6100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观览车类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6200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滑行车类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6300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架空游览车类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6400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陀螺类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6500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飞行塔类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6600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转马类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6700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自控飞机类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6800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赛车类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6900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小火车类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6A00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碰碰车类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6B00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滑道类</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6D00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水上游乐设施</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6D10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峡谷漂流系列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6D20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水滑梯系列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6D40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碰碰船系列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6E00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无动力游乐设施</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6E10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蹦极系列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6E40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滑索系列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6E50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空中飞人系列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6E60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系留式观光气球系列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5000</w:t>
            </w:r>
          </w:p>
        </w:tc>
        <w:tc>
          <w:tcPr>
            <w:tcW w:w="1952" w:type="dxa"/>
            <w:shd w:val="clear" w:color="auto" w:fill="auto"/>
            <w:noWrap/>
            <w:vAlign w:val="center"/>
          </w:tcPr>
          <w:p>
            <w:pPr>
              <w:spacing w:line="320" w:lineRule="exact"/>
              <w:jc w:val="center"/>
              <w:rPr>
                <w:rFonts w:eastAsia="方正黑体简体"/>
                <w:sz w:val="28"/>
                <w:szCs w:val="28"/>
              </w:rPr>
            </w:pPr>
            <w:r>
              <w:rPr>
                <w:rFonts w:hint="eastAsia" w:eastAsia="方正黑体简体"/>
                <w:sz w:val="28"/>
                <w:szCs w:val="28"/>
              </w:rPr>
              <w:t>场（厂）内专用机动车辆</w:t>
            </w:r>
          </w:p>
        </w:tc>
        <w:tc>
          <w:tcPr>
            <w:tcW w:w="9640" w:type="dxa"/>
            <w:gridSpan w:val="2"/>
            <w:shd w:val="clear" w:color="auto" w:fill="auto"/>
            <w:noWrap/>
            <w:vAlign w:val="center"/>
          </w:tcPr>
          <w:p>
            <w:pPr>
              <w:spacing w:line="320" w:lineRule="exact"/>
              <w:ind w:firstLine="487" w:firstLineChars="203"/>
              <w:jc w:val="left"/>
              <w:rPr>
                <w:rFonts w:eastAsia="方正仿宋简体"/>
                <w:bCs/>
                <w:sz w:val="24"/>
              </w:rPr>
            </w:pPr>
            <w:r>
              <w:rPr>
                <w:rFonts w:hint="eastAsia" w:eastAsia="方正仿宋简体"/>
                <w:bCs/>
                <w:sz w:val="24"/>
              </w:rPr>
              <w:t>场（厂）内专用机动车辆，是指除道路交通、农用车辆以外仅在工厂厂区、旅游景区、游乐场所等特定区域使用的专用机动车辆。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5100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机动工业车辆</w:t>
            </w:r>
          </w:p>
        </w:tc>
        <w:tc>
          <w:tcPr>
            <w:tcW w:w="5789" w:type="dxa"/>
            <w:shd w:val="clear" w:color="auto" w:fill="auto"/>
            <w:noWrap/>
            <w:vAlign w:val="center"/>
          </w:tcPr>
          <w:p>
            <w:pPr>
              <w:keepNext/>
              <w:keepLines/>
              <w:spacing w:line="320" w:lineRule="exact"/>
              <w:jc w:val="lef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5110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5200</w:t>
            </w:r>
          </w:p>
        </w:tc>
        <w:tc>
          <w:tcPr>
            <w:tcW w:w="1952" w:type="dxa"/>
            <w:shd w:val="clear" w:color="auto" w:fill="auto"/>
            <w:noWrap/>
            <w:vAlign w:val="center"/>
          </w:tcPr>
          <w:p>
            <w:pPr>
              <w:keepNext/>
              <w:keepLines/>
              <w:spacing w:line="320" w:lineRule="exact"/>
              <w:jc w:val="center"/>
              <w:rPr>
                <w:rFonts w:eastAsia="方正黑体简体"/>
                <w:sz w:val="28"/>
                <w:szCs w:val="28"/>
              </w:rPr>
            </w:pPr>
          </w:p>
        </w:tc>
        <w:tc>
          <w:tcPr>
            <w:tcW w:w="3851" w:type="dxa"/>
            <w:shd w:val="clear" w:color="auto" w:fill="auto"/>
            <w:noWrap/>
            <w:vAlign w:val="center"/>
          </w:tcPr>
          <w:p>
            <w:pPr>
              <w:spacing w:line="320" w:lineRule="exact"/>
              <w:ind w:left="-84" w:leftChars="-40"/>
              <w:jc w:val="center"/>
              <w:rPr>
                <w:rFonts w:eastAsia="方正仿宋简体"/>
                <w:bCs/>
                <w:sz w:val="24"/>
              </w:rPr>
            </w:pPr>
            <w:r>
              <w:rPr>
                <w:rFonts w:hint="eastAsia" w:eastAsia="方正仿宋简体"/>
                <w:bCs/>
                <w:sz w:val="24"/>
              </w:rPr>
              <w:t>非公路用旅游观光车辆</w:t>
            </w:r>
          </w:p>
        </w:tc>
        <w:tc>
          <w:tcPr>
            <w:tcW w:w="5789" w:type="dxa"/>
            <w:shd w:val="clear" w:color="auto" w:fill="auto"/>
            <w:noWrap/>
            <w:vAlign w:val="center"/>
          </w:tcPr>
          <w:p>
            <w:pPr>
              <w:keepNext/>
              <w:keepLines/>
              <w:spacing w:line="32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bCs/>
                <w:sz w:val="24"/>
              </w:rPr>
              <w:t>F000</w:t>
            </w:r>
          </w:p>
        </w:tc>
        <w:tc>
          <w:tcPr>
            <w:tcW w:w="1952" w:type="dxa"/>
            <w:shd w:val="clear" w:color="auto" w:fill="auto"/>
            <w:noWrap/>
            <w:vAlign w:val="center"/>
          </w:tcPr>
          <w:p>
            <w:pPr>
              <w:spacing w:line="320" w:lineRule="exact"/>
              <w:jc w:val="center"/>
              <w:rPr>
                <w:rFonts w:eastAsia="方正黑体简体"/>
                <w:bCs/>
                <w:sz w:val="28"/>
                <w:szCs w:val="28"/>
              </w:rPr>
            </w:pPr>
            <w:r>
              <w:rPr>
                <w:rFonts w:hint="eastAsia" w:eastAsia="方正黑体简体"/>
                <w:sz w:val="28"/>
                <w:szCs w:val="28"/>
              </w:rPr>
              <w:t>安全附件</w:t>
            </w: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keepNext/>
              <w:keepLines/>
              <w:spacing w:line="320" w:lineRule="exact"/>
              <w:jc w:val="center"/>
              <w:rPr>
                <w:rFonts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sz w:val="24"/>
              </w:rPr>
              <w:t>7310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sz w:val="24"/>
              </w:rPr>
              <w:t>F220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爆破片装置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sz w:val="24"/>
              </w:rPr>
              <w:t>F230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紧急切断阀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7" w:type="dxa"/>
            <w:shd w:val="clear" w:color="auto" w:fill="auto"/>
            <w:noWrap/>
            <w:vAlign w:val="center"/>
          </w:tcPr>
          <w:p>
            <w:pPr>
              <w:spacing w:line="320" w:lineRule="exact"/>
              <w:jc w:val="center"/>
              <w:rPr>
                <w:rFonts w:eastAsia="方正仿宋简体"/>
                <w:bCs/>
                <w:sz w:val="24"/>
              </w:rPr>
            </w:pPr>
            <w:r>
              <w:rPr>
                <w:rFonts w:eastAsia="方正仿宋简体"/>
                <w:sz w:val="24"/>
              </w:rPr>
              <w:t>F260</w:t>
            </w:r>
          </w:p>
        </w:tc>
        <w:tc>
          <w:tcPr>
            <w:tcW w:w="1952" w:type="dxa"/>
            <w:shd w:val="clear" w:color="auto" w:fill="auto"/>
            <w:noWrap/>
            <w:vAlign w:val="center"/>
          </w:tcPr>
          <w:p>
            <w:pPr>
              <w:keepNext/>
              <w:keepLines/>
              <w:spacing w:line="320" w:lineRule="exact"/>
              <w:jc w:val="center"/>
              <w:rPr>
                <w:rFonts w:eastAsia="方正黑体简体"/>
                <w:bCs/>
                <w:sz w:val="28"/>
                <w:szCs w:val="28"/>
              </w:rPr>
            </w:pPr>
          </w:p>
        </w:tc>
        <w:tc>
          <w:tcPr>
            <w:tcW w:w="3851" w:type="dxa"/>
            <w:shd w:val="clear" w:color="auto" w:fill="auto"/>
            <w:noWrap/>
            <w:vAlign w:val="center"/>
          </w:tcPr>
          <w:p>
            <w:pPr>
              <w:keepNext/>
              <w:keepLines/>
              <w:spacing w:line="320" w:lineRule="exact"/>
              <w:ind w:left="-84" w:leftChars="-40"/>
              <w:jc w:val="center"/>
              <w:rPr>
                <w:rFonts w:eastAsia="方正仿宋简体"/>
                <w:bCs/>
                <w:sz w:val="24"/>
              </w:rPr>
            </w:pPr>
          </w:p>
        </w:tc>
        <w:tc>
          <w:tcPr>
            <w:tcW w:w="5789" w:type="dxa"/>
            <w:shd w:val="clear" w:color="auto" w:fill="auto"/>
            <w:noWrap/>
            <w:vAlign w:val="center"/>
          </w:tcPr>
          <w:p>
            <w:pPr>
              <w:spacing w:line="320" w:lineRule="exact"/>
              <w:jc w:val="center"/>
              <w:rPr>
                <w:rFonts w:eastAsia="方正仿宋简体"/>
                <w:sz w:val="24"/>
              </w:rPr>
            </w:pPr>
            <w:r>
              <w:rPr>
                <w:rFonts w:hint="eastAsia" w:eastAsia="方正仿宋简体"/>
                <w:sz w:val="24"/>
              </w:rPr>
              <w:t>气瓶阀门</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pPr>
        <w:jc w:val="center"/>
        <w:rPr>
          <w:rFonts w:eastAsia="方正小标宋_GBK"/>
          <w:kern w:val="13"/>
          <w:sz w:val="44"/>
          <w:szCs w:val="44"/>
        </w:rPr>
      </w:pPr>
      <w:r>
        <w:rPr>
          <w:rFonts w:hint="eastAsia" w:eastAsia="方正小标宋_GBK"/>
          <w:kern w:val="13"/>
          <w:sz w:val="44"/>
          <w:szCs w:val="44"/>
        </w:rPr>
        <w:t>企业落实特种设备主体责任情况自查表</w:t>
      </w:r>
    </w:p>
    <w:p>
      <w:pPr>
        <w:widowControl/>
        <w:spacing w:line="400" w:lineRule="exact"/>
        <w:jc w:val="center"/>
        <w:rPr>
          <w:rFonts w:eastAsia="方正小标宋简体"/>
          <w:bCs/>
          <w:kern w:val="0"/>
          <w:szCs w:val="32"/>
        </w:rPr>
      </w:pPr>
    </w:p>
    <w:tbl>
      <w:tblPr>
        <w:tblStyle w:val="20"/>
        <w:tblW w:w="9237" w:type="dxa"/>
        <w:jc w:val="center"/>
        <w:tblLayout w:type="fixed"/>
        <w:tblCellMar>
          <w:top w:w="0" w:type="dxa"/>
          <w:left w:w="108" w:type="dxa"/>
          <w:bottom w:w="0" w:type="dxa"/>
          <w:right w:w="108" w:type="dxa"/>
        </w:tblCellMar>
      </w:tblPr>
      <w:tblGrid>
        <w:gridCol w:w="582"/>
        <w:gridCol w:w="1284"/>
        <w:gridCol w:w="4549"/>
        <w:gridCol w:w="453"/>
        <w:gridCol w:w="453"/>
        <w:gridCol w:w="453"/>
        <w:gridCol w:w="1463"/>
      </w:tblGrid>
      <w:tr>
        <w:tblPrEx>
          <w:tblCellMar>
            <w:top w:w="0" w:type="dxa"/>
            <w:left w:w="108" w:type="dxa"/>
            <w:bottom w:w="0" w:type="dxa"/>
            <w:right w:w="108" w:type="dxa"/>
          </w:tblCellMar>
        </w:tblPrEx>
        <w:trPr>
          <w:trHeight w:val="456" w:hRule="atLeast"/>
          <w:jc w:val="center"/>
        </w:trPr>
        <w:tc>
          <w:tcPr>
            <w:tcW w:w="582"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方正黑体_GBK"/>
                <w:bCs/>
                <w:kern w:val="0"/>
                <w:sz w:val="24"/>
              </w:rPr>
            </w:pPr>
            <w:r>
              <w:rPr>
                <w:rFonts w:hint="eastAsia" w:eastAsia="方正黑体_GBK"/>
                <w:bCs/>
                <w:kern w:val="0"/>
                <w:sz w:val="24"/>
              </w:rPr>
              <w:t>序号</w:t>
            </w:r>
          </w:p>
        </w:tc>
        <w:tc>
          <w:tcPr>
            <w:tcW w:w="1284" w:type="dxa"/>
            <w:vMerge w:val="restart"/>
            <w:tcBorders>
              <w:top w:val="single" w:color="auto" w:sz="4" w:space="0"/>
              <w:left w:val="nil"/>
              <w:right w:val="single" w:color="auto" w:sz="4" w:space="0"/>
            </w:tcBorders>
            <w:vAlign w:val="center"/>
          </w:tcPr>
          <w:p>
            <w:pPr>
              <w:widowControl/>
              <w:spacing w:line="320" w:lineRule="exact"/>
              <w:jc w:val="center"/>
              <w:rPr>
                <w:rFonts w:eastAsia="方正黑体_GBK"/>
                <w:bCs/>
                <w:kern w:val="0"/>
                <w:sz w:val="24"/>
              </w:rPr>
            </w:pPr>
            <w:r>
              <w:rPr>
                <w:rFonts w:hint="eastAsia" w:eastAsia="方正黑体_GBK"/>
                <w:bCs/>
                <w:kern w:val="0"/>
                <w:sz w:val="24"/>
              </w:rPr>
              <w:t>自查项目</w:t>
            </w:r>
          </w:p>
        </w:tc>
        <w:tc>
          <w:tcPr>
            <w:tcW w:w="4549" w:type="dxa"/>
            <w:vMerge w:val="restart"/>
            <w:tcBorders>
              <w:top w:val="single" w:color="auto" w:sz="4" w:space="0"/>
              <w:left w:val="nil"/>
              <w:right w:val="single" w:color="auto" w:sz="4" w:space="0"/>
            </w:tcBorders>
            <w:vAlign w:val="center"/>
          </w:tcPr>
          <w:p>
            <w:pPr>
              <w:widowControl/>
              <w:spacing w:line="320" w:lineRule="exact"/>
              <w:jc w:val="center"/>
              <w:rPr>
                <w:rFonts w:eastAsia="方正黑体_GBK"/>
                <w:bCs/>
                <w:kern w:val="0"/>
                <w:sz w:val="24"/>
              </w:rPr>
            </w:pPr>
            <w:r>
              <w:rPr>
                <w:rFonts w:hint="eastAsia" w:eastAsia="方正黑体_GBK"/>
                <w:bCs/>
                <w:kern w:val="0"/>
                <w:sz w:val="24"/>
              </w:rPr>
              <w:t>自查内容</w:t>
            </w:r>
          </w:p>
        </w:tc>
        <w:tc>
          <w:tcPr>
            <w:tcW w:w="1359"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方正黑体_GBK"/>
                <w:sz w:val="24"/>
              </w:rPr>
            </w:pPr>
            <w:r>
              <w:rPr>
                <w:rFonts w:hint="eastAsia" w:eastAsia="方正黑体_GBK"/>
                <w:bCs/>
                <w:kern w:val="0"/>
                <w:sz w:val="24"/>
              </w:rPr>
              <w:t>自查结果</w:t>
            </w:r>
          </w:p>
        </w:tc>
        <w:tc>
          <w:tcPr>
            <w:tcW w:w="1463" w:type="dxa"/>
            <w:vMerge w:val="restart"/>
            <w:tcBorders>
              <w:top w:val="single" w:color="auto" w:sz="4" w:space="0"/>
              <w:left w:val="nil"/>
              <w:right w:val="single" w:color="auto" w:sz="4" w:space="0"/>
            </w:tcBorders>
            <w:vAlign w:val="center"/>
          </w:tcPr>
          <w:p>
            <w:pPr>
              <w:widowControl/>
              <w:spacing w:line="320" w:lineRule="exact"/>
              <w:jc w:val="center"/>
              <w:rPr>
                <w:rFonts w:eastAsia="方正黑体_GBK"/>
                <w:bCs/>
                <w:kern w:val="0"/>
                <w:sz w:val="24"/>
              </w:rPr>
            </w:pPr>
            <w:r>
              <w:rPr>
                <w:rFonts w:hint="eastAsia" w:eastAsia="方正黑体_GBK"/>
                <w:bCs/>
                <w:kern w:val="0"/>
                <w:sz w:val="24"/>
              </w:rPr>
              <w:t>备注</w:t>
            </w:r>
          </w:p>
        </w:tc>
      </w:tr>
      <w:tr>
        <w:tblPrEx>
          <w:tblCellMar>
            <w:top w:w="0" w:type="dxa"/>
            <w:left w:w="108" w:type="dxa"/>
            <w:bottom w:w="0" w:type="dxa"/>
            <w:right w:w="108" w:type="dxa"/>
          </w:tblCellMar>
        </w:tblPrEx>
        <w:trPr>
          <w:trHeight w:val="803"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eastAsia="黑体"/>
                <w:bCs/>
                <w:kern w:val="0"/>
                <w:sz w:val="28"/>
                <w:szCs w:val="28"/>
              </w:rPr>
            </w:pPr>
          </w:p>
        </w:tc>
        <w:tc>
          <w:tcPr>
            <w:tcW w:w="1284" w:type="dxa"/>
            <w:vMerge w:val="continue"/>
            <w:tcBorders>
              <w:left w:val="nil"/>
              <w:bottom w:val="single" w:color="auto" w:sz="4" w:space="0"/>
              <w:right w:val="single" w:color="auto" w:sz="4" w:space="0"/>
            </w:tcBorders>
            <w:vAlign w:val="center"/>
          </w:tcPr>
          <w:p>
            <w:pPr>
              <w:widowControl/>
              <w:spacing w:line="400" w:lineRule="exact"/>
              <w:jc w:val="center"/>
              <w:rPr>
                <w:rFonts w:eastAsia="黑体"/>
                <w:bCs/>
                <w:kern w:val="0"/>
                <w:sz w:val="28"/>
                <w:szCs w:val="28"/>
              </w:rPr>
            </w:pPr>
          </w:p>
        </w:tc>
        <w:tc>
          <w:tcPr>
            <w:tcW w:w="4549" w:type="dxa"/>
            <w:vMerge w:val="continue"/>
            <w:tcBorders>
              <w:left w:val="nil"/>
              <w:bottom w:val="single" w:color="auto" w:sz="4" w:space="0"/>
              <w:right w:val="single" w:color="auto" w:sz="4" w:space="0"/>
            </w:tcBorders>
            <w:vAlign w:val="center"/>
          </w:tcPr>
          <w:p>
            <w:pPr>
              <w:widowControl/>
              <w:spacing w:line="400" w:lineRule="exact"/>
              <w:jc w:val="center"/>
              <w:rPr>
                <w:rFonts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pPr>
              <w:pStyle w:val="42"/>
              <w:spacing w:line="240" w:lineRule="exact"/>
              <w:ind w:firstLine="0" w:firstLineChars="0"/>
              <w:jc w:val="center"/>
              <w:rPr>
                <w:rFonts w:hint="default" w:ascii="Times New Roman" w:hAnsi="Times New Roman" w:eastAsia="方正黑体_GBK"/>
              </w:rPr>
            </w:pPr>
            <w:r>
              <w:rPr>
                <w:rFonts w:ascii="Times New Roman" w:hAnsi="Times New Roman" w:eastAsia="方正黑体_GBK"/>
              </w:rPr>
              <w:t>符合</w:t>
            </w:r>
          </w:p>
        </w:tc>
        <w:tc>
          <w:tcPr>
            <w:tcW w:w="453" w:type="dxa"/>
            <w:tcBorders>
              <w:top w:val="single" w:color="auto" w:sz="4" w:space="0"/>
              <w:left w:val="single" w:color="auto" w:sz="4" w:space="0"/>
              <w:bottom w:val="single" w:color="auto" w:sz="4" w:space="0"/>
              <w:right w:val="single" w:color="auto" w:sz="4" w:space="0"/>
            </w:tcBorders>
            <w:vAlign w:val="center"/>
          </w:tcPr>
          <w:p>
            <w:pPr>
              <w:pStyle w:val="42"/>
              <w:spacing w:line="240" w:lineRule="exact"/>
              <w:ind w:firstLine="0" w:firstLineChars="0"/>
              <w:jc w:val="center"/>
              <w:rPr>
                <w:rFonts w:hint="default" w:ascii="Times New Roman" w:hAnsi="Times New Roman" w:eastAsia="方正黑体_GBK"/>
              </w:rPr>
            </w:pPr>
            <w:r>
              <w:rPr>
                <w:rFonts w:ascii="Times New Roman" w:hAnsi="Times New Roman" w:eastAsia="方正黑体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pPr>
              <w:pStyle w:val="42"/>
              <w:spacing w:line="240" w:lineRule="exact"/>
              <w:ind w:firstLine="0" w:firstLineChars="0"/>
              <w:jc w:val="center"/>
              <w:rPr>
                <w:rFonts w:hint="default" w:ascii="Times New Roman" w:hAnsi="Times New Roman" w:eastAsia="方正黑体_GBK"/>
              </w:rPr>
            </w:pPr>
            <w:r>
              <w:rPr>
                <w:rFonts w:ascii="Times New Roman" w:hAnsi="Times New Roman" w:eastAsia="方正黑体_GBK"/>
              </w:rPr>
              <w:t>无此项</w:t>
            </w:r>
          </w:p>
        </w:tc>
        <w:tc>
          <w:tcPr>
            <w:tcW w:w="1463" w:type="dxa"/>
            <w:vMerge w:val="continue"/>
            <w:tcBorders>
              <w:left w:val="nil"/>
              <w:bottom w:val="single" w:color="auto" w:sz="4" w:space="0"/>
              <w:right w:val="single" w:color="auto" w:sz="4" w:space="0"/>
            </w:tcBorders>
            <w:vAlign w:val="center"/>
          </w:tcPr>
          <w:p>
            <w:pPr>
              <w:widowControl/>
              <w:spacing w:line="400" w:lineRule="exact"/>
              <w:jc w:val="center"/>
              <w:rPr>
                <w:rFonts w:eastAsia="黑体"/>
                <w:bCs/>
                <w:kern w:val="0"/>
                <w:sz w:val="28"/>
                <w:szCs w:val="28"/>
              </w:rPr>
            </w:pPr>
          </w:p>
        </w:tc>
      </w:tr>
      <w:tr>
        <w:tblPrEx>
          <w:tblCellMar>
            <w:top w:w="0" w:type="dxa"/>
            <w:left w:w="108" w:type="dxa"/>
            <w:bottom w:w="0" w:type="dxa"/>
            <w:right w:w="108" w:type="dxa"/>
          </w:tblCellMar>
        </w:tblPrEx>
        <w:trPr>
          <w:trHeight w:val="48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1</w:t>
            </w:r>
          </w:p>
        </w:tc>
        <w:tc>
          <w:tcPr>
            <w:tcW w:w="1284" w:type="dxa"/>
            <w:vMerge w:val="restart"/>
            <w:tcBorders>
              <w:top w:val="single" w:color="auto" w:sz="4" w:space="0"/>
              <w:left w:val="nil"/>
              <w:right w:val="single" w:color="auto" w:sz="4" w:space="0"/>
            </w:tcBorders>
            <w:vAlign w:val="center"/>
          </w:tcPr>
          <w:p>
            <w:pPr>
              <w:widowControl/>
              <w:spacing w:line="320" w:lineRule="exact"/>
              <w:jc w:val="center"/>
              <w:rPr>
                <w:kern w:val="0"/>
                <w:sz w:val="24"/>
              </w:rPr>
            </w:pPr>
            <w:r>
              <w:rPr>
                <w:rFonts w:hint="eastAsia"/>
                <w:kern w:val="0"/>
                <w:sz w:val="24"/>
              </w:rPr>
              <w:t>设备档案</w:t>
            </w: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每台设备均办理使用登记</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88"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2</w:t>
            </w:r>
          </w:p>
        </w:tc>
        <w:tc>
          <w:tcPr>
            <w:tcW w:w="1284" w:type="dxa"/>
            <w:vMerge w:val="continue"/>
            <w:tcBorders>
              <w:left w:val="nil"/>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right w:val="single" w:color="auto" w:sz="4" w:space="0"/>
            </w:tcBorders>
            <w:vAlign w:val="center"/>
          </w:tcPr>
          <w:p>
            <w:pPr>
              <w:widowControl/>
              <w:spacing w:line="320" w:lineRule="exact"/>
              <w:jc w:val="left"/>
              <w:rPr>
                <w:kern w:val="0"/>
                <w:sz w:val="24"/>
              </w:rPr>
            </w:pPr>
            <w:r>
              <w:rPr>
                <w:rFonts w:hint="eastAsia"/>
                <w:kern w:val="0"/>
                <w:sz w:val="24"/>
              </w:rPr>
              <w:t>每台设备均在检验或检测有效期内，每台设备安全附件和仪表在效验有效期内</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59"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3</w:t>
            </w:r>
          </w:p>
        </w:tc>
        <w:tc>
          <w:tcPr>
            <w:tcW w:w="1284" w:type="dxa"/>
            <w:vMerge w:val="continue"/>
            <w:tcBorders>
              <w:left w:val="nil"/>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按要求对每台设备建立档案且档案齐全</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74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4</w:t>
            </w:r>
          </w:p>
        </w:tc>
        <w:tc>
          <w:tcPr>
            <w:tcW w:w="1284" w:type="dxa"/>
            <w:vMerge w:val="continue"/>
            <w:tcBorders>
              <w:left w:val="nil"/>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按要求对每台设备进行经常性维护保养或者定期自行检查并有记录</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9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5</w:t>
            </w:r>
          </w:p>
        </w:tc>
        <w:tc>
          <w:tcPr>
            <w:tcW w:w="1284" w:type="dxa"/>
            <w:vMerge w:val="continue"/>
            <w:tcBorders>
              <w:left w:val="nil"/>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有设备故障、异常情况处理记录</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8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6</w:t>
            </w:r>
          </w:p>
        </w:tc>
        <w:tc>
          <w:tcPr>
            <w:tcW w:w="1284" w:type="dxa"/>
            <w:vMerge w:val="continue"/>
            <w:tcBorders>
              <w:left w:val="nil"/>
              <w:bottom w:val="single" w:color="auto" w:sz="4" w:space="0"/>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有事故隐患排查和整治记录</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72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7</w:t>
            </w:r>
          </w:p>
        </w:tc>
        <w:tc>
          <w:tcPr>
            <w:tcW w:w="1284" w:type="dxa"/>
            <w:vMerge w:val="restart"/>
            <w:tcBorders>
              <w:top w:val="single" w:color="auto" w:sz="4" w:space="0"/>
              <w:left w:val="nil"/>
              <w:right w:val="single" w:color="auto" w:sz="4" w:space="0"/>
            </w:tcBorders>
            <w:vAlign w:val="center"/>
          </w:tcPr>
          <w:p>
            <w:pPr>
              <w:widowControl/>
              <w:spacing w:line="320" w:lineRule="exact"/>
              <w:jc w:val="center"/>
              <w:rPr>
                <w:kern w:val="0"/>
                <w:sz w:val="24"/>
              </w:rPr>
            </w:pPr>
            <w:r>
              <w:rPr>
                <w:rFonts w:hint="eastAsia"/>
                <w:kern w:val="0"/>
                <w:sz w:val="24"/>
              </w:rPr>
              <w:t>人员档案</w:t>
            </w: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安全管理人员和作业人员证件在有效期内，项目符合要求并办理聘用手续</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9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8</w:t>
            </w:r>
          </w:p>
        </w:tc>
        <w:tc>
          <w:tcPr>
            <w:tcW w:w="1284" w:type="dxa"/>
            <w:vMerge w:val="continue"/>
            <w:tcBorders>
              <w:left w:val="nil"/>
              <w:bottom w:val="single" w:color="auto" w:sz="4" w:space="0"/>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有特种设备作业人员培训考核记录</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714"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9</w:t>
            </w:r>
          </w:p>
        </w:tc>
        <w:tc>
          <w:tcPr>
            <w:tcW w:w="1284" w:type="dxa"/>
            <w:vMerge w:val="restart"/>
            <w:tcBorders>
              <w:top w:val="single" w:color="auto" w:sz="4" w:space="0"/>
              <w:left w:val="nil"/>
              <w:right w:val="single" w:color="auto" w:sz="4" w:space="0"/>
            </w:tcBorders>
            <w:vAlign w:val="center"/>
          </w:tcPr>
          <w:p>
            <w:pPr>
              <w:widowControl/>
              <w:spacing w:line="320" w:lineRule="exact"/>
              <w:jc w:val="center"/>
              <w:rPr>
                <w:kern w:val="0"/>
                <w:sz w:val="24"/>
              </w:rPr>
            </w:pPr>
            <w:r>
              <w:rPr>
                <w:rFonts w:hint="eastAsia"/>
                <w:kern w:val="0"/>
                <w:sz w:val="24"/>
              </w:rPr>
              <w:t>机构及制度</w:t>
            </w: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按规定设置安全管理机构或配备专兼职安全管理人员，并书面任命安全责任人</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48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10</w:t>
            </w:r>
          </w:p>
        </w:tc>
        <w:tc>
          <w:tcPr>
            <w:tcW w:w="1284" w:type="dxa"/>
            <w:vMerge w:val="continue"/>
            <w:tcBorders>
              <w:left w:val="nil"/>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建立并实施安全管理制度和操作规程</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52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11</w:t>
            </w:r>
          </w:p>
        </w:tc>
        <w:tc>
          <w:tcPr>
            <w:tcW w:w="1284" w:type="dxa"/>
            <w:vMerge w:val="continue"/>
            <w:tcBorders>
              <w:left w:val="nil"/>
              <w:bottom w:val="single" w:color="auto" w:sz="4" w:space="0"/>
              <w:right w:val="single" w:color="auto" w:sz="4" w:space="0"/>
            </w:tcBorders>
            <w:vAlign w:val="center"/>
          </w:tcPr>
          <w:p>
            <w:pPr>
              <w:keepNext/>
              <w:keepLines/>
              <w:widowControl/>
              <w:spacing w:before="340" w:after="330" w:line="320" w:lineRule="exact"/>
              <w:jc w:val="center"/>
              <w:rPr>
                <w:kern w:val="0"/>
                <w:sz w:val="24"/>
              </w:rPr>
            </w:pP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每类设备均制定事故应急（专项）预案并组织每年不少于</w:t>
            </w:r>
            <w:r>
              <w:rPr>
                <w:kern w:val="0"/>
                <w:sz w:val="24"/>
              </w:rPr>
              <w:t>1</w:t>
            </w:r>
            <w:r>
              <w:rPr>
                <w:rFonts w:hint="eastAsia"/>
                <w:kern w:val="0"/>
                <w:sz w:val="24"/>
              </w:rPr>
              <w:t>次演练并记录</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52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p>
          <w:p>
            <w:pPr>
              <w:widowControl/>
              <w:spacing w:line="320" w:lineRule="exact"/>
              <w:rPr>
                <w:rFonts w:eastAsia="仿宋_GB2312"/>
                <w:kern w:val="0"/>
                <w:sz w:val="24"/>
              </w:rPr>
            </w:pPr>
            <w:r>
              <w:rPr>
                <w:rFonts w:eastAsia="仿宋_GB2312"/>
                <w:kern w:val="0"/>
                <w:sz w:val="24"/>
              </w:rPr>
              <w:t>12</w:t>
            </w:r>
          </w:p>
          <w:p>
            <w:pPr>
              <w:widowControl/>
              <w:spacing w:line="320" w:lineRule="exact"/>
              <w:jc w:val="center"/>
              <w:rPr>
                <w:rFonts w:eastAsia="仿宋_GB2312"/>
                <w:kern w:val="0"/>
                <w:sz w:val="24"/>
              </w:rPr>
            </w:pPr>
          </w:p>
        </w:tc>
        <w:tc>
          <w:tcPr>
            <w:tcW w:w="1284" w:type="dxa"/>
            <w:tcBorders>
              <w:left w:val="nil"/>
              <w:bottom w:val="single" w:color="auto" w:sz="4" w:space="0"/>
              <w:right w:val="single" w:color="auto" w:sz="4" w:space="0"/>
            </w:tcBorders>
            <w:vAlign w:val="center"/>
          </w:tcPr>
          <w:p>
            <w:pPr>
              <w:widowControl/>
              <w:spacing w:line="320" w:lineRule="exact"/>
              <w:jc w:val="center"/>
              <w:rPr>
                <w:kern w:val="0"/>
                <w:sz w:val="24"/>
              </w:rPr>
            </w:pPr>
            <w:r>
              <w:rPr>
                <w:rFonts w:hint="eastAsia"/>
                <w:kern w:val="0"/>
                <w:sz w:val="24"/>
              </w:rPr>
              <w:t>设备本体</w:t>
            </w: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使用登记证、检验标志置于显著位置，外观无明显损伤，未超范围超参数运行</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r>
        <w:tblPrEx>
          <w:tblCellMar>
            <w:top w:w="0" w:type="dxa"/>
            <w:left w:w="108" w:type="dxa"/>
            <w:bottom w:w="0" w:type="dxa"/>
            <w:right w:w="108" w:type="dxa"/>
          </w:tblCellMar>
        </w:tblPrEx>
        <w:trPr>
          <w:trHeight w:val="523"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4"/>
              </w:rPr>
            </w:pPr>
            <w:r>
              <w:rPr>
                <w:rFonts w:eastAsia="仿宋_GB2312"/>
                <w:kern w:val="0"/>
                <w:sz w:val="24"/>
              </w:rPr>
              <w:t>13</w:t>
            </w:r>
          </w:p>
        </w:tc>
        <w:tc>
          <w:tcPr>
            <w:tcW w:w="1284" w:type="dxa"/>
            <w:tcBorders>
              <w:top w:val="single" w:color="auto" w:sz="4" w:space="0"/>
              <w:left w:val="nil"/>
              <w:bottom w:val="single" w:color="auto" w:sz="4" w:space="0"/>
              <w:right w:val="single" w:color="auto" w:sz="4" w:space="0"/>
            </w:tcBorders>
            <w:vAlign w:val="center"/>
          </w:tcPr>
          <w:p>
            <w:pPr>
              <w:widowControl/>
              <w:spacing w:line="320" w:lineRule="exact"/>
              <w:jc w:val="center"/>
              <w:rPr>
                <w:kern w:val="0"/>
                <w:sz w:val="24"/>
              </w:rPr>
            </w:pPr>
            <w:r>
              <w:rPr>
                <w:kern w:val="0"/>
                <w:sz w:val="24"/>
              </w:rPr>
              <w:t>73</w:t>
            </w:r>
            <w:r>
              <w:rPr>
                <w:rFonts w:hint="eastAsia"/>
                <w:kern w:val="0"/>
                <w:sz w:val="24"/>
              </w:rPr>
              <w:t>、</w:t>
            </w:r>
            <w:r>
              <w:rPr>
                <w:kern w:val="0"/>
                <w:sz w:val="24"/>
              </w:rPr>
              <w:t>74</w:t>
            </w:r>
            <w:r>
              <w:rPr>
                <w:rFonts w:hint="eastAsia"/>
                <w:kern w:val="0"/>
                <w:sz w:val="24"/>
              </w:rPr>
              <w:t>号令落实情况</w:t>
            </w:r>
          </w:p>
        </w:tc>
        <w:tc>
          <w:tcPr>
            <w:tcW w:w="4549" w:type="dxa"/>
            <w:tcBorders>
              <w:top w:val="single" w:color="auto" w:sz="4" w:space="0"/>
              <w:left w:val="nil"/>
              <w:bottom w:val="single" w:color="auto" w:sz="4" w:space="0"/>
              <w:right w:val="single" w:color="auto" w:sz="4" w:space="0"/>
            </w:tcBorders>
            <w:vAlign w:val="center"/>
          </w:tcPr>
          <w:p>
            <w:pPr>
              <w:widowControl/>
              <w:spacing w:line="320" w:lineRule="exact"/>
              <w:jc w:val="left"/>
              <w:rPr>
                <w:kern w:val="0"/>
                <w:sz w:val="24"/>
              </w:rPr>
            </w:pPr>
            <w:r>
              <w:rPr>
                <w:rFonts w:hint="eastAsia"/>
                <w:kern w:val="0"/>
                <w:sz w:val="24"/>
              </w:rPr>
              <w:t>按要求在重庆市信息化管理平台设立主要负责人、安全总监、安全员，明确安全总监和安全员职责，制定日管控、周排查、月调度制度并落实。</w:t>
            </w: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45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c>
          <w:tcPr>
            <w:tcW w:w="146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kern w:val="0"/>
                <w:sz w:val="24"/>
              </w:rPr>
            </w:pPr>
          </w:p>
        </w:tc>
      </w:tr>
    </w:tbl>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p>
    <w:p>
      <w:pPr>
        <w:spacing w:line="480" w:lineRule="exact"/>
        <w:jc w:val="center"/>
        <w:rPr>
          <w:rFonts w:eastAsia="方正小标宋_GBK"/>
          <w:kern w:val="13"/>
          <w:sz w:val="44"/>
          <w:szCs w:val="44"/>
        </w:rPr>
      </w:pPr>
      <w:r>
        <w:rPr>
          <w:rFonts w:hint="eastAsia" w:eastAsia="方正小标宋_GBK"/>
          <w:kern w:val="13"/>
          <w:sz w:val="44"/>
          <w:szCs w:val="44"/>
          <w:lang w:val="en-US" w:eastAsia="zh-CN"/>
        </w:rPr>
        <w:t>村</w:t>
      </w:r>
      <w:r>
        <w:rPr>
          <w:rFonts w:hint="eastAsia" w:eastAsia="方正小标宋_GBK"/>
          <w:kern w:val="13"/>
          <w:sz w:val="44"/>
          <w:szCs w:val="44"/>
        </w:rPr>
        <w:t>（</w:t>
      </w:r>
      <w:r>
        <w:rPr>
          <w:rFonts w:hint="eastAsia" w:eastAsia="方正小标宋_GBK"/>
          <w:kern w:val="13"/>
          <w:sz w:val="44"/>
          <w:szCs w:val="44"/>
          <w:lang w:val="en-US" w:eastAsia="zh-CN"/>
        </w:rPr>
        <w:t>社区</w:t>
      </w:r>
      <w:r>
        <w:rPr>
          <w:rFonts w:hint="eastAsia" w:eastAsia="方正小标宋_GBK"/>
          <w:kern w:val="13"/>
          <w:sz w:val="44"/>
          <w:szCs w:val="44"/>
        </w:rPr>
        <w:t>）落实电梯使用单位主体责任情况表</w:t>
      </w:r>
    </w:p>
    <w:p>
      <w:pPr>
        <w:widowControl/>
        <w:jc w:val="left"/>
        <w:textAlignment w:val="center"/>
        <w:rPr>
          <w:sz w:val="24"/>
        </w:rPr>
      </w:pPr>
    </w:p>
    <w:p>
      <w:pPr>
        <w:widowControl/>
        <w:jc w:val="left"/>
        <w:textAlignment w:val="center"/>
        <w:rPr>
          <w:rFonts w:eastAsia="方正黑体_GBK"/>
        </w:rPr>
      </w:pPr>
      <w:r>
        <w:rPr>
          <w:rFonts w:hint="eastAsia"/>
          <w:sz w:val="24"/>
        </w:rPr>
        <w:t>填报乡镇：                     填表人：                 时间：</w:t>
      </w:r>
      <w:r>
        <w:rPr>
          <w:sz w:val="24"/>
        </w:rPr>
        <w:t xml:space="preserve">     </w:t>
      </w:r>
      <w:r>
        <w:rPr>
          <w:rFonts w:hint="eastAsia"/>
          <w:sz w:val="24"/>
        </w:rPr>
        <w:t xml:space="preserve">           </w:t>
      </w:r>
      <w:r>
        <w:rPr>
          <w:sz w:val="24"/>
        </w:rPr>
        <w:t xml:space="preserve"> </w:t>
      </w:r>
      <w:r>
        <w:rPr>
          <w:rFonts w:hint="eastAsia"/>
          <w:sz w:val="24"/>
        </w:rPr>
        <w:t>联系电话：</w:t>
      </w:r>
    </w:p>
    <w:tbl>
      <w:tblPr>
        <w:tblStyle w:val="21"/>
        <w:tblW w:w="13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8"/>
        <w:gridCol w:w="4170"/>
        <w:gridCol w:w="2085"/>
        <w:gridCol w:w="1980"/>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28"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排查出电梯使用单位名存实亡台数</w:t>
            </w:r>
          </w:p>
        </w:tc>
        <w:tc>
          <w:tcPr>
            <w:tcW w:w="4170"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排查出电梯使用单位为个人台数</w:t>
            </w:r>
          </w:p>
        </w:tc>
        <w:tc>
          <w:tcPr>
            <w:tcW w:w="2085" w:type="dxa"/>
            <w:vAlign w:val="center"/>
          </w:tcPr>
          <w:p>
            <w:pPr>
              <w:spacing w:line="400" w:lineRule="exact"/>
              <w:jc w:val="center"/>
              <w:rPr>
                <w:rFonts w:ascii="方正黑体_GBK" w:eastAsia="方正黑体_GBK"/>
              </w:rPr>
            </w:pPr>
            <w:r>
              <w:rPr>
                <w:rFonts w:hint="eastAsia" w:ascii="方正黑体_GBK" w:eastAsia="方正黑体_GBK"/>
                <w:sz w:val="28"/>
                <w:szCs w:val="28"/>
              </w:rPr>
              <w:t>总计已落实使用单位台数</w:t>
            </w:r>
          </w:p>
        </w:tc>
        <w:tc>
          <w:tcPr>
            <w:tcW w:w="1980"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总计未落实使用单位台数</w:t>
            </w:r>
          </w:p>
        </w:tc>
        <w:tc>
          <w:tcPr>
            <w:tcW w:w="1039"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28" w:type="dxa"/>
            <w:vAlign w:val="center"/>
          </w:tcPr>
          <w:p>
            <w:pPr>
              <w:widowControl/>
              <w:spacing w:line="400" w:lineRule="exact"/>
              <w:jc w:val="center"/>
              <w:textAlignment w:val="center"/>
              <w:rPr>
                <w:b/>
                <w:bCs/>
                <w:sz w:val="28"/>
                <w:szCs w:val="28"/>
              </w:rPr>
            </w:pPr>
          </w:p>
          <w:p>
            <w:pPr>
              <w:widowControl/>
              <w:spacing w:line="400" w:lineRule="exact"/>
              <w:jc w:val="center"/>
              <w:textAlignment w:val="center"/>
              <w:rPr>
                <w:sz w:val="28"/>
                <w:szCs w:val="28"/>
              </w:rPr>
            </w:pPr>
            <w:r>
              <w:rPr>
                <w:sz w:val="28"/>
                <w:szCs w:val="28"/>
              </w:rPr>
              <w:t>*</w:t>
            </w:r>
            <w:r>
              <w:rPr>
                <w:rFonts w:hint="eastAsia"/>
                <w:sz w:val="28"/>
                <w:szCs w:val="28"/>
              </w:rPr>
              <w:t>家</w:t>
            </w:r>
          </w:p>
          <w:p>
            <w:pPr>
              <w:widowControl/>
              <w:spacing w:line="400" w:lineRule="exact"/>
              <w:jc w:val="center"/>
              <w:textAlignment w:val="center"/>
              <w:rPr>
                <w:b/>
                <w:bCs/>
                <w:sz w:val="28"/>
                <w:szCs w:val="28"/>
              </w:rPr>
            </w:pPr>
          </w:p>
        </w:tc>
        <w:tc>
          <w:tcPr>
            <w:tcW w:w="4170"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2085"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1980"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1039" w:type="dxa"/>
            <w:vAlign w:val="center"/>
          </w:tcPr>
          <w:p>
            <w:pPr>
              <w:widowControl/>
              <w:spacing w:line="400" w:lineRule="exact"/>
              <w:jc w:val="center"/>
              <w:textAlignment w:val="center"/>
              <w:rPr>
                <w:b/>
                <w:bCs/>
                <w:sz w:val="28"/>
                <w:szCs w:val="28"/>
              </w:rPr>
            </w:pPr>
          </w:p>
        </w:tc>
      </w:tr>
    </w:tbl>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8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4：</w:t>
      </w:r>
    </w:p>
    <w:p>
      <w:pPr>
        <w:spacing w:line="480" w:lineRule="exact"/>
        <w:jc w:val="center"/>
        <w:rPr>
          <w:rFonts w:hint="eastAsia" w:eastAsia="方正小标宋_GBK"/>
          <w:kern w:val="13"/>
          <w:sz w:val="44"/>
          <w:szCs w:val="44"/>
          <w:lang w:val="en-US" w:eastAsia="zh-CN"/>
        </w:rPr>
      </w:pPr>
    </w:p>
    <w:p>
      <w:pPr>
        <w:spacing w:line="480" w:lineRule="exact"/>
        <w:jc w:val="center"/>
        <w:rPr>
          <w:rFonts w:eastAsia="方正小标宋_GBK"/>
          <w:kern w:val="13"/>
          <w:sz w:val="44"/>
          <w:szCs w:val="44"/>
        </w:rPr>
      </w:pPr>
      <w:r>
        <w:rPr>
          <w:rFonts w:hint="eastAsia" w:eastAsia="方正小标宋_GBK"/>
          <w:kern w:val="13"/>
          <w:sz w:val="44"/>
          <w:szCs w:val="44"/>
          <w:lang w:val="en-US" w:eastAsia="zh-CN"/>
        </w:rPr>
        <w:t>相关科室</w:t>
      </w:r>
      <w:r>
        <w:rPr>
          <w:rFonts w:hint="eastAsia" w:eastAsia="方正小标宋_GBK"/>
          <w:kern w:val="13"/>
          <w:sz w:val="44"/>
          <w:szCs w:val="44"/>
        </w:rPr>
        <w:t>、</w:t>
      </w:r>
      <w:r>
        <w:rPr>
          <w:rFonts w:hint="eastAsia" w:eastAsia="方正小标宋_GBK"/>
          <w:kern w:val="13"/>
          <w:sz w:val="44"/>
          <w:szCs w:val="44"/>
          <w:lang w:val="en-US" w:eastAsia="zh-CN"/>
        </w:rPr>
        <w:t>村</w:t>
      </w:r>
      <w:r>
        <w:rPr>
          <w:rFonts w:hint="eastAsia" w:eastAsia="方正小标宋_GBK"/>
          <w:kern w:val="13"/>
          <w:sz w:val="44"/>
          <w:szCs w:val="44"/>
        </w:rPr>
        <w:t>（</w:t>
      </w:r>
      <w:r>
        <w:rPr>
          <w:rFonts w:hint="eastAsia" w:eastAsia="方正小标宋_GBK"/>
          <w:kern w:val="13"/>
          <w:sz w:val="44"/>
          <w:szCs w:val="44"/>
          <w:lang w:val="en-US" w:eastAsia="zh-CN"/>
        </w:rPr>
        <w:t>社区</w:t>
      </w:r>
      <w:r>
        <w:rPr>
          <w:rFonts w:hint="eastAsia" w:eastAsia="方正小标宋_GBK"/>
          <w:kern w:val="13"/>
          <w:sz w:val="44"/>
          <w:szCs w:val="44"/>
        </w:rPr>
        <w:t>）特种设备检查情况汇总表</w:t>
      </w:r>
    </w:p>
    <w:p>
      <w:pPr>
        <w:widowControl/>
        <w:jc w:val="left"/>
        <w:textAlignment w:val="center"/>
        <w:rPr>
          <w:sz w:val="24"/>
        </w:rPr>
      </w:pPr>
    </w:p>
    <w:p>
      <w:pPr>
        <w:widowControl/>
        <w:jc w:val="left"/>
        <w:textAlignment w:val="center"/>
        <w:rPr>
          <w:rFonts w:eastAsia="方正黑体_GBK"/>
        </w:rPr>
      </w:pPr>
      <w:r>
        <w:rPr>
          <w:rFonts w:hint="eastAsia"/>
          <w:sz w:val="24"/>
        </w:rPr>
        <w:t>填报部门：填表人：时间：</w:t>
      </w:r>
      <w:r>
        <w:rPr>
          <w:sz w:val="24"/>
        </w:rPr>
        <w:t xml:space="preserve">                  </w:t>
      </w:r>
      <w:r>
        <w:rPr>
          <w:rFonts w:hint="eastAsia"/>
          <w:sz w:val="24"/>
        </w:rPr>
        <w:t>联系电话：</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086"/>
        <w:gridCol w:w="2220"/>
        <w:gridCol w:w="1995"/>
        <w:gridCol w:w="1665"/>
        <w:gridCol w:w="114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检查总数</w:t>
            </w:r>
          </w:p>
        </w:tc>
        <w:tc>
          <w:tcPr>
            <w:tcW w:w="2086"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设备未办理使用登记台数</w:t>
            </w:r>
          </w:p>
        </w:tc>
        <w:tc>
          <w:tcPr>
            <w:tcW w:w="2220"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设备未开展定期检验台数</w:t>
            </w:r>
          </w:p>
        </w:tc>
        <w:tc>
          <w:tcPr>
            <w:tcW w:w="1995"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设备超范围超参数运行台数</w:t>
            </w:r>
          </w:p>
        </w:tc>
        <w:tc>
          <w:tcPr>
            <w:tcW w:w="1665"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发现作业人员未持证上岗人数</w:t>
            </w:r>
          </w:p>
        </w:tc>
        <w:tc>
          <w:tcPr>
            <w:tcW w:w="1140" w:type="dxa"/>
            <w:vAlign w:val="center"/>
          </w:tcPr>
          <w:p>
            <w:pPr>
              <w:widowControl/>
              <w:spacing w:line="400" w:lineRule="exact"/>
              <w:jc w:val="center"/>
              <w:textAlignment w:val="center"/>
              <w:rPr>
                <w:rFonts w:ascii="方正黑体_GBK" w:eastAsia="方正黑体_GBK"/>
                <w:sz w:val="28"/>
                <w:szCs w:val="28"/>
              </w:rPr>
            </w:pPr>
            <w:r>
              <w:rPr>
                <w:rFonts w:hint="eastAsia" w:ascii="方正黑体_GBK" w:eastAsia="方正黑体_GBK"/>
                <w:sz w:val="28"/>
                <w:szCs w:val="28"/>
              </w:rPr>
              <w:t>是否移送线索</w:t>
            </w:r>
          </w:p>
        </w:tc>
        <w:tc>
          <w:tcPr>
            <w:tcW w:w="1965" w:type="dxa"/>
            <w:vAlign w:val="center"/>
          </w:tcPr>
          <w:p>
            <w:pPr>
              <w:spacing w:line="400" w:lineRule="exact"/>
              <w:jc w:val="center"/>
              <w:rPr>
                <w:rFonts w:ascii="方正黑体_GBK" w:eastAsia="方正黑体_GBK"/>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widowControl/>
              <w:spacing w:line="400" w:lineRule="exact"/>
              <w:jc w:val="center"/>
              <w:textAlignment w:val="center"/>
              <w:rPr>
                <w:b/>
                <w:bCs/>
                <w:sz w:val="28"/>
                <w:szCs w:val="28"/>
              </w:rPr>
            </w:pPr>
          </w:p>
          <w:p>
            <w:pPr>
              <w:widowControl/>
              <w:spacing w:line="400" w:lineRule="exact"/>
              <w:jc w:val="center"/>
              <w:textAlignment w:val="center"/>
              <w:rPr>
                <w:sz w:val="28"/>
                <w:szCs w:val="28"/>
              </w:rPr>
            </w:pPr>
            <w:r>
              <w:rPr>
                <w:sz w:val="28"/>
                <w:szCs w:val="28"/>
              </w:rPr>
              <w:t>*</w:t>
            </w:r>
            <w:r>
              <w:rPr>
                <w:rFonts w:hint="eastAsia"/>
                <w:sz w:val="28"/>
                <w:szCs w:val="28"/>
              </w:rPr>
              <w:t>家</w:t>
            </w:r>
          </w:p>
          <w:p>
            <w:pPr>
              <w:widowControl/>
              <w:spacing w:line="400" w:lineRule="exact"/>
              <w:jc w:val="center"/>
              <w:textAlignment w:val="center"/>
              <w:rPr>
                <w:b/>
                <w:bCs/>
                <w:sz w:val="28"/>
                <w:szCs w:val="28"/>
              </w:rPr>
            </w:pPr>
          </w:p>
        </w:tc>
        <w:tc>
          <w:tcPr>
            <w:tcW w:w="2086"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2220"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1995" w:type="dxa"/>
            <w:vAlign w:val="center"/>
          </w:tcPr>
          <w:p>
            <w:pPr>
              <w:widowControl/>
              <w:spacing w:line="400" w:lineRule="exact"/>
              <w:jc w:val="center"/>
              <w:textAlignment w:val="center"/>
              <w:rPr>
                <w:sz w:val="28"/>
                <w:szCs w:val="28"/>
              </w:rPr>
            </w:pPr>
            <w:r>
              <w:rPr>
                <w:sz w:val="28"/>
                <w:szCs w:val="28"/>
              </w:rPr>
              <w:t>*</w:t>
            </w:r>
            <w:r>
              <w:rPr>
                <w:rFonts w:hint="eastAsia"/>
                <w:sz w:val="28"/>
                <w:szCs w:val="28"/>
              </w:rPr>
              <w:t>台</w:t>
            </w:r>
          </w:p>
        </w:tc>
        <w:tc>
          <w:tcPr>
            <w:tcW w:w="1665" w:type="dxa"/>
            <w:vAlign w:val="center"/>
          </w:tcPr>
          <w:p>
            <w:pPr>
              <w:widowControl/>
              <w:spacing w:line="400" w:lineRule="exact"/>
              <w:jc w:val="center"/>
              <w:textAlignment w:val="center"/>
              <w:rPr>
                <w:sz w:val="28"/>
                <w:szCs w:val="28"/>
              </w:rPr>
            </w:pPr>
            <w:r>
              <w:rPr>
                <w:sz w:val="28"/>
                <w:szCs w:val="28"/>
              </w:rPr>
              <w:t>*</w:t>
            </w:r>
            <w:r>
              <w:rPr>
                <w:rFonts w:hint="eastAsia"/>
                <w:sz w:val="28"/>
                <w:szCs w:val="28"/>
              </w:rPr>
              <w:t>人</w:t>
            </w:r>
          </w:p>
        </w:tc>
        <w:tc>
          <w:tcPr>
            <w:tcW w:w="1140" w:type="dxa"/>
            <w:vAlign w:val="center"/>
          </w:tcPr>
          <w:p>
            <w:pPr>
              <w:widowControl/>
              <w:spacing w:line="400" w:lineRule="exact"/>
              <w:jc w:val="center"/>
              <w:textAlignment w:val="center"/>
              <w:rPr>
                <w:sz w:val="28"/>
                <w:szCs w:val="28"/>
              </w:rPr>
            </w:pPr>
            <w:r>
              <w:rPr>
                <w:rFonts w:hint="eastAsia"/>
                <w:sz w:val="28"/>
                <w:szCs w:val="28"/>
              </w:rPr>
              <w:t>是</w:t>
            </w:r>
            <w:r>
              <w:rPr>
                <w:b/>
                <w:bCs/>
                <w:sz w:val="36"/>
                <w:szCs w:val="36"/>
              </w:rPr>
              <w:t>/</w:t>
            </w:r>
            <w:r>
              <w:rPr>
                <w:rFonts w:hint="eastAsia"/>
                <w:sz w:val="28"/>
                <w:szCs w:val="28"/>
              </w:rPr>
              <w:t>否</w:t>
            </w:r>
          </w:p>
        </w:tc>
        <w:tc>
          <w:tcPr>
            <w:tcW w:w="1965" w:type="dxa"/>
            <w:vAlign w:val="center"/>
          </w:tcPr>
          <w:p>
            <w:pPr>
              <w:widowControl/>
              <w:spacing w:line="400" w:lineRule="exact"/>
              <w:jc w:val="center"/>
              <w:textAlignment w:val="center"/>
              <w:rPr>
                <w:b/>
                <w:bCs/>
                <w:sz w:val="28"/>
                <w:szCs w:val="28"/>
              </w:rPr>
            </w:pPr>
          </w:p>
        </w:tc>
      </w:tr>
    </w:tbl>
    <w:p>
      <w:pPr>
        <w:rPr>
          <w:rFonts w:hint="eastAsia"/>
          <w:lang w:val="en-US" w:eastAsia="zh-CN"/>
        </w:rPr>
      </w:pPr>
    </w:p>
    <w:sectPr>
      <w:pgSz w:w="16838" w:h="11906" w:orient="landscape"/>
      <w:pgMar w:top="1446" w:right="1984" w:bottom="1446" w:left="1644"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Helvetica">
    <w:altName w:val="汉仪君黑-35简"/>
    <w:panose1 w:val="020B0504020202030204"/>
    <w:charset w:val="00"/>
    <w:family w:val="swiss"/>
    <w:pitch w:val="default"/>
    <w:sig w:usb0="00000000" w:usb1="00000000" w:usb2="00000000" w:usb3="00000000" w:csb0="00000093"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4225" cy="63182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84225" cy="631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49.75pt;width:61.75pt;mso-position-horizontal:outside;mso-position-horizontal-relative:margin;z-index:251659264;mso-width-relative:page;mso-height-relative:page;" filled="f" stroked="f" coordsize="21600,21600" o:gfxdata="UEsFBgAAAAAAAAAAAAAAAAAAAAAAAFBLAwQKAAAAAACHTuJAAAAAAAAAAAAAAAAABAAAAGRycy9Q&#10;SwMEFAAAAAgAh07iQHDtre3VAAAABAEAAA8AAABkcnMvZG93bnJldi54bWxNj0tPwzAQhO9I/Adr&#10;kbhRO0VFNMTpgceNRymtBDcnXpIIex3Fm7T8e1wucFlpNKOZb4vVwTsx4RC7QBqymQKBVAfbUaNh&#10;+/ZwcQ0isiFrXCDU8I0RVuXpSWFyG/b0itOGG5FKKOZGQ8vc51LGukVv4iz0SMn7DIM3nOTQSDuY&#10;fSr3Ts6VupLedJQWWtPjbYv112b0Gtx7HB4rxR/TXfPE6xc57u6zZ63PzzJ1A4LxwH9hOOIndCgT&#10;UxVGslE4DekR/r1Hb365AFFpWC4XIMtC/ocvfwBQSwMEFAAAAAgAh07iQJFIz3YgAgAAKQQAAA4A&#10;AABkcnMvZTJvRG9jLnhtbK1TS44TMRDdI3EHy3vS+TBDFKUzCjMKQoqYkQJi7bjttCXbZWx3usMB&#10;4AasZsOec805KPcnQcAKsXE/u8pVfq9eL28ao8lR+KDA5nQyGlMiLIdC2UNOP7zfvJhTEiKzBdNg&#10;RU5PItCb1fNny9otxBRK0IXwBIvYsKhdTssY3SLLAi+FYWEETlgMSvCGRdz6Q1Z4VmN1o7PpeHyd&#10;1eAL54GLEPD0rgvSVVtfSsHjvZRBRKJzim+L7erbdZ/WbLVki4NnrlS8fwb7h1cYpiw2PZe6Y5GR&#10;yqs/ShnFPQSQccTBZCCl4qLlgGwm49/Y7ErmRMsFxQnuLFP4f2X5u+ODJ6rI6YwSywyO6Onb16fH&#10;H0/fv5BZkqd2YYFZO4d5sXkNTU6jr8QQCnieiDfSm/RFSgRTUOvTWV/RRMLx8NX85XR6RQnH0PVs&#10;MkeMDbLLZedDfCPAkARy6nF8rarsuA2xSx1SUi8LG6V1O0JtSZ2KXo3bC+cIFtcWeyQW3VMTis2+&#10;6antoTghMw+dNYLjG4XNtyzEB+bRC8gE/R3vcZEasAn0iJIS/Oe/nad8HBFGKanRWzkNnyrmBSX6&#10;rcXhJSMOwA9gPwBbmVtAu07wz3G8hXjBRz1A6cF8RNuvUxfJdMDCzHLsh6MZ4G3EXR/E34eL9fq8&#10;r5xXh/JyGa3oWNzaneP9cDt111UEqVrhk2qdVL2Y6Md2dP2/kwz/677Nuvzh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w7a3t1QAAAAQBAAAPAAAAAAAAAAEAIAAAADgAAABkcnMvZG93bnJldi54&#10;bWxQSwECFAAUAAAACACHTuJAkUjPdiACAAApBAAADgAAAAAAAAABACAAAAA6AQAAZHJzL2Uyb0Rv&#10;Yy54bWxQSwUGAAAAAAYABgBZAQAAzAUAAAAA&#10;">
              <v:fill on="f" focussize="0,0"/>
              <v:stroke on="f" weight="0.5pt"/>
              <v:imagedata o:title=""/>
              <o:lock v:ext="edit" aspectratio="f"/>
              <v:textbox inset="0mm,0mm,0mm,0mm">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05"/>
  <w:drawingGridVerticalSpacing w:val="16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Yzk4YTdjZTEyMjIzMTYwZGQ3YTM4ZjFjYmI5YzcifQ=="/>
  </w:docVars>
  <w:rsids>
    <w:rsidRoot w:val="29CD0E23"/>
    <w:rsid w:val="0000151B"/>
    <w:rsid w:val="00013BE9"/>
    <w:rsid w:val="00042993"/>
    <w:rsid w:val="00067C2F"/>
    <w:rsid w:val="000757C5"/>
    <w:rsid w:val="00075DB9"/>
    <w:rsid w:val="000A7374"/>
    <w:rsid w:val="001252B8"/>
    <w:rsid w:val="00174F7C"/>
    <w:rsid w:val="001A0FEB"/>
    <w:rsid w:val="001C725A"/>
    <w:rsid w:val="002A1ECC"/>
    <w:rsid w:val="002D27B3"/>
    <w:rsid w:val="0038174C"/>
    <w:rsid w:val="00381E23"/>
    <w:rsid w:val="00413B8E"/>
    <w:rsid w:val="00415EC7"/>
    <w:rsid w:val="0051719F"/>
    <w:rsid w:val="00554335"/>
    <w:rsid w:val="00561C99"/>
    <w:rsid w:val="00661EEC"/>
    <w:rsid w:val="006F08A2"/>
    <w:rsid w:val="0073583E"/>
    <w:rsid w:val="0075645B"/>
    <w:rsid w:val="007776C3"/>
    <w:rsid w:val="008363AA"/>
    <w:rsid w:val="00892E3C"/>
    <w:rsid w:val="009322A5"/>
    <w:rsid w:val="009A6AD7"/>
    <w:rsid w:val="00A96ECC"/>
    <w:rsid w:val="00AC4EE1"/>
    <w:rsid w:val="00B22036"/>
    <w:rsid w:val="00C307A1"/>
    <w:rsid w:val="00CA314E"/>
    <w:rsid w:val="00CC3CDF"/>
    <w:rsid w:val="00D14377"/>
    <w:rsid w:val="00D16078"/>
    <w:rsid w:val="00D620A5"/>
    <w:rsid w:val="00D720E8"/>
    <w:rsid w:val="00E56406"/>
    <w:rsid w:val="00E7437A"/>
    <w:rsid w:val="00EE3321"/>
    <w:rsid w:val="00F315A3"/>
    <w:rsid w:val="00F36741"/>
    <w:rsid w:val="00F702A9"/>
    <w:rsid w:val="014C0212"/>
    <w:rsid w:val="02285B9D"/>
    <w:rsid w:val="026E67DA"/>
    <w:rsid w:val="030F250C"/>
    <w:rsid w:val="05644E7E"/>
    <w:rsid w:val="06954613"/>
    <w:rsid w:val="07510366"/>
    <w:rsid w:val="0835623B"/>
    <w:rsid w:val="08C061AB"/>
    <w:rsid w:val="08CF3EFD"/>
    <w:rsid w:val="0B8E7C3B"/>
    <w:rsid w:val="0BC0109E"/>
    <w:rsid w:val="0C940130"/>
    <w:rsid w:val="0D7E74C6"/>
    <w:rsid w:val="0DDC4C20"/>
    <w:rsid w:val="0E924C9E"/>
    <w:rsid w:val="0F7C6194"/>
    <w:rsid w:val="108C3A55"/>
    <w:rsid w:val="11F40118"/>
    <w:rsid w:val="12296C27"/>
    <w:rsid w:val="127C79C0"/>
    <w:rsid w:val="133C66B4"/>
    <w:rsid w:val="164179B3"/>
    <w:rsid w:val="16E7613E"/>
    <w:rsid w:val="17D64924"/>
    <w:rsid w:val="183909B1"/>
    <w:rsid w:val="18CD5B84"/>
    <w:rsid w:val="191E2538"/>
    <w:rsid w:val="19C71940"/>
    <w:rsid w:val="1AC5282E"/>
    <w:rsid w:val="1B8C61A4"/>
    <w:rsid w:val="1D856ED3"/>
    <w:rsid w:val="1E462261"/>
    <w:rsid w:val="1E51340E"/>
    <w:rsid w:val="1E596662"/>
    <w:rsid w:val="204C046C"/>
    <w:rsid w:val="206421A0"/>
    <w:rsid w:val="209C3CF2"/>
    <w:rsid w:val="212C3699"/>
    <w:rsid w:val="23101ECA"/>
    <w:rsid w:val="246D2F01"/>
    <w:rsid w:val="24A87F90"/>
    <w:rsid w:val="25750E0D"/>
    <w:rsid w:val="26FA236E"/>
    <w:rsid w:val="271C1D6A"/>
    <w:rsid w:val="276A479E"/>
    <w:rsid w:val="277377CC"/>
    <w:rsid w:val="28192504"/>
    <w:rsid w:val="289D2D08"/>
    <w:rsid w:val="29CD0E23"/>
    <w:rsid w:val="29D45E69"/>
    <w:rsid w:val="2AF41150"/>
    <w:rsid w:val="2BEB7198"/>
    <w:rsid w:val="2EED75B7"/>
    <w:rsid w:val="2F0A7A2A"/>
    <w:rsid w:val="2F9A7BA6"/>
    <w:rsid w:val="2FEC4F4B"/>
    <w:rsid w:val="30346DE9"/>
    <w:rsid w:val="309C1D02"/>
    <w:rsid w:val="32F944F3"/>
    <w:rsid w:val="35242E7F"/>
    <w:rsid w:val="357572DA"/>
    <w:rsid w:val="368F4DEA"/>
    <w:rsid w:val="36FF033E"/>
    <w:rsid w:val="37D636A5"/>
    <w:rsid w:val="3D100730"/>
    <w:rsid w:val="3D972DB2"/>
    <w:rsid w:val="3DDD60D7"/>
    <w:rsid w:val="3E680512"/>
    <w:rsid w:val="3E7E4255"/>
    <w:rsid w:val="3F636573"/>
    <w:rsid w:val="3F9132B6"/>
    <w:rsid w:val="40E92FBC"/>
    <w:rsid w:val="41697CB6"/>
    <w:rsid w:val="4178337A"/>
    <w:rsid w:val="42733C91"/>
    <w:rsid w:val="42972E51"/>
    <w:rsid w:val="4367476C"/>
    <w:rsid w:val="439B0E0B"/>
    <w:rsid w:val="443A5726"/>
    <w:rsid w:val="44C27B38"/>
    <w:rsid w:val="452E4FCD"/>
    <w:rsid w:val="45EC658C"/>
    <w:rsid w:val="46BD6C51"/>
    <w:rsid w:val="476C4C11"/>
    <w:rsid w:val="488E7657"/>
    <w:rsid w:val="497B5C05"/>
    <w:rsid w:val="49BB57A5"/>
    <w:rsid w:val="4A8049EB"/>
    <w:rsid w:val="4B26102D"/>
    <w:rsid w:val="4C0E5BB6"/>
    <w:rsid w:val="4CBD0462"/>
    <w:rsid w:val="4E974390"/>
    <w:rsid w:val="4E986A04"/>
    <w:rsid w:val="4F134EAF"/>
    <w:rsid w:val="4FC777CA"/>
    <w:rsid w:val="50A373DC"/>
    <w:rsid w:val="51961B95"/>
    <w:rsid w:val="51A25D6C"/>
    <w:rsid w:val="522658D4"/>
    <w:rsid w:val="52F330BC"/>
    <w:rsid w:val="53545650"/>
    <w:rsid w:val="54C52BFF"/>
    <w:rsid w:val="556B5DB1"/>
    <w:rsid w:val="57875FD5"/>
    <w:rsid w:val="579D51B3"/>
    <w:rsid w:val="585D2FF4"/>
    <w:rsid w:val="5A29301E"/>
    <w:rsid w:val="5B47788C"/>
    <w:rsid w:val="5BB94C1C"/>
    <w:rsid w:val="5C24331F"/>
    <w:rsid w:val="5C6A1EF5"/>
    <w:rsid w:val="5CD27859"/>
    <w:rsid w:val="605F3DDE"/>
    <w:rsid w:val="60610BDB"/>
    <w:rsid w:val="619D2683"/>
    <w:rsid w:val="61A9045A"/>
    <w:rsid w:val="62775E50"/>
    <w:rsid w:val="63340B4D"/>
    <w:rsid w:val="64883C09"/>
    <w:rsid w:val="64A47AAA"/>
    <w:rsid w:val="664C752A"/>
    <w:rsid w:val="666064CD"/>
    <w:rsid w:val="66A11574"/>
    <w:rsid w:val="67781710"/>
    <w:rsid w:val="67DF31FC"/>
    <w:rsid w:val="68041444"/>
    <w:rsid w:val="68495059"/>
    <w:rsid w:val="68F80D0D"/>
    <w:rsid w:val="6A3229FD"/>
    <w:rsid w:val="6A651FB1"/>
    <w:rsid w:val="6A936368"/>
    <w:rsid w:val="6C6D165C"/>
    <w:rsid w:val="6CD845FD"/>
    <w:rsid w:val="717473A2"/>
    <w:rsid w:val="71B10530"/>
    <w:rsid w:val="7229608C"/>
    <w:rsid w:val="72723293"/>
    <w:rsid w:val="73D06176"/>
    <w:rsid w:val="74764DCF"/>
    <w:rsid w:val="750D0B3F"/>
    <w:rsid w:val="75862283"/>
    <w:rsid w:val="75E1382A"/>
    <w:rsid w:val="760A5A5D"/>
    <w:rsid w:val="76DA1E34"/>
    <w:rsid w:val="775245E8"/>
    <w:rsid w:val="77764D14"/>
    <w:rsid w:val="77854826"/>
    <w:rsid w:val="794477ED"/>
    <w:rsid w:val="79982F8C"/>
    <w:rsid w:val="7C011CEA"/>
    <w:rsid w:val="7D337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ind w:firstLine="0" w:firstLineChars="0"/>
      <w:jc w:val="center"/>
      <w:outlineLvl w:val="0"/>
    </w:pPr>
    <w:rPr>
      <w:rFonts w:ascii="方正小标宋_GBK" w:hAnsi="方正小标宋_GBK" w:eastAsia="方正小标宋_GBK" w:cs="方正小标宋_GBK"/>
      <w:kern w:val="0"/>
      <w:sz w:val="44"/>
      <w:szCs w:val="44"/>
    </w:rPr>
  </w:style>
  <w:style w:type="paragraph" w:styleId="5">
    <w:name w:val="heading 2"/>
    <w:basedOn w:val="1"/>
    <w:next w:val="1"/>
    <w:unhideWhenUsed/>
    <w:qFormat/>
    <w:uiPriority w:val="0"/>
    <w:pPr>
      <w:keepNext/>
      <w:keepLines/>
      <w:spacing w:line="600" w:lineRule="exact"/>
      <w:outlineLvl w:val="1"/>
    </w:pPr>
    <w:rPr>
      <w:rFonts w:ascii="方正黑体_GBK" w:hAnsi="方正黑体_GBK" w:eastAsia="方正黑体_GBK"/>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6">
    <w:name w:val="Normal Indent"/>
    <w:basedOn w:val="1"/>
    <w:qFormat/>
    <w:uiPriority w:val="0"/>
    <w:pPr>
      <w:ind w:firstLine="420" w:firstLineChars="200"/>
    </w:pPr>
  </w:style>
  <w:style w:type="paragraph" w:styleId="7">
    <w:name w:val="Body Text"/>
    <w:basedOn w:val="1"/>
    <w:next w:val="8"/>
    <w:qFormat/>
    <w:uiPriority w:val="0"/>
    <w:pPr>
      <w:spacing w:before="134"/>
      <w:ind w:left="111"/>
    </w:pPr>
    <w:rPr>
      <w:rFonts w:ascii="方正仿宋_GBK" w:hAnsi="方正仿宋_GBK"/>
      <w:sz w:val="31"/>
      <w:szCs w:val="31"/>
    </w:rPr>
  </w:style>
  <w:style w:type="paragraph" w:styleId="8">
    <w:name w:val="Body Text First Indent"/>
    <w:basedOn w:val="7"/>
    <w:next w:val="7"/>
    <w:qFormat/>
    <w:uiPriority w:val="0"/>
    <w:pPr>
      <w:spacing w:after="0"/>
      <w:ind w:firstLine="720"/>
    </w:pPr>
    <w:rPr>
      <w:rFonts w:ascii="楷体_GB2312" w:eastAsia="楷体_GB2312"/>
      <w:sz w:val="32"/>
      <w:szCs w:val="20"/>
    </w:rPr>
  </w:style>
  <w:style w:type="paragraph" w:styleId="9">
    <w:name w:val="Body Text Indent"/>
    <w:basedOn w:val="1"/>
    <w:unhideWhenUsed/>
    <w:qFormat/>
    <w:uiPriority w:val="99"/>
    <w:pPr>
      <w:spacing w:after="120"/>
      <w:ind w:left="420" w:leftChars="200"/>
    </w:pPr>
  </w:style>
  <w:style w:type="paragraph" w:styleId="10">
    <w:name w:val="Plain Text"/>
    <w:basedOn w:val="1"/>
    <w:unhideWhenUsed/>
    <w:qFormat/>
    <w:uiPriority w:val="99"/>
    <w:rPr>
      <w:rFonts w:ascii="宋体" w:hAnsi="Courier New" w:cs="Courier New"/>
      <w:szCs w:val="21"/>
    </w:rPr>
  </w:style>
  <w:style w:type="paragraph" w:styleId="11">
    <w:name w:val="footer"/>
    <w:basedOn w:val="1"/>
    <w:next w:val="12"/>
    <w:link w:val="29"/>
    <w:qFormat/>
    <w:uiPriority w:val="0"/>
    <w:pPr>
      <w:tabs>
        <w:tab w:val="center" w:pos="4153"/>
        <w:tab w:val="right" w:pos="8306"/>
      </w:tabs>
      <w:snapToGrid w:val="0"/>
      <w:jc w:val="left"/>
    </w:pPr>
    <w:rPr>
      <w:sz w:val="18"/>
      <w:szCs w:val="18"/>
    </w:rPr>
  </w:style>
  <w:style w:type="paragraph" w:customStyle="1" w:styleId="12">
    <w:name w:val="索引 51"/>
    <w:basedOn w:val="1"/>
    <w:next w:val="1"/>
    <w:qFormat/>
    <w:uiPriority w:val="0"/>
    <w:pPr>
      <w:ind w:left="1680"/>
    </w:p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index 7"/>
    <w:basedOn w:val="1"/>
    <w:next w:val="1"/>
    <w:qFormat/>
    <w:uiPriority w:val="0"/>
    <w:pPr>
      <w:ind w:left="1200" w:leftChars="1200"/>
    </w:pPr>
  </w:style>
  <w:style w:type="paragraph" w:styleId="16">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next w:val="1"/>
    <w:qFormat/>
    <w:uiPriority w:val="10"/>
    <w:pPr>
      <w:widowControl w:val="0"/>
      <w:spacing w:before="240" w:after="60" w:line="640" w:lineRule="exact"/>
      <w:jc w:val="center"/>
      <w:outlineLvl w:val="0"/>
    </w:pPr>
    <w:rPr>
      <w:rFonts w:ascii="Cambria" w:hAnsi="Cambria" w:eastAsia="方正小标宋简体" w:cs="Times New Roman"/>
      <w:kern w:val="2"/>
      <w:sz w:val="44"/>
      <w:szCs w:val="44"/>
      <w:lang w:val="en-US" w:eastAsia="zh-CN" w:bidi="ar-SA"/>
    </w:rPr>
  </w:style>
  <w:style w:type="paragraph" w:styleId="19">
    <w:name w:val="Body Text First Indent 2"/>
    <w:basedOn w:val="9"/>
    <w:unhideWhenUsed/>
    <w:qFormat/>
    <w:uiPriority w:val="99"/>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默认"/>
    <w:qFormat/>
    <w:uiPriority w:val="0"/>
    <w:rPr>
      <w:rFonts w:ascii="Helvetica" w:hAnsi="Helvetica" w:eastAsia="Helvetica" w:cs="Helvetica"/>
      <w:color w:val="000000"/>
      <w:sz w:val="22"/>
      <w:szCs w:val="22"/>
      <w:lang w:val="en-US" w:eastAsia="zh-CN" w:bidi="ar-SA"/>
    </w:rPr>
  </w:style>
  <w:style w:type="paragraph" w:customStyle="1" w:styleId="26">
    <w:name w:val="BodyText"/>
    <w:basedOn w:val="1"/>
    <w:qFormat/>
    <w:uiPriority w:val="99"/>
    <w:pPr>
      <w:autoSpaceDE/>
      <w:autoSpaceDN/>
      <w:jc w:val="both"/>
    </w:pPr>
    <w:rPr>
      <w:rFonts w:ascii="Calibri" w:hAnsi="Calibri" w:eastAsia="宋体" w:cs="Times New Roman"/>
      <w:kern w:val="2"/>
      <w:sz w:val="21"/>
      <w:lang w:val="en-US" w:bidi="ar-SA"/>
    </w:rPr>
  </w:style>
  <w:style w:type="paragraph" w:customStyle="1" w:styleId="27">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eastAsia="宋体"/>
      <w:sz w:val="24"/>
    </w:rPr>
  </w:style>
  <w:style w:type="character" w:customStyle="1" w:styleId="28">
    <w:name w:val="页眉 Char"/>
    <w:basedOn w:val="22"/>
    <w:link w:val="13"/>
    <w:qFormat/>
    <w:uiPriority w:val="0"/>
    <w:rPr>
      <w:kern w:val="2"/>
      <w:sz w:val="18"/>
      <w:szCs w:val="18"/>
    </w:rPr>
  </w:style>
  <w:style w:type="character" w:customStyle="1" w:styleId="29">
    <w:name w:val="页脚 Char"/>
    <w:basedOn w:val="22"/>
    <w:link w:val="11"/>
    <w:qFormat/>
    <w:uiPriority w:val="0"/>
    <w:rPr>
      <w:kern w:val="2"/>
      <w:sz w:val="18"/>
      <w:szCs w:val="18"/>
    </w:rPr>
  </w:style>
  <w:style w:type="paragraph" w:styleId="30">
    <w:name w:val="List Paragraph"/>
    <w:basedOn w:val="1"/>
    <w:unhideWhenUsed/>
    <w:qFormat/>
    <w:uiPriority w:val="99"/>
    <w:pPr>
      <w:ind w:firstLine="420" w:firstLineChars="200"/>
    </w:pPr>
  </w:style>
  <w:style w:type="paragraph" w:customStyle="1" w:styleId="31">
    <w:name w:val="Body text|1"/>
    <w:basedOn w:val="1"/>
    <w:qFormat/>
    <w:uiPriority w:val="0"/>
    <w:pPr>
      <w:spacing w:line="420" w:lineRule="auto"/>
      <w:ind w:firstLine="400"/>
      <w:jc w:val="left"/>
    </w:pPr>
    <w:rPr>
      <w:rFonts w:ascii="宋体" w:hAnsi="宋体" w:cs="宋体"/>
      <w:kern w:val="0"/>
      <w:sz w:val="30"/>
      <w:szCs w:val="30"/>
      <w:lang w:val="zh-TW" w:eastAsia="zh-TW" w:bidi="zh-TW"/>
    </w:rPr>
  </w:style>
  <w:style w:type="character" w:customStyle="1" w:styleId="32">
    <w:name w:val="font11"/>
    <w:basedOn w:val="22"/>
    <w:qFormat/>
    <w:uiPriority w:val="0"/>
    <w:rPr>
      <w:rFonts w:hint="default" w:ascii="方正仿宋_GBK" w:hAnsi="方正仿宋_GBK" w:eastAsia="方正仿宋_GBK" w:cs="方正仿宋_GBK"/>
      <w:color w:val="000000"/>
      <w:sz w:val="24"/>
      <w:szCs w:val="24"/>
      <w:u w:val="none"/>
    </w:rPr>
  </w:style>
  <w:style w:type="character" w:customStyle="1" w:styleId="33">
    <w:name w:val="font41"/>
    <w:basedOn w:val="22"/>
    <w:qFormat/>
    <w:uiPriority w:val="0"/>
    <w:rPr>
      <w:rFonts w:hint="default" w:ascii="Times New Roman" w:hAnsi="Times New Roman" w:cs="Times New Roman"/>
      <w:color w:val="000000"/>
      <w:sz w:val="24"/>
      <w:szCs w:val="24"/>
      <w:u w:val="none"/>
    </w:rPr>
  </w:style>
  <w:style w:type="character" w:customStyle="1" w:styleId="34">
    <w:name w:val="_Style 3"/>
    <w:basedOn w:val="22"/>
    <w:qFormat/>
    <w:uiPriority w:val="31"/>
    <w:rPr>
      <w:smallCaps/>
      <w:color w:val="C0504D"/>
      <w:u w:val="single"/>
    </w:rPr>
  </w:style>
  <w:style w:type="character" w:customStyle="1" w:styleId="3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6">
    <w:name w:val="PlainText"/>
    <w:basedOn w:val="1"/>
    <w:qFormat/>
    <w:uiPriority w:val="0"/>
    <w:pPr>
      <w:jc w:val="both"/>
      <w:textAlignment w:val="baseline"/>
    </w:pPr>
    <w:rPr>
      <w:rFonts w:ascii="宋体"/>
      <w:kern w:val="2"/>
      <w:sz w:val="21"/>
      <w:szCs w:val="24"/>
      <w:lang w:val="en-US" w:eastAsia="zh-CN" w:bidi="ar-SA"/>
    </w:rPr>
  </w:style>
  <w:style w:type="paragraph" w:customStyle="1" w:styleId="37">
    <w:name w:val="p0"/>
    <w:basedOn w:val="1"/>
    <w:qFormat/>
    <w:uiPriority w:val="0"/>
    <w:pPr>
      <w:widowControl/>
    </w:pPr>
    <w:rPr>
      <w:rFonts w:ascii="Calibri" w:hAnsi="Calibri" w:cs="宋体"/>
      <w:kern w:val="0"/>
      <w:szCs w:val="21"/>
    </w:rPr>
  </w:style>
  <w:style w:type="paragraph" w:styleId="38">
    <w:name w:val="No Spacing"/>
    <w:next w:val="1"/>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39">
    <w:name w:val="列表段落1"/>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character" w:customStyle="1" w:styleId="40">
    <w:name w:val="font21"/>
    <w:basedOn w:val="22"/>
    <w:qFormat/>
    <w:uiPriority w:val="0"/>
    <w:rPr>
      <w:rFonts w:hint="eastAsia" w:ascii="方正仿宋_GBK" w:hAnsi="方正仿宋_GBK" w:eastAsia="方正仿宋_GBK" w:cs="方正仿宋_GBK"/>
      <w:color w:val="000000"/>
      <w:sz w:val="28"/>
      <w:szCs w:val="28"/>
      <w:u w:val="none"/>
    </w:rPr>
  </w:style>
  <w:style w:type="character" w:customStyle="1" w:styleId="41">
    <w:name w:val="font31"/>
    <w:basedOn w:val="22"/>
    <w:qFormat/>
    <w:uiPriority w:val="0"/>
    <w:rPr>
      <w:rFonts w:hint="eastAsia" w:ascii="方正仿宋_GBK" w:hAnsi="方正仿宋_GBK" w:eastAsia="方正仿宋_GBK" w:cs="方正仿宋_GBK"/>
      <w:color w:val="000000"/>
      <w:sz w:val="28"/>
      <w:szCs w:val="28"/>
      <w:u w:val="single"/>
    </w:rPr>
  </w:style>
  <w:style w:type="paragraph" w:customStyle="1" w:styleId="42">
    <w:name w:val="Body Text First Indent1"/>
    <w:basedOn w:val="7"/>
    <w:next w:val="13"/>
    <w:qFormat/>
    <w:uiPriority w:val="0"/>
    <w:pPr>
      <w:spacing w:after="0"/>
      <w:ind w:firstLine="420" w:firstLineChars="100"/>
    </w:pPr>
    <w:rPr>
      <w:rFonts w:hint="eastAsia" w:ascii="仿宋_GB231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2313</Words>
  <Characters>2346</Characters>
  <Lines>17</Lines>
  <Paragraphs>4</Paragraphs>
  <TotalTime>1</TotalTime>
  <ScaleCrop>false</ScaleCrop>
  <LinksUpToDate>false</LinksUpToDate>
  <CharactersWithSpaces>2365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2021-01-14T09:20:00Z</dcterms:created>
  <dc:creator>Administrator</dc:creator>
  <cp:lastModifiedBy>user</cp:lastModifiedBy>
  <cp:lastPrinted>2023-12-01T10:10:00Z</cp:lastPrinted>
  <dcterms:modified xsi:type="dcterms:W3CDTF">2024-05-13T17:07:49Z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468277494_btnclosed</vt:lpwstr>
  </property>
  <property fmtid="{D5CDD505-2E9C-101B-9397-08002B2CF9AE}" pid="4" name="ICV">
    <vt:lpwstr>A40D3BBE575A465BA8D0A7FAAE16BE87_13</vt:lpwstr>
  </property>
</Properties>
</file>