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833755</wp:posOffset>
                </wp:positionV>
                <wp:extent cx="56388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.85pt;margin-top:65.65pt;height:0pt;width:444pt;z-index:251660288;mso-width-relative:page;mso-height-relative:page;" filled="f" stroked="t" coordsize="21600,21600" o:gfxdata="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/wd49YAAAAKAQAADwAAAAAAAAABACAAAAAiAAAAZHJzL2Rvd25yZXYueG1sUEsB&#10;AhQAFAAAAAgAh07iQCN1noH3AQAA5QMAAA4AAAAAAAAAAQAgAAAAJQ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w:pict>
          <v:shape id="AutoShape 9" o:spid="_x0000_s1026" o:spt="136" type="#_x0000_t136" style="position:absolute;left:0pt;margin-left:20.3pt;margin-top:-90.25pt;height:56.65pt;width:444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石柱土家族自治县三河镇人民政府文件" style="font-family:宋体;font-size:28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eastAsia="zh-CN"/>
        </w:rPr>
        <w:t>三河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eastAsia="zh-CN"/>
        </w:rPr>
        <w:t>安委办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eastAsia="zh-CN"/>
        </w:rPr>
        <w:t>发〔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val="en-US" w:eastAsia="zh-CN"/>
        </w:rPr>
        <w:t>59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594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三河镇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人民政府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94" w:lineRule="exact"/>
        <w:jc w:val="center"/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 xml:space="preserve">关于印发《三河镇2024年全国防灾减灾日宣传活动暨2024年度重庆市“地震科普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94" w:lineRule="exact"/>
        <w:jc w:val="center"/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携手同行”主题活动方案》的通知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各村（社区）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政府各科室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辖区各企事业单位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现将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《三河镇2024年全国防灾减灾日宣传活动暨2024年度重庆市“地震科普 携手同行”主题活动方案》印发给你们，请配合做好我镇防灾减灾相关活动。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5440" w:firstLineChars="17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三河镇人民政府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5440" w:firstLineChars="17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right="0"/>
        <w:textAlignment w:val="auto"/>
        <w:rPr>
          <w:rFonts w:hint="default" w:ascii="Times New Roman" w:hAnsi="Times New Roman" w:eastAsia="方正仿宋_GBK" w:cs="Times New Roman"/>
          <w:sz w:val="32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4"/>
          <w:lang w:val="en-US" w:eastAsia="zh-CN"/>
        </w:rPr>
        <w:t>（此件公开发布）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44"/>
          <w:lang w:val="en-US" w:eastAsia="zh-CN"/>
        </w:rPr>
        <w:br w:type="page"/>
      </w:r>
    </w:p>
    <w:tbl>
      <w:tblPr>
        <w:tblStyle w:val="19"/>
        <w:tblpPr w:leftFromText="180" w:rightFromText="180" w:vertAnchor="page" w:horzAnchor="page" w:tblpX="1701" w:tblpY="1433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80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5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三河镇党政办公室                  202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日印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right="0"/>
        <w:textAlignment w:val="auto"/>
        <w:rPr>
          <w:rFonts w:hint="eastAsia" w:ascii="Times New Roman" w:hAnsi="Times New Roman" w:eastAsia="方正仿宋_GBK" w:cs="Times New Roman"/>
          <w:sz w:val="32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4"/>
          <w:lang w:val="en-US" w:eastAsia="zh-CN"/>
        </w:rPr>
        <w:t>（此页无正文）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480" w:firstLineChars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三河镇2024年全国防灾减灾日宣传活动暨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2024年度重庆市“地震科普 携手同行”主题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今年5月12日是第1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个全国防灾减灾日，主题是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人人讲安全、个个会应急—着力提升基层防灾避险能力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，5月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日至1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日为防灾减灾宣传周。为深入贯彻习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近平总书记关于防灾减灾救灾和应急管理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重要论述精神，按照国务院、市委市政府安排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部署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和《重庆市减灾委员会办公室关于202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年全国防灾减灾日宣传活动有关工作的通知》（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渝减办〔20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）精神，为做好今年全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镇防灾减灾日宣传工作，特制定本方案。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firstLine="72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6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6"/>
          <w:szCs w:val="28"/>
        </w:rPr>
        <w:t>一、活动目的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通过开展5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·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12防灾减灾活动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和“地震科普 携手同行”主题活动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坚持传统和新媒体相结合，通过全方位、多角度、立体式宣传活动，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加强公众的防灾减灾意识，提高防灾减灾的重要性和必要性；提高公众的应急反应能力，加强应对灾害的能力和技能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减轻灾害带来的损失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倡导全社会共同参与防灾减灾工作，形成全民防灾减灾的氛围。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28"/>
          <w:lang w:val="en-US" w:eastAsia="zh-CN" w:bidi="ar-SA"/>
        </w:rPr>
        <w:t xml:space="preserve">    二、活动概述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活动时间：2024年5月—12月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活动主题：“人人讲安全、个个会应急——着力提升基层防灾避险能力”暨“地震科普 携手同行”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firstLine="72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6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6"/>
          <w:szCs w:val="28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/>
          <w:sz w:val="36"/>
          <w:szCs w:val="28"/>
        </w:rPr>
        <w:t>、</w:t>
      </w:r>
      <w:r>
        <w:rPr>
          <w:rFonts w:hint="eastAsia" w:ascii="方正黑体_GBK" w:hAnsi="方正黑体_GBK" w:eastAsia="方正黑体_GBK" w:cs="方正黑体_GBK"/>
          <w:b w:val="0"/>
          <w:bCs/>
          <w:sz w:val="36"/>
          <w:szCs w:val="28"/>
          <w:lang w:val="en-US" w:eastAsia="zh-CN"/>
        </w:rPr>
        <w:t>活动内容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（一）开展救援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演练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时间：2024年5月底前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地点：各组织单位自行确定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镇政府和镇应急办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的指导下，组织社区、学校等单位开展防灾演练，让参与者了解应对自然灾害的方法和技能，并在演练中检验灾害应急处理能力。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（二）防灾减灾日集中宣传活动暨2024年度重庆市“地震科普 携手同行”主题活动启动仪式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时间：2024年5月9日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地点：三店社区寨坡桥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防灾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知识宣传及应急物资展示，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邀请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应急管理专家和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县消防救援大队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人员，为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民众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讲解常见自然灾害的防范措施和应急处理方法，提高参与者的防灾意识和技能。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并在场所两侧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展示各种应急物资，让参观者了解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体验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应急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救援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物资的种类和使用方法，提高公众的应急准备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和自救互救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</w:rPr>
        <w:t>能力。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进行防灾减灾文艺演出和科普知识有奖竞猜活动。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（三）“地震科普 携手同行”主题活动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时间：2024年5月--11月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活动内容：举行“五个一”系列活动（捐赠一套书或一批科普宣传品，举办一场讲座，举行一次演练，开展一次主题班会，举办一场防灾减灾知识竞赛），举办主题征文活动，创建科普示范学校。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（四）深入开展“五进”宣传活动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结合“五进”宣传活动，利用赶场日、工作日、上课日等时机，深入企业、学校、社区、家庭发放宣传资料及相关宣传品。广泛发动基层消防救援人员、劝导员、灾害信息员、社区网格员等基层力量，深入社区、学校、沿街店铺、群租房等重点单位场所开展“敲门行动”“入户提醒”“上门培训”活动，面对面宣讲灾害事故危害和安全防范技能，提升公众安全意识和应急处置能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（五）发布主题宣传片、标语、海报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充分利用广播电视、互联网、“两微一端”等传播载体集中推送防灾减灾题材的动漫游戏、短视频、影视剧等科普作品，在社区、广场公园、交通枢纽、商业综合体等重点场所张贴悬挂安全标语、挂图或播放防灾减灾公益宣传片等，持续扩大宣传声势。注重激发媒体融合活力，加强防灾减灾救灾成就和经验做法宣传报道，强化正向引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（六）抓细抓实灾害隐患排查整治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深入排查灾害事故风险隐患，紧盯重要目标、高危部位，强化安全漏洞整改，把群众发动起来，广泛参与地质灾害隐患点监测、防汛设施巡查、森林草原火险管控等群测群防工作，主动发现和举报灾害风险隐患。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24"/>
          <w:lang w:val="en-US" w:eastAsia="zh-CN" w:bidi="ar-SA"/>
        </w:rPr>
        <w:t>四、活动要求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各单位要以防灾减灾日宣传周为契机，建立健全全民防灾减灾宣传培训的长效机制，将防灾减灾宣传常态化、长期化、长效化。由镇安委办于5月15日前向县应急局报送宣传周活动方案和总结。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10" w:lineRule="atLeast"/>
        <w:ind w:right="0" w:firstLine="640" w:firstLineChars="200"/>
        <w:jc w:val="both"/>
        <w:rPr>
          <w:rFonts w:hint="eastAsia" w:ascii="方正仿宋_GBK" w:hAnsi="方正仿宋_GBK" w:cs="方正仿宋_GBK"/>
          <w:b w:val="0"/>
          <w:bCs/>
          <w:kern w:val="2"/>
          <w:sz w:val="32"/>
          <w:szCs w:val="24"/>
          <w:lang w:val="en-US" w:eastAsia="zh-CN" w:bidi="ar-SA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附件：2024年度重庆市“地震科普 携手同行”主题活动工作方案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84" w:right="1446" w:bottom="1644" w:left="1446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84225" cy="6318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225" cy="631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9.75pt;width:61.75pt;mso-position-horizontal:outside;mso-position-horizontal-relative:margin;z-index:251659264;mso-width-relative:page;mso-height-relative:page;" filled="f" stroked="f" coordsize="21600,21600" o:gfxdata="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w7a3t1QAAAAQBAAAPAAAAAAAAAAEAIAAAACIAAABkcnMvZG93bnJldi54&#10;bWxQSwECFAAUAAAACACHTuJAXD11jz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Yzk4YTdjZTEyMjIzMTYwZGQ3YTM4ZjFjYmI5YzcifQ=="/>
  </w:docVars>
  <w:rsids>
    <w:rsidRoot w:val="29CD0E23"/>
    <w:rsid w:val="0000151B"/>
    <w:rsid w:val="00013BE9"/>
    <w:rsid w:val="00042993"/>
    <w:rsid w:val="00067C2F"/>
    <w:rsid w:val="000757C5"/>
    <w:rsid w:val="00075DB9"/>
    <w:rsid w:val="000A7374"/>
    <w:rsid w:val="001252B8"/>
    <w:rsid w:val="00174F7C"/>
    <w:rsid w:val="001A0FEB"/>
    <w:rsid w:val="001C725A"/>
    <w:rsid w:val="002A1ECC"/>
    <w:rsid w:val="002D27B3"/>
    <w:rsid w:val="0038174C"/>
    <w:rsid w:val="00381E23"/>
    <w:rsid w:val="00413B8E"/>
    <w:rsid w:val="00415EC7"/>
    <w:rsid w:val="0051719F"/>
    <w:rsid w:val="00554335"/>
    <w:rsid w:val="00561C99"/>
    <w:rsid w:val="00661EEC"/>
    <w:rsid w:val="006F08A2"/>
    <w:rsid w:val="0073583E"/>
    <w:rsid w:val="0075645B"/>
    <w:rsid w:val="007776C3"/>
    <w:rsid w:val="008363AA"/>
    <w:rsid w:val="00892E3C"/>
    <w:rsid w:val="009322A5"/>
    <w:rsid w:val="009A6AD7"/>
    <w:rsid w:val="00A96ECC"/>
    <w:rsid w:val="00AC4EE1"/>
    <w:rsid w:val="00B22036"/>
    <w:rsid w:val="00C307A1"/>
    <w:rsid w:val="00CA314E"/>
    <w:rsid w:val="00CC3CDF"/>
    <w:rsid w:val="00D14377"/>
    <w:rsid w:val="00D16078"/>
    <w:rsid w:val="00D620A5"/>
    <w:rsid w:val="00D720E8"/>
    <w:rsid w:val="00E56406"/>
    <w:rsid w:val="00E7437A"/>
    <w:rsid w:val="00EE3321"/>
    <w:rsid w:val="00F315A3"/>
    <w:rsid w:val="00F36741"/>
    <w:rsid w:val="00F702A9"/>
    <w:rsid w:val="014C0212"/>
    <w:rsid w:val="02285B9D"/>
    <w:rsid w:val="026E67DA"/>
    <w:rsid w:val="030F250C"/>
    <w:rsid w:val="05644E7E"/>
    <w:rsid w:val="06954613"/>
    <w:rsid w:val="07510366"/>
    <w:rsid w:val="0835623B"/>
    <w:rsid w:val="08C061AB"/>
    <w:rsid w:val="08CF3EFD"/>
    <w:rsid w:val="0B8E7C3B"/>
    <w:rsid w:val="0BC0109E"/>
    <w:rsid w:val="0C940130"/>
    <w:rsid w:val="0D7E74C6"/>
    <w:rsid w:val="0DDC4C20"/>
    <w:rsid w:val="0E924C9E"/>
    <w:rsid w:val="0F7C6194"/>
    <w:rsid w:val="108C3A55"/>
    <w:rsid w:val="11F40118"/>
    <w:rsid w:val="12296C27"/>
    <w:rsid w:val="127C79C0"/>
    <w:rsid w:val="14742171"/>
    <w:rsid w:val="164179B3"/>
    <w:rsid w:val="16E7613E"/>
    <w:rsid w:val="17D64924"/>
    <w:rsid w:val="183909B1"/>
    <w:rsid w:val="18CD5B84"/>
    <w:rsid w:val="191E2538"/>
    <w:rsid w:val="19C71940"/>
    <w:rsid w:val="1AC5282E"/>
    <w:rsid w:val="1B8C61A4"/>
    <w:rsid w:val="1D856ED3"/>
    <w:rsid w:val="1E462261"/>
    <w:rsid w:val="1E51340E"/>
    <w:rsid w:val="1E596662"/>
    <w:rsid w:val="204C046C"/>
    <w:rsid w:val="206421A0"/>
    <w:rsid w:val="209C3CF2"/>
    <w:rsid w:val="212C3699"/>
    <w:rsid w:val="23101ECA"/>
    <w:rsid w:val="246D2F01"/>
    <w:rsid w:val="24A87F90"/>
    <w:rsid w:val="25750E0D"/>
    <w:rsid w:val="26FA236E"/>
    <w:rsid w:val="271C1D6A"/>
    <w:rsid w:val="276A479E"/>
    <w:rsid w:val="277377CC"/>
    <w:rsid w:val="28192504"/>
    <w:rsid w:val="289D2D08"/>
    <w:rsid w:val="29CD0E23"/>
    <w:rsid w:val="29D45E69"/>
    <w:rsid w:val="2AF41150"/>
    <w:rsid w:val="2BEB7198"/>
    <w:rsid w:val="2EED75B7"/>
    <w:rsid w:val="2F0A7A2A"/>
    <w:rsid w:val="2F9A7BA6"/>
    <w:rsid w:val="2FEC4F4B"/>
    <w:rsid w:val="30346DE9"/>
    <w:rsid w:val="309C1D02"/>
    <w:rsid w:val="32F944F3"/>
    <w:rsid w:val="35242E7F"/>
    <w:rsid w:val="357572DA"/>
    <w:rsid w:val="368F4DEA"/>
    <w:rsid w:val="36FF033E"/>
    <w:rsid w:val="37D636A5"/>
    <w:rsid w:val="3D100730"/>
    <w:rsid w:val="3D972DB2"/>
    <w:rsid w:val="3DDD60D7"/>
    <w:rsid w:val="3E680512"/>
    <w:rsid w:val="3E7E4255"/>
    <w:rsid w:val="3F636573"/>
    <w:rsid w:val="3F9132B6"/>
    <w:rsid w:val="40E92FBC"/>
    <w:rsid w:val="41697CB6"/>
    <w:rsid w:val="4178337A"/>
    <w:rsid w:val="42733C91"/>
    <w:rsid w:val="42972E51"/>
    <w:rsid w:val="4367476C"/>
    <w:rsid w:val="439B0E0B"/>
    <w:rsid w:val="443A5726"/>
    <w:rsid w:val="44C27B38"/>
    <w:rsid w:val="452E4FCD"/>
    <w:rsid w:val="45EC658C"/>
    <w:rsid w:val="46BD6C51"/>
    <w:rsid w:val="46DE5624"/>
    <w:rsid w:val="476C4C11"/>
    <w:rsid w:val="488E7657"/>
    <w:rsid w:val="497B5C05"/>
    <w:rsid w:val="49BB57A5"/>
    <w:rsid w:val="4A8049EB"/>
    <w:rsid w:val="4B26102D"/>
    <w:rsid w:val="4C0E5BB6"/>
    <w:rsid w:val="4CBD0462"/>
    <w:rsid w:val="4E974390"/>
    <w:rsid w:val="4E986A04"/>
    <w:rsid w:val="4F134EAF"/>
    <w:rsid w:val="4FC777CA"/>
    <w:rsid w:val="50A373DC"/>
    <w:rsid w:val="51961B95"/>
    <w:rsid w:val="51A25D6C"/>
    <w:rsid w:val="522658D4"/>
    <w:rsid w:val="52F330BC"/>
    <w:rsid w:val="53545650"/>
    <w:rsid w:val="54C52BFF"/>
    <w:rsid w:val="556B5DB1"/>
    <w:rsid w:val="57875FD5"/>
    <w:rsid w:val="579D51B3"/>
    <w:rsid w:val="585D2FF4"/>
    <w:rsid w:val="5A29301E"/>
    <w:rsid w:val="5B47788C"/>
    <w:rsid w:val="5BB94C1C"/>
    <w:rsid w:val="5C24331F"/>
    <w:rsid w:val="5C6A1EF5"/>
    <w:rsid w:val="5CD27859"/>
    <w:rsid w:val="605F3DDE"/>
    <w:rsid w:val="60610BDB"/>
    <w:rsid w:val="619D2683"/>
    <w:rsid w:val="61A9045A"/>
    <w:rsid w:val="62775E50"/>
    <w:rsid w:val="63340B4D"/>
    <w:rsid w:val="64883C09"/>
    <w:rsid w:val="64A47AAA"/>
    <w:rsid w:val="664C752A"/>
    <w:rsid w:val="666064CD"/>
    <w:rsid w:val="66A11574"/>
    <w:rsid w:val="67781710"/>
    <w:rsid w:val="68041444"/>
    <w:rsid w:val="68495059"/>
    <w:rsid w:val="68F80D0D"/>
    <w:rsid w:val="6A3229FD"/>
    <w:rsid w:val="6A651FB1"/>
    <w:rsid w:val="6A936368"/>
    <w:rsid w:val="6C6D165C"/>
    <w:rsid w:val="6CD845FD"/>
    <w:rsid w:val="71B10530"/>
    <w:rsid w:val="7229608C"/>
    <w:rsid w:val="72723293"/>
    <w:rsid w:val="73D06176"/>
    <w:rsid w:val="74764DCF"/>
    <w:rsid w:val="750D0B3F"/>
    <w:rsid w:val="75862283"/>
    <w:rsid w:val="75E1382A"/>
    <w:rsid w:val="760A5A5D"/>
    <w:rsid w:val="76DA1E34"/>
    <w:rsid w:val="775245E8"/>
    <w:rsid w:val="77764D14"/>
    <w:rsid w:val="77854826"/>
    <w:rsid w:val="794477ED"/>
    <w:rsid w:val="79982F8C"/>
    <w:rsid w:val="7C011CEA"/>
    <w:rsid w:val="7D3373DB"/>
    <w:rsid w:val="7E4C3B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kern w:val="0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line="600" w:lineRule="exact"/>
      <w:outlineLvl w:val="1"/>
    </w:pPr>
    <w:rPr>
      <w:rFonts w:ascii="方正黑体_GBK" w:hAnsi="方正黑体_GBK" w:eastAsia="方正黑体_GBK"/>
    </w:rPr>
  </w:style>
  <w:style w:type="paragraph" w:styleId="6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3">
    <w:name w:val="Body Text"/>
    <w:basedOn w:val="1"/>
    <w:next w:val="1"/>
    <w:autoRedefine/>
    <w:qFormat/>
    <w:uiPriority w:val="0"/>
    <w:pPr>
      <w:spacing w:before="134"/>
      <w:ind w:left="111"/>
    </w:pPr>
    <w:rPr>
      <w:rFonts w:ascii="方正仿宋_GBK" w:hAnsi="方正仿宋_GBK"/>
      <w:sz w:val="31"/>
      <w:szCs w:val="31"/>
    </w:rPr>
  </w:style>
  <w:style w:type="paragraph" w:styleId="7">
    <w:name w:val="Normal Indent"/>
    <w:basedOn w:val="1"/>
    <w:autoRedefine/>
    <w:qFormat/>
    <w:uiPriority w:val="0"/>
    <w:pPr>
      <w:ind w:firstLine="420" w:firstLineChars="200"/>
    </w:pPr>
  </w:style>
  <w:style w:type="paragraph" w:styleId="8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9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10">
    <w:name w:val="footer"/>
    <w:basedOn w:val="1"/>
    <w:next w:val="11"/>
    <w:link w:val="2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索引 51"/>
    <w:basedOn w:val="1"/>
    <w:next w:val="1"/>
    <w:autoRedefine/>
    <w:qFormat/>
    <w:uiPriority w:val="0"/>
    <w:pPr>
      <w:ind w:left="1680"/>
    </w:pPr>
  </w:style>
  <w:style w:type="paragraph" w:styleId="12">
    <w:name w:val="header"/>
    <w:basedOn w:val="1"/>
    <w:link w:val="2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unhideWhenUsed/>
    <w:qFormat/>
    <w:uiPriority w:val="39"/>
  </w:style>
  <w:style w:type="paragraph" w:styleId="14">
    <w:name w:val="index 7"/>
    <w:basedOn w:val="1"/>
    <w:next w:val="1"/>
    <w:autoRedefine/>
    <w:qFormat/>
    <w:uiPriority w:val="0"/>
    <w:pPr>
      <w:ind w:left="1200" w:leftChars="1200"/>
    </w:pPr>
  </w:style>
  <w:style w:type="paragraph" w:styleId="1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6">
    <w:name w:val="Title"/>
    <w:next w:val="1"/>
    <w:autoRedefine/>
    <w:qFormat/>
    <w:uiPriority w:val="10"/>
    <w:pPr>
      <w:widowControl w:val="0"/>
      <w:spacing w:before="240" w:after="60" w:line="640" w:lineRule="exact"/>
      <w:jc w:val="center"/>
      <w:outlineLvl w:val="0"/>
    </w:pPr>
    <w:rPr>
      <w:rFonts w:ascii="Cambria" w:hAnsi="Cambria" w:eastAsia="方正小标宋简体" w:cs="Times New Roman"/>
      <w:kern w:val="2"/>
      <w:sz w:val="44"/>
      <w:szCs w:val="44"/>
      <w:lang w:val="en-US" w:eastAsia="zh-CN" w:bidi="ar-SA"/>
    </w:rPr>
  </w:style>
  <w:style w:type="paragraph" w:styleId="17">
    <w:name w:val="Body Text First Indent"/>
    <w:basedOn w:val="3"/>
    <w:next w:val="3"/>
    <w:autoRedefine/>
    <w:qFormat/>
    <w:uiPriority w:val="0"/>
    <w:pPr>
      <w:spacing w:after="0"/>
      <w:ind w:firstLine="720"/>
    </w:pPr>
    <w:rPr>
      <w:rFonts w:ascii="楷体_GB2312" w:eastAsia="楷体_GB2312"/>
      <w:sz w:val="32"/>
      <w:szCs w:val="20"/>
    </w:rPr>
  </w:style>
  <w:style w:type="paragraph" w:styleId="18">
    <w:name w:val="Body Text First Indent 2"/>
    <w:basedOn w:val="8"/>
    <w:autoRedefine/>
    <w:unhideWhenUsed/>
    <w:qFormat/>
    <w:uiPriority w:val="99"/>
    <w:pPr>
      <w:ind w:firstLine="420" w:firstLineChars="200"/>
    </w:p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autoRedefine/>
    <w:qFormat/>
    <w:uiPriority w:val="0"/>
  </w:style>
  <w:style w:type="character" w:styleId="23">
    <w:name w:val="Hyperlink"/>
    <w:basedOn w:val="21"/>
    <w:autoRedefine/>
    <w:qFormat/>
    <w:uiPriority w:val="0"/>
    <w:rPr>
      <w:color w:val="0000FF"/>
      <w:u w:val="single"/>
    </w:rPr>
  </w:style>
  <w:style w:type="paragraph" w:customStyle="1" w:styleId="24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5">
    <w:name w:val="BodyText"/>
    <w:basedOn w:val="1"/>
    <w:autoRedefine/>
    <w:qFormat/>
    <w:uiPriority w:val="99"/>
    <w:pPr>
      <w:autoSpaceDE/>
      <w:autoSpaceDN/>
      <w:jc w:val="both"/>
    </w:pPr>
    <w:rPr>
      <w:rFonts w:ascii="Calibri" w:hAnsi="Calibri" w:eastAsia="宋体" w:cs="Times New Roman"/>
      <w:kern w:val="2"/>
      <w:sz w:val="21"/>
      <w:lang w:val="en-US" w:bidi="ar-SA"/>
    </w:rPr>
  </w:style>
  <w:style w:type="paragraph" w:customStyle="1" w:styleId="26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7">
    <w:name w:val="MessageHeader"/>
    <w:basedOn w:val="1"/>
    <w:autoRedefine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ind w:left="1080" w:leftChars="500" w:hanging="1080" w:hangingChars="500"/>
    </w:pPr>
    <w:rPr>
      <w:rFonts w:ascii="Cambria" w:hAnsi="Cambria" w:eastAsia="宋体"/>
      <w:sz w:val="24"/>
    </w:rPr>
  </w:style>
  <w:style w:type="character" w:customStyle="1" w:styleId="28">
    <w:name w:val="页眉 Char"/>
    <w:basedOn w:val="21"/>
    <w:link w:val="12"/>
    <w:autoRedefine/>
    <w:qFormat/>
    <w:uiPriority w:val="0"/>
    <w:rPr>
      <w:kern w:val="2"/>
      <w:sz w:val="18"/>
      <w:szCs w:val="18"/>
    </w:rPr>
  </w:style>
  <w:style w:type="character" w:customStyle="1" w:styleId="29">
    <w:name w:val="页脚 Char"/>
    <w:basedOn w:val="21"/>
    <w:link w:val="10"/>
    <w:autoRedefine/>
    <w:qFormat/>
    <w:uiPriority w:val="0"/>
    <w:rPr>
      <w:kern w:val="2"/>
      <w:sz w:val="18"/>
      <w:szCs w:val="18"/>
    </w:rPr>
  </w:style>
  <w:style w:type="paragraph" w:styleId="3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31">
    <w:name w:val="Body text|1"/>
    <w:basedOn w:val="1"/>
    <w:autoRedefine/>
    <w:qFormat/>
    <w:uiPriority w:val="0"/>
    <w:pPr>
      <w:spacing w:line="420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character" w:customStyle="1" w:styleId="32">
    <w:name w:val="font11"/>
    <w:basedOn w:val="21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3">
    <w:name w:val="font41"/>
    <w:basedOn w:val="2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_Style 3"/>
    <w:basedOn w:val="21"/>
    <w:autoRedefine/>
    <w:qFormat/>
    <w:uiPriority w:val="31"/>
    <w:rPr>
      <w:smallCaps/>
      <w:color w:val="C0504D"/>
      <w:u w:val="single"/>
    </w:rPr>
  </w:style>
  <w:style w:type="character" w:customStyle="1" w:styleId="35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6">
    <w:name w:val="PlainText"/>
    <w:basedOn w:val="1"/>
    <w:autoRedefine/>
    <w:qFormat/>
    <w:uiPriority w:val="0"/>
    <w:pPr>
      <w:jc w:val="both"/>
      <w:textAlignment w:val="baseline"/>
    </w:pPr>
    <w:rPr>
      <w:rFonts w:ascii="宋体"/>
      <w:kern w:val="2"/>
      <w:sz w:val="21"/>
      <w:szCs w:val="24"/>
      <w:lang w:val="en-US" w:eastAsia="zh-CN" w:bidi="ar-SA"/>
    </w:rPr>
  </w:style>
  <w:style w:type="paragraph" w:customStyle="1" w:styleId="37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styleId="38">
    <w:name w:val="No Spacing"/>
    <w:next w:val="1"/>
    <w:autoRedefine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39">
    <w:name w:val="列表段落1"/>
    <w:autoRedefine/>
    <w:qFormat/>
    <w:uiPriority w:val="0"/>
    <w:pPr>
      <w:widowControl w:val="0"/>
      <w:ind w:firstLine="420" w:firstLineChars="20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customStyle="1" w:styleId="40">
    <w:name w:val="font21"/>
    <w:basedOn w:val="21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41">
    <w:name w:val="font31"/>
    <w:basedOn w:val="21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296594-3117-4E14-A2D1-C2E4802D06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2313</Words>
  <Characters>2346</Characters>
  <Lines>17</Lines>
  <Paragraphs>4</Paragraphs>
  <TotalTime>3</TotalTime>
  <ScaleCrop>false</ScaleCrop>
  <LinksUpToDate>false</LinksUpToDate>
  <CharactersWithSpaces>2365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2021-01-14T01:20:00Z</dcterms:created>
  <dc:creator>Administrator</dc:creator>
  <cp:lastModifiedBy>颜华</cp:lastModifiedBy>
  <cp:lastPrinted>2023-12-01T02:10:00Z</cp:lastPrinted>
  <dcterms:modified xsi:type="dcterms:W3CDTF">2024-05-09T02:42:01Z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468277494_btnclosed</vt:lpwstr>
  </property>
  <property fmtid="{D5CDD505-2E9C-101B-9397-08002B2CF9AE}" pid="4" name="ICV">
    <vt:lpwstr>B2E698D2A56444218BEEC76F3AE285E3_13</vt:lpwstr>
  </property>
</Properties>
</file>