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BEF5A">
      <w:pPr>
        <w:spacing w:line="578" w:lineRule="exact"/>
        <w:jc w:val="center"/>
        <w:rPr>
          <w:rFonts w:hint="eastAsia" w:ascii="方正小标宋_GBK" w:hAnsi="华文中宋" w:eastAsia="方正小标宋_GBK" w:cs="华文中宋"/>
          <w:sz w:val="44"/>
          <w:szCs w:val="44"/>
        </w:rPr>
      </w:pPr>
      <w:bookmarkStart w:id="0" w:name="_GoBack"/>
      <w:bookmarkEnd w:id="0"/>
      <w:r>
        <w:rPr>
          <w:rFonts w:hint="eastAsia" w:ascii="方正小标宋_GBK" w:hAnsi="华文中宋" w:eastAsia="方正小标宋_GBK" w:cs="华文中宋"/>
          <w:sz w:val="44"/>
          <w:szCs w:val="44"/>
        </w:rPr>
        <w:t>石柱土家族自治县桥头镇人民政府</w:t>
      </w:r>
    </w:p>
    <w:p w14:paraId="4602F1AC">
      <w:pPr>
        <w:spacing w:line="578"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202</w:t>
      </w:r>
      <w:r>
        <w:rPr>
          <w:rFonts w:hint="eastAsia" w:ascii="Times New Roman" w:hAnsi="Times New Roman" w:eastAsia="方正小标宋_GBK"/>
          <w:sz w:val="44"/>
          <w:szCs w:val="44"/>
          <w:lang w:val="en-US" w:eastAsia="zh-CN"/>
        </w:rPr>
        <w:t>6</w:t>
      </w:r>
      <w:r>
        <w:rPr>
          <w:rFonts w:hint="eastAsia" w:ascii="Times New Roman" w:hAnsi="Times New Roman" w:eastAsia="方正小标宋_GBK"/>
          <w:sz w:val="44"/>
          <w:szCs w:val="44"/>
        </w:rPr>
        <w:t>年部门预算情况说明</w:t>
      </w:r>
    </w:p>
    <w:p w14:paraId="3271A28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黑体_GBK" w:cs="Times New Roman"/>
          <w:sz w:val="32"/>
          <w:szCs w:val="32"/>
        </w:rPr>
      </w:pPr>
    </w:p>
    <w:p w14:paraId="385572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一、单位基本情况</w:t>
      </w:r>
    </w:p>
    <w:p w14:paraId="6830DF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（一）职能职责</w:t>
      </w:r>
    </w:p>
    <w:p w14:paraId="3DB057D3">
      <w:pPr>
        <w:tabs>
          <w:tab w:val="left" w:pos="5340"/>
        </w:tabs>
        <w:spacing w:line="594"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sz w:val="32"/>
          <w:szCs w:val="32"/>
        </w:rPr>
        <w:t>（</w:t>
      </w:r>
      <w:r>
        <w:rPr>
          <w:rFonts w:hint="eastAsia" w:ascii="方正楷体_GBK" w:hAnsi="Times New Roman" w:eastAsia="方正楷体_GBK"/>
          <w:sz w:val="32"/>
          <w:szCs w:val="32"/>
          <w:lang w:val="en-US" w:eastAsia="zh-CN"/>
        </w:rPr>
        <w:t>1</w:t>
      </w:r>
      <w:r>
        <w:rPr>
          <w:rFonts w:hint="eastAsia" w:ascii="方正楷体_GBK" w:hAnsi="Times New Roman" w:eastAsia="方正楷体_GBK"/>
          <w:sz w:val="32"/>
          <w:szCs w:val="32"/>
        </w:rPr>
        <w:t>）基层治理综合指挥室。</w:t>
      </w:r>
      <w:r>
        <w:rPr>
          <w:rFonts w:hint="eastAsia" w:ascii="Times New Roman" w:hAnsi="Times New Roman" w:eastAsia="方正仿宋_GBK"/>
          <w:sz w:val="32"/>
          <w:szCs w:val="32"/>
        </w:rPr>
        <w:t>主要承担基层智治体系建设和基层治理智治平台的运行监测以及线上线下统筹协调、分析研判、协同流转、应急指挥、督查考核等职责。负责综合协调、文电会务、值班、规范性文件审查、政务信息、政务公开、档案管理、机要保密和后勤服务等工作。负责镇党委、人民政府交办的其他工作任务。</w:t>
      </w:r>
    </w:p>
    <w:p w14:paraId="108ABA37">
      <w:pPr>
        <w:tabs>
          <w:tab w:val="left" w:pos="5340"/>
        </w:tabs>
        <w:spacing w:line="594"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sz w:val="32"/>
          <w:szCs w:val="32"/>
        </w:rPr>
        <w:t>（</w:t>
      </w:r>
      <w:r>
        <w:rPr>
          <w:rFonts w:hint="eastAsia" w:ascii="方正楷体_GBK" w:hAnsi="Times New Roman" w:eastAsia="方正楷体_GBK"/>
          <w:sz w:val="32"/>
          <w:szCs w:val="32"/>
          <w:lang w:val="en-US" w:eastAsia="zh-CN"/>
        </w:rPr>
        <w:t>2</w:t>
      </w:r>
      <w:r>
        <w:rPr>
          <w:rFonts w:hint="eastAsia" w:ascii="方正楷体_GBK" w:hAnsi="Times New Roman" w:eastAsia="方正楷体_GBK"/>
          <w:sz w:val="32"/>
          <w:szCs w:val="32"/>
        </w:rPr>
        <w:t>）党的建设办公室。</w:t>
      </w:r>
      <w:r>
        <w:rPr>
          <w:rFonts w:hint="eastAsia" w:ascii="Times New Roman" w:hAnsi="Times New Roman" w:eastAsia="方正仿宋_GBK"/>
          <w:sz w:val="32"/>
          <w:szCs w:val="32"/>
        </w:rPr>
        <w:t>主要承担党的建设、纪检、宣传、统战、人大、政协、法制、机构编制、组织人事、改革、民宗侨台、群团、武装、党务公开、新时代文明实践等职责。负责机关党的建设和群团工作。负责镇便民服务中心和村（社区）党群服务中心的指导监督和管理工作。负责镇党委、人民政府交办的其他工作任务。</w:t>
      </w:r>
    </w:p>
    <w:p w14:paraId="11777436">
      <w:pPr>
        <w:tabs>
          <w:tab w:val="left" w:pos="5340"/>
        </w:tabs>
        <w:spacing w:line="594"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sz w:val="32"/>
          <w:szCs w:val="32"/>
        </w:rPr>
        <w:t>（</w:t>
      </w:r>
      <w:r>
        <w:rPr>
          <w:rFonts w:hint="eastAsia" w:ascii="方正楷体_GBK" w:hAnsi="Times New Roman" w:eastAsia="方正楷体_GBK"/>
          <w:sz w:val="32"/>
          <w:szCs w:val="32"/>
          <w:lang w:val="en-US" w:eastAsia="zh-CN"/>
        </w:rPr>
        <w:t>3</w:t>
      </w:r>
      <w:r>
        <w:rPr>
          <w:rFonts w:hint="eastAsia" w:ascii="方正楷体_GBK" w:hAnsi="Times New Roman" w:eastAsia="方正楷体_GBK"/>
          <w:sz w:val="32"/>
          <w:szCs w:val="32"/>
        </w:rPr>
        <w:t>）经济发展办公室。</w:t>
      </w:r>
      <w:r>
        <w:rPr>
          <w:rFonts w:hint="eastAsia" w:ascii="Times New Roman" w:hAnsi="Times New Roman" w:eastAsia="方正仿宋_GBK"/>
          <w:sz w:val="32"/>
          <w:szCs w:val="32"/>
        </w:rPr>
        <w:t>主要承担经济发展、农业农村、乡村振兴、村镇建设、规划自然资源、生态环境、财政管理、经济社会统计、内部审计等职责。负责经济发展规划与指导服务、农业产业化发展、农村经营管理和产业结构调整。负责村镇规划、村镇建设、农村公路建设及管护、集镇管理。负责节能减排、生态环境保护工作。负责招商引资工作。负责财政收支、预决算、单位会计核算、惠农资金兑付、财政资金监督检查、绩效评价、村级财务管理等工作。负责机关财务、国有资产管理、政府采购工作。负责内部审计工作，配合相关部门做好其他专项审计工作。负责镇党委、人民政府交办的其他工作任务。</w:t>
      </w:r>
    </w:p>
    <w:p w14:paraId="6558E93F">
      <w:pPr>
        <w:tabs>
          <w:tab w:val="left" w:pos="5340"/>
        </w:tabs>
        <w:spacing w:line="594"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sz w:val="32"/>
          <w:szCs w:val="32"/>
        </w:rPr>
        <w:t>（</w:t>
      </w:r>
      <w:r>
        <w:rPr>
          <w:rFonts w:hint="eastAsia" w:ascii="方正楷体_GBK" w:hAnsi="Times New Roman" w:eastAsia="方正楷体_GBK"/>
          <w:sz w:val="32"/>
          <w:szCs w:val="32"/>
          <w:lang w:val="en-US" w:eastAsia="zh-CN"/>
        </w:rPr>
        <w:t>4</w:t>
      </w:r>
      <w:r>
        <w:rPr>
          <w:rFonts w:hint="eastAsia" w:ascii="方正楷体_GBK" w:hAnsi="Times New Roman" w:eastAsia="方正楷体_GBK"/>
          <w:sz w:val="32"/>
          <w:szCs w:val="32"/>
        </w:rPr>
        <w:t>）民生服务办公室。</w:t>
      </w:r>
      <w:r>
        <w:rPr>
          <w:rFonts w:hint="eastAsia" w:ascii="Times New Roman" w:hAnsi="Times New Roman" w:eastAsia="方正仿宋_GBK"/>
          <w:sz w:val="32"/>
          <w:szCs w:val="32"/>
        </w:rPr>
        <w:t>主要承担民政、教育、卫生健康、文化体育、旅游、劳动就业、残疾人事业、退役军人服务等职责。负责落实社会保障（医疗保障）、社会救助、社会福利、优抚安置、扶贫济困等社会保障政策。负责村（社区）管理工作。负责乡风文明工作。负责殡葬管理、老龄事业、区划地名管理等工作。负责留守儿童和妇女、老人等特殊群体关爱服务工作。负责镇党委、人民政府交办的其他工作任务。</w:t>
      </w:r>
    </w:p>
    <w:p w14:paraId="14CE8932">
      <w:pPr>
        <w:tabs>
          <w:tab w:val="left" w:pos="5340"/>
        </w:tabs>
        <w:spacing w:line="594" w:lineRule="exact"/>
        <w:ind w:firstLine="640" w:firstLineChars="200"/>
        <w:rPr>
          <w:rFonts w:hint="eastAsia" w:ascii="Times New Roman" w:hAnsi="Times New Roman" w:eastAsia="方正仿宋_GBK"/>
          <w:sz w:val="32"/>
          <w:szCs w:val="32"/>
        </w:rPr>
      </w:pPr>
      <w:r>
        <w:rPr>
          <w:rFonts w:hint="eastAsia" w:ascii="方正楷体_GBK" w:hAnsi="Times New Roman" w:eastAsia="方正楷体_GBK"/>
          <w:sz w:val="32"/>
          <w:szCs w:val="32"/>
        </w:rPr>
        <w:t>（</w:t>
      </w:r>
      <w:r>
        <w:rPr>
          <w:rFonts w:hint="eastAsia" w:ascii="方正楷体_GBK" w:hAnsi="Times New Roman" w:eastAsia="方正楷体_GBK"/>
          <w:sz w:val="32"/>
          <w:szCs w:val="32"/>
          <w:lang w:val="en-US" w:eastAsia="zh-CN"/>
        </w:rPr>
        <w:t>5</w:t>
      </w:r>
      <w:r>
        <w:rPr>
          <w:rFonts w:hint="eastAsia" w:ascii="方正楷体_GBK" w:hAnsi="Times New Roman" w:eastAsia="方正楷体_GBK"/>
          <w:sz w:val="32"/>
          <w:szCs w:val="32"/>
        </w:rPr>
        <w:t>）平安法治办公室。</w:t>
      </w:r>
      <w:r>
        <w:rPr>
          <w:rFonts w:hint="eastAsia" w:ascii="Times New Roman" w:hAnsi="Times New Roman" w:eastAsia="方正仿宋_GBK"/>
          <w:sz w:val="32"/>
          <w:szCs w:val="32"/>
        </w:rPr>
        <w:t>主要承担平安综治、应急管理、综合行政执法、信访稳定、消防救援等职责。负责普法教育、人民调解、社会治安综合治理、禁毒、防范和处理邪教、扫黑除恶等工作。负责安全生产综合监管、应急管理、消防安全管理、森林防灭火、食品药品安全监督属地管理（含农村家宴备案）等工作，协助开展煤矿、非煤矿山、危险化学品、烟花爆竹等安全生产日常监管工作。负责集中行使依法授权或委托的行政执法权，与综合行政执法大队实行统筹运行。负责指导村（社区）开展社会平安群防群治工作。负责组织、指导、协调、检查、督促辖区各基层组织和企事业单位的社会治安综合治理等工作。负责镇党委、人民政府交办的其他工作任务。</w:t>
      </w:r>
    </w:p>
    <w:p w14:paraId="2D9A659F">
      <w:pPr>
        <w:tabs>
          <w:tab w:val="left" w:pos="5340"/>
        </w:tabs>
        <w:spacing w:line="594"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sz w:val="32"/>
          <w:szCs w:val="32"/>
        </w:rPr>
        <w:t>人大、纪委、武装部按照有关规定设置。工会、团委、妇联、残联等群团按章程设置，具体工作由党的建设办公室明确群团工作综合岗位承担。</w:t>
      </w:r>
    </w:p>
    <w:p w14:paraId="3396FB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（二）单位构成</w:t>
      </w:r>
    </w:p>
    <w:p w14:paraId="3ECDA25B">
      <w:pPr>
        <w:widowControl w:val="0"/>
        <w:spacing w:line="600" w:lineRule="exact"/>
        <w:ind w:firstLine="640" w:firstLineChars="200"/>
        <w:rPr>
          <w:rFonts w:hint="eastAsia" w:eastAsia="方正仿宋_GBK"/>
          <w:color w:val="auto"/>
          <w:highlight w:val="none"/>
          <w:lang w:eastAsia="zh-CN"/>
        </w:rPr>
      </w:pPr>
      <w:r>
        <w:rPr>
          <w:rFonts w:hint="eastAsia" w:ascii="Times New Roman" w:hAnsi="Times New Roman" w:eastAsia="方正仿宋_GBK" w:cs="Times New Roman"/>
          <w:color w:val="auto"/>
          <w:sz w:val="32"/>
          <w:szCs w:val="32"/>
          <w:highlight w:val="none"/>
          <w:lang w:val="en-US" w:eastAsia="zh-CN" w:bidi="ar-SA"/>
        </w:rPr>
        <w:t>统一设置综合办事机构5个，即：</w:t>
      </w:r>
      <w:r>
        <w:rPr>
          <w:rFonts w:hint="eastAsia" w:ascii="仿宋_GB2312" w:hAnsi="仿宋" w:eastAsia="仿宋_GB2312" w:cs="Times New Roman"/>
          <w:sz w:val="32"/>
          <w:szCs w:val="32"/>
          <w:highlight w:val="none"/>
        </w:rPr>
        <w:t>基层治理综合指挥室</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cs="Times New Roman"/>
          <w:sz w:val="32"/>
          <w:szCs w:val="32"/>
          <w:highlight w:val="none"/>
        </w:rPr>
        <w:t>党的建设办公室</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cs="Times New Roman"/>
          <w:sz w:val="32"/>
          <w:szCs w:val="32"/>
          <w:highlight w:val="none"/>
        </w:rPr>
        <w:t>经济发展办公室</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cs="Times New Roman"/>
          <w:sz w:val="32"/>
          <w:szCs w:val="32"/>
          <w:highlight w:val="none"/>
        </w:rPr>
        <w:t>民生服务办公室</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cs="Times New Roman"/>
          <w:sz w:val="32"/>
          <w:szCs w:val="32"/>
          <w:highlight w:val="none"/>
        </w:rPr>
        <w:t>平安法治办公室</w:t>
      </w:r>
      <w:r>
        <w:rPr>
          <w:rFonts w:hint="eastAsia" w:ascii="仿宋_GB2312" w:hAnsi="仿宋" w:eastAsia="仿宋_GB2312" w:cs="Times New Roman"/>
          <w:sz w:val="32"/>
          <w:szCs w:val="32"/>
          <w:highlight w:val="none"/>
          <w:lang w:val="en-US" w:eastAsia="zh-CN"/>
        </w:rPr>
        <w:t>；设置事业机构5个，即：</w:t>
      </w:r>
      <w:r>
        <w:rPr>
          <w:rFonts w:hint="eastAsia" w:ascii="Times New Roman" w:hAnsi="Times New Roman" w:eastAsia="方正仿宋_GBK"/>
          <w:sz w:val="32"/>
          <w:szCs w:val="32"/>
        </w:rPr>
        <w:t>便民服务中心（退役军人服务站）、综合行政执法大队、产业发展服务中心、新时代文明实践服务中心、村镇建设服务中心</w:t>
      </w:r>
      <w:r>
        <w:rPr>
          <w:rFonts w:hint="eastAsia" w:ascii="Times New Roman" w:hAnsi="Times New Roman" w:eastAsia="方正仿宋_GBK"/>
          <w:sz w:val="32"/>
          <w:szCs w:val="32"/>
          <w:lang w:eastAsia="zh-CN"/>
        </w:rPr>
        <w:t>。</w:t>
      </w:r>
    </w:p>
    <w:p w14:paraId="6062CF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二、部门收支总体情况</w:t>
      </w:r>
    </w:p>
    <w:p w14:paraId="670CBA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highlight w:val="yellow"/>
          <w:lang w:eastAsia="zh-CN"/>
        </w:rPr>
      </w:pPr>
      <w:r>
        <w:rPr>
          <w:rFonts w:hint="default" w:ascii="Times New Roman" w:hAnsi="Times New Roman" w:eastAsia="方正楷体_GBK" w:cs="Times New Roman"/>
          <w:sz w:val="32"/>
          <w:szCs w:val="32"/>
        </w:rPr>
        <w:t>（一）收入预算：</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年初预算数</w:t>
      </w:r>
      <w:r>
        <w:rPr>
          <w:rFonts w:hint="eastAsia" w:ascii="Times New Roman" w:hAnsi="Times New Roman" w:eastAsia="方正仿宋_GBK" w:cs="Times New Roman"/>
          <w:sz w:val="32"/>
          <w:szCs w:val="32"/>
          <w:lang w:val="en-US" w:eastAsia="zh-CN"/>
        </w:rPr>
        <w:t>3215.76</w:t>
      </w:r>
      <w:r>
        <w:rPr>
          <w:rFonts w:hint="default" w:ascii="Times New Roman" w:hAnsi="Times New Roman" w:eastAsia="方正仿宋_GBK" w:cs="Times New Roman"/>
          <w:sz w:val="32"/>
          <w:szCs w:val="32"/>
        </w:rPr>
        <w:t>万元，其中：一般公共预算拨款3208.76万元，政府性基金预算拨款</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万元，国有资本经营预算拨款</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万元，财政专户管理资金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万元，事业收入资金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万元，上级补助收入资金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万元，附属单位上缴收入资金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万元，事业单位经营收入资金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万元；收入</w:t>
      </w:r>
      <w:r>
        <w:rPr>
          <w:rFonts w:hint="eastAsia" w:ascii="Times New Roman" w:hAnsi="Times New Roman" w:eastAsia="方正仿宋_GBK" w:cs="Times New Roman"/>
          <w:sz w:val="32"/>
          <w:szCs w:val="32"/>
          <w:lang w:eastAsia="zh-CN"/>
        </w:rPr>
        <w:t>比202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增加1144.4</w:t>
      </w:r>
      <w:r>
        <w:rPr>
          <w:rFonts w:hint="default" w:ascii="Times New Roman" w:hAnsi="Times New Roman" w:eastAsia="方正仿宋_GBK" w:cs="Times New Roman"/>
          <w:sz w:val="32"/>
          <w:szCs w:val="32"/>
        </w:rPr>
        <w:t>万元，主要是一般公共预算拨款</w:t>
      </w:r>
      <w:r>
        <w:rPr>
          <w:rFonts w:hint="eastAsia" w:ascii="Times New Roman" w:hAnsi="Times New Roman" w:eastAsia="方正仿宋_GBK" w:cs="Times New Roman"/>
          <w:sz w:val="32"/>
          <w:szCs w:val="32"/>
          <w:lang w:val="en-US" w:eastAsia="zh-CN"/>
        </w:rPr>
        <w:t>增加1137.4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政府性基金预算拨款</w:t>
      </w:r>
      <w:r>
        <w:rPr>
          <w:rFonts w:hint="eastAsia" w:ascii="Times New Roman" w:hAnsi="Times New Roman" w:eastAsia="方正仿宋_GBK" w:cs="Times New Roman"/>
          <w:sz w:val="32"/>
          <w:szCs w:val="32"/>
          <w:lang w:val="en-US" w:eastAsia="zh-CN"/>
        </w:rPr>
        <w:t>增加7</w:t>
      </w:r>
      <w:r>
        <w:rPr>
          <w:rFonts w:hint="default" w:ascii="Times New Roman" w:hAnsi="Times New Roman" w:eastAsia="方正仿宋_GBK" w:cs="Times New Roman"/>
          <w:sz w:val="32"/>
          <w:szCs w:val="32"/>
        </w:rPr>
        <w:t>万元。</w:t>
      </w:r>
    </w:p>
    <w:p w14:paraId="1E91BF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rPr>
        <w:t>（二）支出预算：</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年初预算数</w:t>
      </w:r>
      <w:r>
        <w:rPr>
          <w:rFonts w:hint="eastAsia" w:ascii="Times New Roman" w:hAnsi="Times New Roman" w:eastAsia="方正仿宋_GBK" w:cs="Times New Roman"/>
          <w:sz w:val="32"/>
          <w:szCs w:val="32"/>
          <w:lang w:val="en-US" w:eastAsia="zh-CN"/>
        </w:rPr>
        <w:t>3215.76</w:t>
      </w:r>
      <w:r>
        <w:rPr>
          <w:rFonts w:hint="default" w:ascii="Times New Roman" w:hAnsi="Times New Roman" w:eastAsia="方正仿宋_GBK" w:cs="Times New Roman"/>
          <w:sz w:val="32"/>
          <w:szCs w:val="32"/>
        </w:rPr>
        <w:t>万元，其中：一般公共服务支出474.77万元，文化旅游体育与传媒支出26.42</w:t>
      </w:r>
      <w:r>
        <w:rPr>
          <w:rFonts w:hint="eastAsia"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社会保障和就业支出244.58万元，卫生健康支出54.77万元，</w:t>
      </w:r>
      <w:r>
        <w:rPr>
          <w:rFonts w:hint="eastAsia" w:ascii="Times New Roman" w:hAnsi="Times New Roman" w:eastAsia="方正仿宋_GBK" w:cs="Times New Roman"/>
          <w:sz w:val="32"/>
          <w:szCs w:val="32"/>
          <w:lang w:val="en-US" w:eastAsia="zh-CN"/>
        </w:rPr>
        <w:t>节能环保支出230万元，城乡社区支出7万元，农林水支出561.8万元，交通运输支出3.22万元，自然资源海洋气象等支出1562.88万元，</w:t>
      </w:r>
      <w:r>
        <w:rPr>
          <w:rFonts w:hint="default" w:ascii="Times New Roman" w:hAnsi="Times New Roman" w:eastAsia="方正仿宋_GBK" w:cs="Times New Roman"/>
          <w:sz w:val="32"/>
          <w:szCs w:val="32"/>
        </w:rPr>
        <w:t>住房保障支出50.33万元；支出</w:t>
      </w:r>
      <w:r>
        <w:rPr>
          <w:rFonts w:hint="eastAsia" w:ascii="Times New Roman" w:hAnsi="Times New Roman" w:eastAsia="方正仿宋_GBK" w:cs="Times New Roman"/>
          <w:sz w:val="32"/>
          <w:szCs w:val="32"/>
          <w:lang w:eastAsia="zh-CN"/>
        </w:rPr>
        <w:t>比202</w:t>
      </w:r>
      <w:r>
        <w:rPr>
          <w:rFonts w:hint="eastAsia" w:ascii="Times New Roman" w:hAnsi="Times New Roman" w:eastAsia="方正仿宋_GBK" w:cs="Times New Roman"/>
          <w:sz w:val="32"/>
          <w:szCs w:val="32"/>
          <w:lang w:val="en-US" w:eastAsia="zh-CN"/>
        </w:rPr>
        <w:t>5年增加1144.4</w:t>
      </w:r>
      <w:r>
        <w:rPr>
          <w:rFonts w:hint="default" w:ascii="Times New Roman" w:hAnsi="Times New Roman" w:eastAsia="方正仿宋_GBK" w:cs="Times New Roman"/>
          <w:sz w:val="32"/>
          <w:szCs w:val="32"/>
        </w:rPr>
        <w:t>万元，主要是基本支出增加</w:t>
      </w:r>
      <w:r>
        <w:rPr>
          <w:rFonts w:hint="eastAsia" w:ascii="Times New Roman" w:hAnsi="Times New Roman" w:eastAsia="方正仿宋_GBK" w:cs="Times New Roman"/>
          <w:sz w:val="32"/>
          <w:szCs w:val="32"/>
          <w:lang w:val="en-US" w:eastAsia="zh-CN"/>
        </w:rPr>
        <w:t>74.01</w:t>
      </w:r>
      <w:r>
        <w:rPr>
          <w:rFonts w:hint="default" w:ascii="Times New Roman" w:hAnsi="Times New Roman" w:eastAsia="方正仿宋_GBK" w:cs="Times New Roman"/>
          <w:sz w:val="32"/>
          <w:szCs w:val="32"/>
        </w:rPr>
        <w:t>万元，项目支出</w:t>
      </w:r>
      <w:r>
        <w:rPr>
          <w:rFonts w:hint="eastAsia" w:ascii="Times New Roman" w:hAnsi="Times New Roman" w:eastAsia="方正仿宋_GBK" w:cs="Times New Roman"/>
          <w:sz w:val="32"/>
          <w:szCs w:val="32"/>
          <w:lang w:val="en-US" w:eastAsia="zh-CN"/>
        </w:rPr>
        <w:t>增加1063.39</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，政府性基金预算</w:t>
      </w:r>
      <w:r>
        <w:rPr>
          <w:rFonts w:hint="eastAsia" w:ascii="Times New Roman" w:hAnsi="Times New Roman" w:eastAsia="方正仿宋_GBK" w:cs="Times New Roman"/>
          <w:sz w:val="32"/>
          <w:szCs w:val="32"/>
          <w:lang w:val="en-US" w:eastAsia="zh-CN"/>
        </w:rPr>
        <w:t>支出增加7万元。</w:t>
      </w:r>
    </w:p>
    <w:p w14:paraId="7B0D1A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三、部门预算情况说明</w:t>
      </w:r>
    </w:p>
    <w:p w14:paraId="7FACD0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一般公共预算财政拨款收入3208.76万元，一般公共预算财政拨款支出3208.76万元，比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增加1144.4</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932.02</w:t>
      </w:r>
      <w:r>
        <w:rPr>
          <w:rFonts w:hint="default" w:ascii="Times New Roman" w:hAnsi="Times New Roman" w:eastAsia="方正仿宋_GBK" w:cs="Times New Roman"/>
          <w:sz w:val="32"/>
          <w:szCs w:val="32"/>
        </w:rPr>
        <w:t>万元，主要用于保障在职人员工资福利及社会保险缴费、离休人员离休费、退休人员补助等，保障部门正常运转的各项商品服务支出，比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增加74.01</w:t>
      </w:r>
      <w:r>
        <w:rPr>
          <w:rFonts w:hint="default" w:ascii="Times New Roman" w:hAnsi="Times New Roman" w:eastAsia="方正仿宋_GBK" w:cs="Times New Roman"/>
          <w:sz w:val="32"/>
          <w:szCs w:val="32"/>
        </w:rPr>
        <w:t>万元，主要原因是</w:t>
      </w:r>
      <w:r>
        <w:rPr>
          <w:rFonts w:hint="eastAsia" w:ascii="Times New Roman" w:hAnsi="Times New Roman" w:eastAsia="方正仿宋_GBK" w:cs="Times New Roman"/>
          <w:sz w:val="32"/>
          <w:szCs w:val="32"/>
          <w:lang w:val="en-US" w:eastAsia="zh-CN"/>
        </w:rPr>
        <w:t>人员变动及人员待遇调整</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2276.74</w:t>
      </w:r>
      <w:r>
        <w:rPr>
          <w:rFonts w:hint="default" w:ascii="Times New Roman" w:hAnsi="Times New Roman" w:eastAsia="方正仿宋_GBK" w:cs="Times New Roman"/>
          <w:sz w:val="32"/>
          <w:szCs w:val="32"/>
        </w:rPr>
        <w:t>万元，主要用于</w:t>
      </w:r>
      <w:r>
        <w:rPr>
          <w:rFonts w:hint="eastAsia" w:ascii="Times New Roman" w:hAnsi="Times New Roman" w:eastAsia="方正仿宋_GBK" w:cs="仿宋_GB2312"/>
          <w:sz w:val="32"/>
          <w:lang w:val="en-US" w:eastAsia="zh-CN"/>
        </w:rPr>
        <w:t>桥头镇乡村振兴产业发展</w:t>
      </w:r>
      <w:r>
        <w:rPr>
          <w:rFonts w:hint="eastAsia" w:ascii="Times New Roman" w:hAnsi="Times New Roman" w:eastAsia="方正仿宋_GBK" w:cs="仿宋_GB2312"/>
          <w:sz w:val="32"/>
        </w:rPr>
        <w:t>等重点工作</w:t>
      </w:r>
      <w:r>
        <w:rPr>
          <w:rFonts w:hint="default" w:ascii="Times New Roman" w:hAnsi="Times New Roman" w:eastAsia="方正仿宋_GBK" w:cs="Times New Roman"/>
          <w:sz w:val="32"/>
          <w:szCs w:val="32"/>
        </w:rPr>
        <w:t>，比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增加1063.39</w:t>
      </w:r>
      <w:r>
        <w:rPr>
          <w:rFonts w:hint="default" w:ascii="Times New Roman" w:hAnsi="Times New Roman" w:eastAsia="方正仿宋_GBK" w:cs="Times New Roman"/>
          <w:sz w:val="32"/>
          <w:szCs w:val="32"/>
        </w:rPr>
        <w:t>万元，主要原因是</w:t>
      </w:r>
      <w:r>
        <w:rPr>
          <w:rFonts w:hint="eastAsia" w:ascii="Times New Roman" w:hAnsi="Times New Roman" w:eastAsia="方正仿宋_GBK" w:cs="Times New Roman"/>
          <w:sz w:val="32"/>
          <w:szCs w:val="32"/>
          <w:lang w:val="en-US" w:eastAsia="zh-CN"/>
        </w:rPr>
        <w:t>增加了基础设施建设项目的投入</w:t>
      </w:r>
      <w:r>
        <w:rPr>
          <w:rFonts w:hint="default" w:ascii="Times New Roman" w:hAnsi="Times New Roman" w:eastAsia="方正仿宋_GBK" w:cs="Times New Roman"/>
          <w:sz w:val="32"/>
          <w:szCs w:val="32"/>
        </w:rPr>
        <w:t>。</w:t>
      </w:r>
    </w:p>
    <w:p w14:paraId="44F0D6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政府性基金预算财政拨款收入</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万元，政府性基金预算支出</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增加7</w:t>
      </w:r>
      <w:r>
        <w:rPr>
          <w:rFonts w:hint="default" w:ascii="Times New Roman" w:hAnsi="Times New Roman" w:eastAsia="方正仿宋_GBK" w:cs="Times New Roman"/>
          <w:sz w:val="32"/>
          <w:szCs w:val="32"/>
        </w:rPr>
        <w:t>万元，主要原因是</w:t>
      </w:r>
      <w:r>
        <w:rPr>
          <w:rFonts w:hint="eastAsia" w:ascii="Times New Roman" w:hAnsi="Times New Roman" w:eastAsia="方正仿宋_GBK" w:cs="Times New Roman"/>
          <w:sz w:val="32"/>
          <w:szCs w:val="32"/>
          <w:lang w:val="en-US" w:eastAsia="zh-CN"/>
        </w:rPr>
        <w:t>增加了国有土地使用权出让收入安排的支出。</w:t>
      </w:r>
    </w:p>
    <w:p w14:paraId="6AECAA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四、“三公”经费情况说明</w:t>
      </w:r>
    </w:p>
    <w:p w14:paraId="51E6D7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“三公”经费预算14.35万元，比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0.1</w:t>
      </w:r>
      <w:r>
        <w:rPr>
          <w:rFonts w:hint="default" w:ascii="Times New Roman" w:hAnsi="Times New Roman" w:eastAsia="方正仿宋_GBK" w:cs="Times New Roman"/>
          <w:sz w:val="32"/>
          <w:szCs w:val="32"/>
        </w:rPr>
        <w:t>元。其中：因公出国（境）费用</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与2025年一致</w:t>
      </w:r>
      <w:r>
        <w:rPr>
          <w:rFonts w:hint="default" w:ascii="Times New Roman" w:hAnsi="Times New Roman" w:eastAsia="方正仿宋_GBK" w:cs="Times New Roman"/>
          <w:sz w:val="32"/>
          <w:szCs w:val="32"/>
        </w:rPr>
        <w:t>；公务接待费8.35万元，比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减少</w:t>
      </w:r>
      <w:r>
        <w:rPr>
          <w:rFonts w:hint="eastAsia" w:ascii="Times New Roman" w:hAnsi="Times New Roman" w:eastAsia="方正仿宋_GBK" w:cs="Times New Roman"/>
          <w:sz w:val="32"/>
          <w:szCs w:val="32"/>
          <w:lang w:val="en-US" w:eastAsia="zh-CN"/>
        </w:rPr>
        <w:t>0.1</w:t>
      </w:r>
      <w:r>
        <w:rPr>
          <w:rFonts w:hint="default" w:ascii="Times New Roman" w:hAnsi="Times New Roman" w:eastAsia="方正仿宋_GBK" w:cs="Times New Roman"/>
          <w:sz w:val="32"/>
          <w:szCs w:val="32"/>
        </w:rPr>
        <w:t>元，主要原因是</w:t>
      </w:r>
      <w:r>
        <w:rPr>
          <w:rFonts w:hint="eastAsia" w:ascii="Times New Roman" w:hAnsi="Times New Roman" w:eastAsia="方正仿宋_GBK" w:cs="仿宋_GB2312"/>
          <w:sz w:val="32"/>
        </w:rPr>
        <w:t>继续贯彻</w:t>
      </w:r>
      <w:r>
        <w:rPr>
          <w:rFonts w:hint="eastAsia" w:ascii="Times New Roman" w:hAnsi="Times New Roman" w:eastAsia="方正仿宋_GBK" w:cs="仿宋_GB2312"/>
          <w:sz w:val="32"/>
          <w:lang w:eastAsia="zh-CN"/>
        </w:rPr>
        <w:t>中央八项规定</w:t>
      </w:r>
      <w:r>
        <w:rPr>
          <w:rFonts w:hint="eastAsia" w:ascii="Times New Roman" w:hAnsi="Times New Roman" w:eastAsia="方正仿宋_GBK" w:cs="仿宋_GB2312"/>
          <w:sz w:val="32"/>
        </w:rPr>
        <w:t>要求，坚持厉行节约，严格控制接待费管理</w:t>
      </w:r>
      <w:r>
        <w:rPr>
          <w:rFonts w:hint="default" w:ascii="Times New Roman" w:hAnsi="Times New Roman" w:eastAsia="方正仿宋_GBK" w:cs="Times New Roman"/>
          <w:sz w:val="32"/>
          <w:szCs w:val="32"/>
        </w:rPr>
        <w:t>；公务用车运行维护费</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与2025年一致</w:t>
      </w:r>
      <w:r>
        <w:rPr>
          <w:rFonts w:hint="default" w:ascii="Times New Roman" w:hAnsi="Times New Roman" w:eastAsia="方正仿宋_GBK" w:cs="Times New Roman"/>
          <w:sz w:val="32"/>
          <w:szCs w:val="32"/>
        </w:rPr>
        <w:t>；公务用车购置费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与2025年保持一致</w:t>
      </w:r>
      <w:r>
        <w:rPr>
          <w:rFonts w:hint="default" w:ascii="Times New Roman" w:hAnsi="Times New Roman" w:eastAsia="方正仿宋_GBK" w:cs="Times New Roman"/>
          <w:sz w:val="32"/>
          <w:szCs w:val="32"/>
          <w:lang w:eastAsia="zh-CN"/>
        </w:rPr>
        <w:t>。</w:t>
      </w:r>
    </w:p>
    <w:p w14:paraId="4BAFD4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五、其他重要事项的情况说明</w:t>
      </w:r>
    </w:p>
    <w:p w14:paraId="00257C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机关运行经费。</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一般公共预算财政拨款运行经费</w:t>
      </w:r>
      <w:r>
        <w:rPr>
          <w:rFonts w:hint="eastAsia" w:ascii="Times New Roman" w:hAnsi="Times New Roman" w:eastAsia="方正仿宋_GBK" w:cs="Times New Roman"/>
          <w:sz w:val="32"/>
          <w:szCs w:val="32"/>
          <w:lang w:val="en-US" w:eastAsia="zh-CN"/>
        </w:rPr>
        <w:t>110.16</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比202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增加3.11</w:t>
      </w:r>
      <w:r>
        <w:rPr>
          <w:rFonts w:hint="default" w:ascii="Times New Roman" w:hAnsi="Times New Roman" w:eastAsia="方正仿宋_GBK" w:cs="Times New Roman"/>
          <w:sz w:val="32"/>
          <w:szCs w:val="32"/>
        </w:rPr>
        <w:t>万元，主要原因为</w:t>
      </w:r>
      <w:r>
        <w:rPr>
          <w:rFonts w:hint="eastAsia" w:ascii="Times New Roman" w:hAnsi="Times New Roman" w:eastAsia="方正仿宋_GBK" w:cs="Times New Roman"/>
          <w:sz w:val="32"/>
          <w:szCs w:val="32"/>
          <w:lang w:val="en-US" w:eastAsia="zh-CN"/>
        </w:rPr>
        <w:t>人员调整开支减少</w:t>
      </w:r>
      <w:r>
        <w:rPr>
          <w:rFonts w:hint="default" w:ascii="Times New Roman" w:hAnsi="Times New Roman" w:eastAsia="方正仿宋_GBK" w:cs="Times New Roman"/>
          <w:sz w:val="32"/>
          <w:szCs w:val="32"/>
        </w:rPr>
        <w:t>；主要用于办公费、印刷费、邮电费、水电</w:t>
      </w:r>
      <w:r>
        <w:rPr>
          <w:rFonts w:hint="default" w:ascii="Times New Roman" w:hAnsi="Times New Roman" w:eastAsia="方正仿宋_GBK" w:cs="Times New Roman"/>
          <w:sz w:val="32"/>
        </w:rPr>
        <w:t>费、物管费、差旅费、会议费、培训费及其他商品和服务支出等。</w:t>
      </w:r>
    </w:p>
    <w:p w14:paraId="3EBDCC10">
      <w:pPr>
        <w:ind w:firstLine="640" w:firstLineChars="200"/>
        <w:rPr>
          <w:rFonts w:hint="eastAsia" w:ascii="Times New Roman" w:hAnsi="Times New Roman" w:eastAsia="方正仿宋_GBK" w:cs="仿宋_GB2312"/>
          <w:sz w:val="32"/>
        </w:rPr>
      </w:pPr>
      <w:r>
        <w:rPr>
          <w:rFonts w:hint="eastAsia" w:ascii="方正楷体_GBK" w:hAnsi="方正楷体_GBK" w:eastAsia="方正楷体_GBK" w:cs="方正楷体_GBK"/>
          <w:sz w:val="32"/>
        </w:rPr>
        <w:t>（二）政府采购情况</w:t>
      </w:r>
      <w:r>
        <w:rPr>
          <w:rFonts w:hint="eastAsia" w:ascii="Times New Roman" w:hAnsi="Times New Roman" w:eastAsia="方正仿宋_GBK" w:cs="仿宋_GB2312"/>
          <w:sz w:val="32"/>
        </w:rPr>
        <w:t>。本单位政府采购预算总额</w:t>
      </w:r>
      <w:r>
        <w:rPr>
          <w:rFonts w:hint="eastAsia" w:ascii="Times New Roman" w:hAnsi="Times New Roman" w:eastAsia="方正仿宋_GBK" w:cs="仿宋_GB2312"/>
          <w:sz w:val="32"/>
          <w:lang w:val="en-US" w:eastAsia="zh-CN"/>
        </w:rPr>
        <w:t>5.86</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5.86</w:t>
      </w:r>
      <w:r>
        <w:rPr>
          <w:rFonts w:hint="eastAsia" w:ascii="Times New Roman" w:hAnsi="Times New Roman" w:eastAsia="方正仿宋_GBK" w:cs="仿宋_GB2312"/>
          <w:sz w:val="32"/>
        </w:rPr>
        <w:t>万元、政府采购工程预算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万元、政府采购服务预算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万元；其中一般公共预算拨款政府采购</w:t>
      </w:r>
      <w:r>
        <w:rPr>
          <w:rFonts w:hint="eastAsia" w:ascii="Times New Roman" w:hAnsi="Times New Roman" w:eastAsia="方正仿宋_GBK" w:cs="仿宋_GB2312"/>
          <w:sz w:val="32"/>
          <w:lang w:val="en-US" w:eastAsia="zh-CN"/>
        </w:rPr>
        <w:t>5.86</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5.86</w:t>
      </w:r>
      <w:r>
        <w:rPr>
          <w:rFonts w:hint="eastAsia" w:ascii="Times New Roman" w:hAnsi="Times New Roman" w:eastAsia="方正仿宋_GBK" w:cs="仿宋_GB2312"/>
          <w:sz w:val="32"/>
        </w:rPr>
        <w:t>万元、政府采购工程预算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万元、政府采购服务预算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w:t>
      </w:r>
    </w:p>
    <w:p w14:paraId="1353AC71">
      <w:pPr>
        <w:keepNext w:val="0"/>
        <w:keepLines w:val="0"/>
        <w:pageBreakBefore w:val="0"/>
        <w:widowControl w:val="0"/>
        <w:kinsoku/>
        <w:wordWrap/>
        <w:overflowPunct/>
        <w:topLinePunct w:val="0"/>
        <w:autoSpaceDE/>
        <w:autoSpaceDN/>
        <w:bidi w:val="0"/>
        <w:adjustRightInd/>
        <w:snapToGrid/>
        <w:ind w:left="105" w:leftChars="5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绩效目标设置情况。</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项目支出均实行了绩效目标管理，涉及一般公共预算财政拨款2276.74万元。</w:t>
      </w:r>
    </w:p>
    <w:p w14:paraId="4116DE1B">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（四）国有资产占有使用情况</w:t>
      </w:r>
      <w:r>
        <w:rPr>
          <w:rFonts w:hint="eastAsia" w:ascii="Times New Roman" w:hAnsi="Times New Roman" w:eastAsia="方正仿宋_GBK" w:cs="仿宋_GB2312"/>
          <w:color w:val="000000"/>
          <w:sz w:val="32"/>
        </w:rPr>
        <w:t>。</w:t>
      </w:r>
      <w:r>
        <w:rPr>
          <w:rFonts w:hint="eastAsia" w:ascii="Times New Roman" w:hAnsi="Times New Roman" w:eastAsia="方正仿宋_GBK" w:cs="仿宋_GB2312"/>
          <w:color w:val="000000"/>
          <w:sz w:val="32"/>
          <w:lang w:eastAsia="zh-CN"/>
        </w:rPr>
        <w:t>截至2025年</w:t>
      </w:r>
      <w:r>
        <w:rPr>
          <w:rFonts w:hint="eastAsia" w:ascii="Times New Roman" w:hAnsi="Times New Roman" w:eastAsia="方正仿宋_GBK" w:cs="仿宋_GB2312"/>
          <w:color w:val="000000"/>
          <w:sz w:val="32"/>
        </w:rPr>
        <w:t>12月，本单位共有车辆</w:t>
      </w:r>
      <w:r>
        <w:rPr>
          <w:rFonts w:hint="eastAsia" w:ascii="Times New Roman" w:hAnsi="Times New Roman" w:eastAsia="方正仿宋_GBK" w:cs="仿宋_GB2312"/>
          <w:color w:val="000000"/>
          <w:sz w:val="32"/>
          <w:lang w:val="en-US" w:eastAsia="zh-CN"/>
        </w:rPr>
        <w:t>2</w:t>
      </w:r>
      <w:r>
        <w:rPr>
          <w:rFonts w:hint="eastAsia" w:ascii="Times New Roman" w:hAnsi="Times New Roman" w:eastAsia="方正仿宋_GBK" w:cs="仿宋_GB2312"/>
          <w:color w:val="000000"/>
          <w:sz w:val="32"/>
        </w:rPr>
        <w:t>辆，其中一般公务用车</w:t>
      </w:r>
      <w:r>
        <w:rPr>
          <w:rFonts w:hint="eastAsia" w:ascii="Times New Roman" w:hAnsi="Times New Roman" w:eastAsia="方正仿宋_GBK" w:cs="仿宋_GB2312"/>
          <w:color w:val="000000"/>
          <w:sz w:val="32"/>
          <w:lang w:val="en-US" w:eastAsia="zh-CN"/>
        </w:rPr>
        <w:t>2</w:t>
      </w:r>
      <w:r>
        <w:rPr>
          <w:rFonts w:hint="eastAsia" w:ascii="Times New Roman" w:hAnsi="Times New Roman" w:eastAsia="方正仿宋_GBK" w:cs="仿宋_GB2312"/>
          <w:color w:val="000000"/>
          <w:sz w:val="32"/>
        </w:rPr>
        <w:t>辆、执勤执法用车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w:t>
      </w:r>
      <w:r>
        <w:rPr>
          <w:rFonts w:hint="eastAsia" w:ascii="Times New Roman" w:hAnsi="Times New Roman" w:eastAsia="方正仿宋_GBK" w:cs="仿宋_GB2312"/>
          <w:color w:val="000000"/>
          <w:sz w:val="32"/>
          <w:lang w:eastAsia="zh-CN"/>
        </w:rPr>
        <w:t>2025年</w:t>
      </w:r>
      <w:r>
        <w:rPr>
          <w:rFonts w:hint="eastAsia" w:ascii="Times New Roman" w:hAnsi="Times New Roman" w:eastAsia="方正仿宋_GBK" w:cs="仿宋_GB2312"/>
          <w:color w:val="000000"/>
          <w:sz w:val="32"/>
        </w:rPr>
        <w:t>一般公共预算安排购置车辆</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辆，其中一般公务用车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辆、执勤执法用车</w:t>
      </w:r>
      <w:r>
        <w:rPr>
          <w:rFonts w:hint="eastAsia" w:ascii="Times New Roman" w:hAnsi="Times New Roman" w:eastAsia="方正仿宋_GBK" w:cs="仿宋_GB2312"/>
          <w:color w:val="000000"/>
          <w:sz w:val="32"/>
          <w:lang w:val="en-US" w:eastAsia="zh-CN"/>
        </w:rPr>
        <w:t>0</w:t>
      </w:r>
      <w:r>
        <w:rPr>
          <w:rFonts w:hint="eastAsia" w:ascii="Times New Roman" w:hAnsi="Times New Roman" w:eastAsia="方正仿宋_GBK" w:cs="仿宋_GB2312"/>
          <w:color w:val="000000"/>
          <w:sz w:val="32"/>
        </w:rPr>
        <w:t>辆。</w:t>
      </w:r>
    </w:p>
    <w:p w14:paraId="1E6AD191">
      <w:pPr>
        <w:spacing w:line="600" w:lineRule="exact"/>
        <w:ind w:firstLine="640" w:firstLineChars="200"/>
        <w:rPr>
          <w:rFonts w:hint="eastAsia" w:ascii="Times New Roman" w:hAnsi="Times New Roman" w:eastAsia="方正黑体_GBK" w:cs="仿宋_GB2312"/>
          <w:sz w:val="32"/>
        </w:rPr>
      </w:pPr>
      <w:r>
        <w:rPr>
          <w:rFonts w:hint="eastAsia" w:ascii="Times New Roman" w:hAnsi="Times New Roman" w:eastAsia="方正黑体_GBK" w:cs="仿宋_GB2312"/>
          <w:sz w:val="32"/>
        </w:rPr>
        <w:t>六</w:t>
      </w:r>
      <w:r>
        <w:rPr>
          <w:rFonts w:ascii="Times New Roman" w:hAnsi="Times New Roman" w:eastAsia="方正黑体_GBK" w:cs="仿宋_GB2312"/>
          <w:sz w:val="32"/>
        </w:rPr>
        <w:t>、</w:t>
      </w:r>
      <w:r>
        <w:rPr>
          <w:rFonts w:hint="eastAsia" w:ascii="Times New Roman" w:hAnsi="Times New Roman" w:eastAsia="方正黑体_GBK" w:cs="仿宋_GB2312"/>
          <w:sz w:val="32"/>
        </w:rPr>
        <w:t>专业性名词解释</w:t>
      </w:r>
    </w:p>
    <w:p w14:paraId="564E3D52">
      <w:pPr>
        <w:pStyle w:val="14"/>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14:paraId="7EE660C3">
      <w:pPr>
        <w:pStyle w:val="14"/>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（二）其他收入</w:t>
      </w:r>
      <w:r>
        <w:rPr>
          <w:rFonts w:hint="eastAsia" w:ascii="Times New Roman" w:hAnsi="Times New Roman" w:eastAsia="方正仿宋_GBK"/>
          <w:sz w:val="32"/>
          <w:szCs w:val="32"/>
        </w:rPr>
        <w:t>：指单位取得的除“财政拨款收入”、“事业收入”、“经营收入”等以外的收入。</w:t>
      </w:r>
    </w:p>
    <w:p w14:paraId="14DBA78A">
      <w:pPr>
        <w:pStyle w:val="14"/>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（三）基本支出</w:t>
      </w:r>
      <w:r>
        <w:rPr>
          <w:rFonts w:hint="eastAsia" w:ascii="Times New Roman" w:hAnsi="Times New Roman" w:eastAsia="方正仿宋_GBK"/>
          <w:sz w:val="32"/>
          <w:szCs w:val="32"/>
        </w:rPr>
        <w:t>：指为保障机构正常运转、完成日常工作任务而发生的人员经费和公用经费。</w:t>
      </w:r>
    </w:p>
    <w:p w14:paraId="2FB3E8CF">
      <w:pPr>
        <w:pStyle w:val="14"/>
        <w:tabs>
          <w:tab w:val="center" w:pos="4153"/>
          <w:tab w:val="left" w:pos="7275"/>
        </w:tabs>
        <w:spacing w:line="600" w:lineRule="exact"/>
        <w:ind w:firstLine="640"/>
        <w:jc w:val="left"/>
        <w:rPr>
          <w:rFonts w:hint="eastAsia" w:ascii="Times New Roman" w:hAnsi="Times New Roman" w:eastAsia="方正仿宋_GBK"/>
          <w:sz w:val="32"/>
          <w:szCs w:val="32"/>
        </w:rPr>
      </w:pPr>
      <w:r>
        <w:rPr>
          <w:rFonts w:hint="eastAsia" w:ascii="方正楷体_GBK" w:hAnsi="方正楷体_GBK" w:eastAsia="方正楷体_GBK" w:cs="方正楷体_GBK"/>
          <w:kern w:val="2"/>
          <w:sz w:val="32"/>
          <w:szCs w:val="22"/>
          <w:lang w:val="en-US" w:eastAsia="zh-CN" w:bidi="ar-SA"/>
        </w:rPr>
        <w:t>（四）项目支出</w:t>
      </w:r>
      <w:r>
        <w:rPr>
          <w:rFonts w:hint="eastAsia" w:ascii="Times New Roman" w:hAnsi="Times New Roman" w:eastAsia="方正仿宋_GBK"/>
          <w:sz w:val="32"/>
          <w:szCs w:val="32"/>
        </w:rPr>
        <w:t>：指在基本支出之外为完成特定行政任务和事业发展目标所发生的支出。</w:t>
      </w:r>
    </w:p>
    <w:p w14:paraId="124A9B96">
      <w:pPr>
        <w:ind w:firstLine="640" w:firstLineChars="200"/>
        <w:rPr>
          <w:rFonts w:hint="eastAsia" w:ascii="Times New Roman" w:hAnsi="Times New Roman" w:eastAsia="方正仿宋_GBK" w:cs="仿宋_GB2312"/>
          <w:color w:val="000000"/>
          <w:sz w:val="32"/>
        </w:rPr>
      </w:pPr>
      <w:r>
        <w:rPr>
          <w:rFonts w:hint="eastAsia" w:ascii="方正楷体_GBK" w:hAnsi="方正楷体_GBK" w:eastAsia="方正楷体_GBK" w:cs="方正楷体_GBK"/>
          <w:sz w:val="32"/>
        </w:rPr>
        <w:t>（五）“三公”经费</w:t>
      </w:r>
      <w:r>
        <w:rPr>
          <w:rFonts w:hint="eastAsia" w:ascii="Times New Roman" w:hAnsi="Times New Roman" w:eastAsia="方正仿宋_GBK"/>
          <w:sz w:val="32"/>
          <w:szCs w:val="32"/>
        </w:rPr>
        <w:t>：指用</w:t>
      </w:r>
      <w:r>
        <w:rPr>
          <w:rFonts w:hint="eastAsia" w:ascii="Times New Roman" w:hAnsi="Times New Roman" w:eastAsia="方正仿宋_GBK"/>
          <w:sz w:val="32"/>
          <w:szCs w:val="32"/>
          <w:highlight w:val="none"/>
        </w:rPr>
        <w:t>财政拨款安排</w:t>
      </w:r>
      <w:r>
        <w:rPr>
          <w:rFonts w:hint="eastAsia" w:ascii="Times New Roman" w:hAnsi="Times New Roman" w:eastAsia="方正仿宋_GBK"/>
          <w:sz w:val="32"/>
          <w:szCs w:val="32"/>
        </w:rPr>
        <w:t>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BC6B4A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仿宋_GBK" w:cs="Times New Roman"/>
          <w:sz w:val="32"/>
          <w:szCs w:val="32"/>
          <w:highlight w:val="yellow"/>
          <w:lang w:val="en-US" w:eastAsia="zh-CN"/>
        </w:rPr>
      </w:pPr>
      <w:r>
        <w:rPr>
          <w:rFonts w:hint="eastAsia" w:ascii="Times New Roman" w:hAnsi="Times New Roman" w:eastAsia="方正仿宋_GBK" w:cs="Times New Roman"/>
          <w:sz w:val="32"/>
          <w:szCs w:val="32"/>
          <w:lang w:eastAsia="zh-CN"/>
        </w:rPr>
        <w:t>单位</w:t>
      </w:r>
      <w:r>
        <w:rPr>
          <w:rFonts w:hint="default" w:ascii="Times New Roman" w:hAnsi="Times New Roman" w:eastAsia="方正仿宋_GBK" w:cs="Times New Roman"/>
          <w:sz w:val="32"/>
          <w:szCs w:val="32"/>
        </w:rPr>
        <w:t>预算公开联系人：</w:t>
      </w:r>
      <w:r>
        <w:rPr>
          <w:rFonts w:hint="eastAsia" w:ascii="Times New Roman" w:hAnsi="Times New Roman" w:eastAsia="方正仿宋_GBK" w:cs="Times New Roman"/>
          <w:sz w:val="32"/>
          <w:szCs w:val="32"/>
          <w:lang w:val="en-US" w:eastAsia="zh-CN"/>
        </w:rPr>
        <w:t>马青蓉</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联系方式：</w:t>
      </w:r>
      <w:r>
        <w:rPr>
          <w:rFonts w:hint="default" w:ascii="Times New Roman" w:hAnsi="Times New Roman" w:eastAsia="方正仿宋_GBK" w:cs="Times New Roman"/>
          <w:sz w:val="32"/>
          <w:szCs w:val="32"/>
          <w:highlight w:val="none"/>
          <w:lang w:val="en-US" w:eastAsia="zh-CN"/>
        </w:rPr>
        <w:t>023-</w:t>
      </w:r>
      <w:r>
        <w:rPr>
          <w:rFonts w:hint="eastAsia" w:ascii="Times New Roman" w:hAnsi="Times New Roman" w:eastAsia="方正仿宋_GBK" w:cs="Times New Roman"/>
          <w:sz w:val="32"/>
          <w:szCs w:val="32"/>
          <w:highlight w:val="none"/>
          <w:lang w:val="en-US" w:eastAsia="zh-CN"/>
        </w:rPr>
        <w:t>73387001</w:t>
      </w:r>
    </w:p>
    <w:p w14:paraId="4C7F6E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仿宋_GBK" w:cs="Times New Roman"/>
          <w:sz w:val="32"/>
          <w:szCs w:val="32"/>
          <w:highlight w:val="yellow"/>
          <w:lang w:val="en-US" w:eastAsia="zh-CN"/>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57490D39">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zMDk0ZjQ4NTdkODYwYWZlZjU2MzI4NmNlZTA5MTQifQ=="/>
  </w:docVars>
  <w:rsids>
    <w:rsidRoot w:val="00B25CF0"/>
    <w:rsid w:val="000065FF"/>
    <w:rsid w:val="00025D49"/>
    <w:rsid w:val="000E6986"/>
    <w:rsid w:val="000E7A86"/>
    <w:rsid w:val="00104156"/>
    <w:rsid w:val="001C295B"/>
    <w:rsid w:val="001F62A7"/>
    <w:rsid w:val="00201E27"/>
    <w:rsid w:val="00295D2E"/>
    <w:rsid w:val="002F0B32"/>
    <w:rsid w:val="00315FF1"/>
    <w:rsid w:val="00326B00"/>
    <w:rsid w:val="00357D5D"/>
    <w:rsid w:val="00366915"/>
    <w:rsid w:val="003C56C2"/>
    <w:rsid w:val="003F3271"/>
    <w:rsid w:val="00412B49"/>
    <w:rsid w:val="0048380D"/>
    <w:rsid w:val="005124F3"/>
    <w:rsid w:val="00562209"/>
    <w:rsid w:val="005A5BC6"/>
    <w:rsid w:val="006E66F0"/>
    <w:rsid w:val="00746575"/>
    <w:rsid w:val="0075644E"/>
    <w:rsid w:val="0076031D"/>
    <w:rsid w:val="00825E43"/>
    <w:rsid w:val="00892B61"/>
    <w:rsid w:val="009027F8"/>
    <w:rsid w:val="009A024E"/>
    <w:rsid w:val="009C0C1E"/>
    <w:rsid w:val="00A85988"/>
    <w:rsid w:val="00AB4CBD"/>
    <w:rsid w:val="00AF7912"/>
    <w:rsid w:val="00B25CF0"/>
    <w:rsid w:val="00B67C25"/>
    <w:rsid w:val="00BA6131"/>
    <w:rsid w:val="00BB7769"/>
    <w:rsid w:val="00C22196"/>
    <w:rsid w:val="00C264FA"/>
    <w:rsid w:val="00CB5754"/>
    <w:rsid w:val="00CC1EFB"/>
    <w:rsid w:val="00CC6777"/>
    <w:rsid w:val="00D17EA8"/>
    <w:rsid w:val="00DE312C"/>
    <w:rsid w:val="00E10E1B"/>
    <w:rsid w:val="00E4250B"/>
    <w:rsid w:val="00E438FD"/>
    <w:rsid w:val="00E83EC4"/>
    <w:rsid w:val="00F07238"/>
    <w:rsid w:val="00F35787"/>
    <w:rsid w:val="00F602BE"/>
    <w:rsid w:val="00FE3041"/>
    <w:rsid w:val="01541EA9"/>
    <w:rsid w:val="08465092"/>
    <w:rsid w:val="08C54A2E"/>
    <w:rsid w:val="0D7A365A"/>
    <w:rsid w:val="133B1901"/>
    <w:rsid w:val="18D2654E"/>
    <w:rsid w:val="19DB55F5"/>
    <w:rsid w:val="1DD801A3"/>
    <w:rsid w:val="1E874853"/>
    <w:rsid w:val="1EAF42D1"/>
    <w:rsid w:val="274B199A"/>
    <w:rsid w:val="2A1750A8"/>
    <w:rsid w:val="2AAD44A3"/>
    <w:rsid w:val="2BE20CDE"/>
    <w:rsid w:val="2C10639F"/>
    <w:rsid w:val="324B2D7F"/>
    <w:rsid w:val="32513FE1"/>
    <w:rsid w:val="387110B4"/>
    <w:rsid w:val="38865871"/>
    <w:rsid w:val="3A720DEA"/>
    <w:rsid w:val="3B9B3520"/>
    <w:rsid w:val="41676B01"/>
    <w:rsid w:val="489617E1"/>
    <w:rsid w:val="4A2315B7"/>
    <w:rsid w:val="4D5D69EE"/>
    <w:rsid w:val="5A254D94"/>
    <w:rsid w:val="5B8E1A9F"/>
    <w:rsid w:val="5C481FD2"/>
    <w:rsid w:val="5CF21E57"/>
    <w:rsid w:val="5D1F6392"/>
    <w:rsid w:val="5DC10243"/>
    <w:rsid w:val="636724EC"/>
    <w:rsid w:val="648E1742"/>
    <w:rsid w:val="65A30990"/>
    <w:rsid w:val="67920983"/>
    <w:rsid w:val="6AA0021E"/>
    <w:rsid w:val="6D7D441C"/>
    <w:rsid w:val="6F7F1917"/>
    <w:rsid w:val="71597F39"/>
    <w:rsid w:val="73673CEF"/>
    <w:rsid w:val="74676B9A"/>
    <w:rsid w:val="75930F1E"/>
    <w:rsid w:val="79CF62B4"/>
    <w:rsid w:val="7B1B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customStyle="1" w:styleId="3">
    <w:name w:val="默认"/>
    <w:basedOn w:val="1"/>
    <w:unhideWhenUsed/>
    <w:qFormat/>
    <w:uiPriority w:val="0"/>
    <w:pPr>
      <w:jc w:val="left"/>
    </w:pPr>
    <w:rPr>
      <w:rFonts w:hint="default" w:ascii="Helvetica" w:hAnsi="Helvetica" w:cs="Helvetica"/>
      <w:color w:val="000000"/>
      <w:kern w:val="0"/>
      <w:sz w:val="22"/>
      <w:szCs w:val="22"/>
      <w:lang w:val="en-US" w:eastAsia="zh-CN" w:bidi="ar"/>
    </w:rPr>
  </w:style>
  <w:style w:type="paragraph" w:styleId="4">
    <w:name w:val="Balloon Text"/>
    <w:basedOn w:val="1"/>
    <w:link w:val="11"/>
    <w:qFormat/>
    <w:uiPriority w:val="0"/>
    <w:rPr>
      <w:sz w:val="18"/>
      <w:szCs w:val="18"/>
    </w:rPr>
  </w:style>
  <w:style w:type="paragraph" w:styleId="5">
    <w:name w:val="footer"/>
    <w:basedOn w:val="1"/>
    <w:link w:val="13"/>
    <w:qFormat/>
    <w:uiPriority w:val="0"/>
    <w:pPr>
      <w:snapToGrid w:val="0"/>
      <w:jc w:val="left"/>
    </w:pPr>
    <w:rPr>
      <w:sz w:val="18"/>
      <w:szCs w:val="18"/>
    </w:rPr>
  </w:style>
  <w:style w:type="paragraph" w:styleId="6">
    <w:name w:val="header"/>
    <w:basedOn w:val="1"/>
    <w:link w:val="12"/>
    <w:qFormat/>
    <w:uiPriority w:val="0"/>
    <w:pPr>
      <w:pBdr>
        <w:bottom w:val="single" w:color="auto" w:sz="6" w:space="1"/>
      </w:pBdr>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0">
    <w:name w:val="page number"/>
    <w:unhideWhenUsed/>
    <w:qFormat/>
    <w:uiPriority w:val="0"/>
  </w:style>
  <w:style w:type="character" w:customStyle="1" w:styleId="11">
    <w:name w:val="批注框文本 字符"/>
    <w:link w:val="4"/>
    <w:qFormat/>
    <w:uiPriority w:val="0"/>
    <w:rPr>
      <w:kern w:val="2"/>
      <w:sz w:val="18"/>
      <w:szCs w:val="18"/>
    </w:rPr>
  </w:style>
  <w:style w:type="character" w:customStyle="1" w:styleId="12">
    <w:name w:val="页眉 字符"/>
    <w:link w:val="6"/>
    <w:qFormat/>
    <w:uiPriority w:val="0"/>
    <w:rPr>
      <w:kern w:val="2"/>
      <w:sz w:val="18"/>
      <w:szCs w:val="18"/>
    </w:rPr>
  </w:style>
  <w:style w:type="character" w:customStyle="1" w:styleId="13">
    <w:name w:val="页脚 字符"/>
    <w:link w:val="5"/>
    <w:qFormat/>
    <w:uiPriority w:val="0"/>
    <w:rPr>
      <w:kern w:val="2"/>
      <w:sz w:val="18"/>
      <w:szCs w:val="18"/>
    </w:rPr>
  </w:style>
  <w:style w:type="paragraph" w:styleId="14">
    <w:name w:val="List Paragraph"/>
    <w:basedOn w:val="1"/>
    <w:qFormat/>
    <w:uiPriority w:val="0"/>
    <w:pPr>
      <w:ind w:firstLine="420" w:firstLineChars="200"/>
    </w:pPr>
  </w:style>
  <w:style w:type="character" w:customStyle="1" w:styleId="15">
    <w:name w:val="23"/>
    <w:basedOn w:val="9"/>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2836</Words>
  <Characters>3069</Characters>
  <Lines>8</Lines>
  <Paragraphs>2</Paragraphs>
  <TotalTime>87</TotalTime>
  <ScaleCrop>false</ScaleCrop>
  <LinksUpToDate>false</LinksUpToDate>
  <CharactersWithSpaces>3075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2021-12-14T03:09:00Z</dcterms:created>
  <dc:creator>Administrator</dc:creator>
  <cp:lastModifiedBy>安然弱水</cp:lastModifiedBy>
  <cp:lastPrinted>2018-01-02T08:11:00Z</cp:lastPrinted>
  <dcterms:modified xsi:type="dcterms:W3CDTF">2026-07-17T06:24:04Z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BC46DE40CF9B4776AA076014997ADBE0</vt:lpwstr>
  </property>
  <property fmtid="{D5CDD505-2E9C-101B-9397-08002B2CF9AE}" pid="4" name="KSOTemplateDocerSaveRecord">
    <vt:lpwstr>eyJoZGlkIjoiM2VmN2NkNzlhZDllNTk4ZDQyYWY1YjAzNzZkNTk2YWEiLCJ1c2VySWQiOiIxMzAwNjA3NzU5In0=</vt:lpwstr>
  </property>
</Properties>
</file>