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BEF5A">
      <w:pPr>
        <w:spacing w:line="578"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石柱土家族自治县桥头镇人民政府</w:t>
      </w:r>
      <w:bookmarkStart w:id="0" w:name="_GoBack"/>
      <w:bookmarkEnd w:id="0"/>
    </w:p>
    <w:p w14:paraId="4602F1AC">
      <w:pPr>
        <w:spacing w:line="578"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hint="eastAsia" w:ascii="Times New Roman" w:hAnsi="Times New Roman" w:eastAsia="方正小标宋_GBK"/>
          <w:sz w:val="44"/>
          <w:szCs w:val="44"/>
        </w:rPr>
        <w:t>年部门预算情况说明</w:t>
      </w:r>
    </w:p>
    <w:p w14:paraId="3271A2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rPr>
      </w:pPr>
    </w:p>
    <w:p w14:paraId="385572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830D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3DB057D3">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1</w:t>
      </w:r>
      <w:r>
        <w:rPr>
          <w:rFonts w:hint="eastAsia" w:ascii="方正楷体_GBK" w:hAnsi="Times New Roman" w:eastAsia="方正楷体_GBK"/>
          <w:sz w:val="32"/>
          <w:szCs w:val="32"/>
        </w:rPr>
        <w:t>）基层治理综合指挥室。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108ABA37">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2</w:t>
      </w:r>
      <w:r>
        <w:rPr>
          <w:rFonts w:hint="eastAsia" w:ascii="方正楷体_GBK" w:hAnsi="Times New Roman" w:eastAsia="方正楷体_GBK"/>
          <w:sz w:val="32"/>
          <w:szCs w:val="32"/>
        </w:rPr>
        <w:t>）党的建设办公室。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11777436">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3</w:t>
      </w:r>
      <w:r>
        <w:rPr>
          <w:rFonts w:hint="eastAsia" w:ascii="方正楷体_GBK" w:hAnsi="Times New Roman" w:eastAsia="方正楷体_GBK"/>
          <w:sz w:val="32"/>
          <w:szCs w:val="32"/>
        </w:rPr>
        <w:t>）经济发展办公室。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6558E93F">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4</w:t>
      </w:r>
      <w:r>
        <w:rPr>
          <w:rFonts w:hint="eastAsia" w:ascii="方正楷体_GBK" w:hAnsi="Times New Roman" w:eastAsia="方正楷体_GBK"/>
          <w:sz w:val="32"/>
          <w:szCs w:val="32"/>
        </w:rPr>
        <w:t>）民生服务办公室。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14CE8932">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w:t>
      </w:r>
      <w:r>
        <w:rPr>
          <w:rFonts w:hint="eastAsia" w:ascii="方正楷体_GBK" w:hAnsi="Times New Roman" w:eastAsia="方正楷体_GBK"/>
          <w:sz w:val="32"/>
          <w:szCs w:val="32"/>
          <w:lang w:val="en-US" w:eastAsia="zh-CN"/>
        </w:rPr>
        <w:t>5</w:t>
      </w:r>
      <w:r>
        <w:rPr>
          <w:rFonts w:hint="eastAsia" w:ascii="方正楷体_GBK" w:hAnsi="Times New Roman" w:eastAsia="方正楷体_GBK"/>
          <w:sz w:val="32"/>
          <w:szCs w:val="32"/>
        </w:rPr>
        <w:t>）平安法治办公室。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14:paraId="2D9A659F">
      <w:pPr>
        <w:tabs>
          <w:tab w:val="left" w:pos="5340"/>
        </w:tabs>
        <w:spacing w:line="594" w:lineRule="exact"/>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14:paraId="3396FB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3ECDA25B">
      <w:pPr>
        <w:widowControl w:val="0"/>
        <w:spacing w:line="600" w:lineRule="exact"/>
        <w:ind w:firstLine="640" w:firstLineChars="200"/>
        <w:rPr>
          <w:rFonts w:hint="eastAsia" w:eastAsia="方正仿宋_GBK"/>
          <w:color w:val="auto"/>
          <w:highlight w:val="none"/>
          <w:lang w:eastAsia="zh-CN"/>
        </w:rPr>
      </w:pPr>
      <w:r>
        <w:rPr>
          <w:rFonts w:hint="eastAsia" w:ascii="Times New Roman" w:hAnsi="Times New Roman" w:eastAsia="方正仿宋_GBK" w:cs="Times New Roman"/>
          <w:color w:val="auto"/>
          <w:sz w:val="32"/>
          <w:szCs w:val="32"/>
          <w:highlight w:val="none"/>
          <w:lang w:val="en-US" w:eastAsia="zh-CN" w:bidi="ar-SA"/>
        </w:rPr>
        <w:t>统一设置综合办事机构5个，即：</w:t>
      </w:r>
      <w:r>
        <w:rPr>
          <w:rFonts w:hint="eastAsia" w:ascii="仿宋_GB2312" w:hAnsi="仿宋" w:eastAsia="仿宋_GB2312" w:cs="Times New Roman"/>
          <w:sz w:val="32"/>
          <w:szCs w:val="32"/>
          <w:highlight w:val="none"/>
        </w:rPr>
        <w:t>基层治理综合指挥室</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党的建设办公室</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经济发展办公室</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民生服务办公室</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rPr>
        <w:t>平安法治办公室</w:t>
      </w:r>
      <w:r>
        <w:rPr>
          <w:rFonts w:hint="eastAsia" w:ascii="仿宋_GB2312" w:hAnsi="仿宋" w:eastAsia="仿宋_GB2312" w:cs="Times New Roman"/>
          <w:sz w:val="32"/>
          <w:szCs w:val="32"/>
          <w:highlight w:val="none"/>
          <w:lang w:val="en-US" w:eastAsia="zh-CN"/>
        </w:rPr>
        <w:t>；设置事业机构5个，即：</w:t>
      </w:r>
      <w:r>
        <w:rPr>
          <w:rFonts w:hint="eastAsia" w:ascii="Times New Roman" w:hAnsi="Times New Roman" w:eastAsia="方正仿宋_GBK"/>
          <w:sz w:val="32"/>
          <w:szCs w:val="32"/>
        </w:rPr>
        <w:t>便民服务中心（退役军人服务站）、综合行政执法大队、产业发展服务中心、新时代文明实践服务中心、村镇建设服务中心</w:t>
      </w:r>
      <w:r>
        <w:rPr>
          <w:rFonts w:hint="eastAsia" w:ascii="Times New Roman" w:hAnsi="Times New Roman" w:eastAsia="方正仿宋_GBK"/>
          <w:sz w:val="32"/>
          <w:szCs w:val="32"/>
          <w:lang w:eastAsia="zh-CN"/>
        </w:rPr>
        <w:t>。</w:t>
      </w:r>
    </w:p>
    <w:p w14:paraId="6062CF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670CBA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3215.76</w:t>
      </w:r>
      <w:r>
        <w:rPr>
          <w:rFonts w:hint="default" w:ascii="Times New Roman" w:hAnsi="Times New Roman" w:eastAsia="方正仿宋_GBK" w:cs="Times New Roman"/>
          <w:sz w:val="32"/>
          <w:szCs w:val="32"/>
        </w:rPr>
        <w:t>万元，其中：一般公共预算拨款3208.76万元，政府性基金预算拨款</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增加1144.4</w:t>
      </w:r>
      <w:r>
        <w:rPr>
          <w:rFonts w:hint="default" w:ascii="Times New Roman" w:hAnsi="Times New Roman" w:eastAsia="方正仿宋_GBK" w:cs="Times New Roman"/>
          <w:sz w:val="32"/>
          <w:szCs w:val="32"/>
        </w:rPr>
        <w:t>万元，主要是一般公共预算拨款</w:t>
      </w:r>
      <w:r>
        <w:rPr>
          <w:rFonts w:hint="eastAsia" w:ascii="Times New Roman" w:hAnsi="Times New Roman" w:eastAsia="方正仿宋_GBK" w:cs="Times New Roman"/>
          <w:sz w:val="32"/>
          <w:szCs w:val="32"/>
          <w:lang w:val="en-US" w:eastAsia="zh-CN"/>
        </w:rPr>
        <w:t>增加1137.4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政府性基金预算拨款</w:t>
      </w:r>
      <w:r>
        <w:rPr>
          <w:rFonts w:hint="eastAsia" w:ascii="Times New Roman" w:hAnsi="Times New Roman" w:eastAsia="方正仿宋_GBK" w:cs="Times New Roman"/>
          <w:sz w:val="32"/>
          <w:szCs w:val="32"/>
          <w:lang w:val="en-US" w:eastAsia="zh-CN"/>
        </w:rPr>
        <w:t>增加7</w:t>
      </w:r>
      <w:r>
        <w:rPr>
          <w:rFonts w:hint="default" w:ascii="Times New Roman" w:hAnsi="Times New Roman" w:eastAsia="方正仿宋_GBK" w:cs="Times New Roman"/>
          <w:sz w:val="32"/>
          <w:szCs w:val="32"/>
        </w:rPr>
        <w:t>万元。</w:t>
      </w:r>
    </w:p>
    <w:p w14:paraId="1E91BF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3215.76</w:t>
      </w:r>
      <w:r>
        <w:rPr>
          <w:rFonts w:hint="default" w:ascii="Times New Roman" w:hAnsi="Times New Roman" w:eastAsia="方正仿宋_GBK" w:cs="Times New Roman"/>
          <w:sz w:val="32"/>
          <w:szCs w:val="32"/>
        </w:rPr>
        <w:t>万元，其中：一般公共服务支出474.77万元，文化旅游体育与传媒支出26.42</w:t>
      </w:r>
      <w:r>
        <w:rPr>
          <w:rFonts w:hint="eastAsia"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社会保障和就业支出244.58万元，卫生健康支出54.77万元，</w:t>
      </w:r>
      <w:r>
        <w:rPr>
          <w:rFonts w:hint="eastAsia" w:ascii="Times New Roman" w:hAnsi="Times New Roman" w:eastAsia="方正仿宋_GBK" w:cs="Times New Roman"/>
          <w:sz w:val="32"/>
          <w:szCs w:val="32"/>
          <w:lang w:val="en-US" w:eastAsia="zh-CN"/>
        </w:rPr>
        <w:t>节能环保支出230万元，城乡社区支出7万元，农林水支出561.8万元，交通运输支出3.22万元，自然资源海洋气象等支出1562.88万元，</w:t>
      </w:r>
      <w:r>
        <w:rPr>
          <w:rFonts w:hint="default" w:ascii="Times New Roman" w:hAnsi="Times New Roman" w:eastAsia="方正仿宋_GBK" w:cs="Times New Roman"/>
          <w:sz w:val="32"/>
          <w:szCs w:val="32"/>
        </w:rPr>
        <w:t>住房保障支出50.33万元；支出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5年增加1144.4</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74.01</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val="en-US" w:eastAsia="zh-CN"/>
        </w:rPr>
        <w:t>增加1063.39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，政府性基金预算</w:t>
      </w:r>
      <w:r>
        <w:rPr>
          <w:rFonts w:hint="eastAsia" w:ascii="Times New Roman" w:hAnsi="Times New Roman" w:eastAsia="方正仿宋_GBK" w:cs="Times New Roman"/>
          <w:sz w:val="32"/>
          <w:szCs w:val="32"/>
          <w:lang w:val="en-US" w:eastAsia="zh-CN"/>
        </w:rPr>
        <w:t>支出增加7万元。</w:t>
      </w:r>
    </w:p>
    <w:p w14:paraId="7B0D1A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7FACD0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一般公共预算财政拨款收入3208.76万元，一般公共预算财政拨款支出3208.76万元，比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增加1144.4</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932.02</w:t>
      </w:r>
      <w:r>
        <w:rPr>
          <w:rFonts w:hint="default" w:ascii="Times New Roman" w:hAnsi="Times New Roman" w:eastAsia="方正仿宋_GBK" w:cs="Times New Roman"/>
          <w:sz w:val="32"/>
          <w:szCs w:val="32"/>
        </w:rPr>
        <w:t>万元，主要用于保障在职人员工资福利及社会保险缴费、离休人员离休费、退休人员补助等，保障部门正常运转的各项商品服务支出，比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增加74.01</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人员变动及人员待遇调整</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2276.74</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仿宋_GB2312"/>
          <w:sz w:val="32"/>
          <w:lang w:val="en-US" w:eastAsia="zh-CN"/>
        </w:rPr>
        <w:t>桥头镇乡村振兴产业发展</w:t>
      </w:r>
      <w:r>
        <w:rPr>
          <w:rFonts w:hint="eastAsia" w:ascii="Times New Roman" w:hAnsi="Times New Roman" w:eastAsia="方正仿宋_GBK" w:cs="仿宋_GB2312"/>
          <w:sz w:val="32"/>
        </w:rPr>
        <w:t>等重点工作</w:t>
      </w:r>
      <w:r>
        <w:rPr>
          <w:rFonts w:hint="default" w:ascii="Times New Roman" w:hAnsi="Times New Roman" w:eastAsia="方正仿宋_GBK" w:cs="Times New Roman"/>
          <w:sz w:val="32"/>
          <w:szCs w:val="32"/>
        </w:rPr>
        <w:t>，比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增加1063.39</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增加了基础设施建设项目的投入</w:t>
      </w:r>
      <w:r>
        <w:rPr>
          <w:rFonts w:hint="default" w:ascii="Times New Roman" w:hAnsi="Times New Roman" w:eastAsia="方正仿宋_GBK" w:cs="Times New Roman"/>
          <w:sz w:val="32"/>
          <w:szCs w:val="32"/>
        </w:rPr>
        <w:t>。</w:t>
      </w:r>
    </w:p>
    <w:p w14:paraId="44F0D6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万元，政府性基金预算支出</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增加7</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增加了国有土地使用权出让收入安排的支出。</w:t>
      </w:r>
    </w:p>
    <w:p w14:paraId="6AECA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51E6D7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“三公”经费预算14.35万元，比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与2025年一致</w:t>
      </w:r>
      <w:r>
        <w:rPr>
          <w:rFonts w:hint="default" w:ascii="Times New Roman" w:hAnsi="Times New Roman" w:eastAsia="方正仿宋_GBK" w:cs="Times New Roman"/>
          <w:sz w:val="32"/>
          <w:szCs w:val="32"/>
        </w:rPr>
        <w:t>；公务接待费8.35万元，比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0.1</w:t>
      </w:r>
      <w:r>
        <w:rPr>
          <w:rFonts w:hint="default" w:ascii="Times New Roman" w:hAnsi="Times New Roman" w:eastAsia="方正仿宋_GBK" w:cs="Times New Roman"/>
          <w:sz w:val="32"/>
          <w:szCs w:val="32"/>
        </w:rPr>
        <w:t>元，主要原因是</w:t>
      </w:r>
      <w:r>
        <w:rPr>
          <w:rFonts w:hint="eastAsia" w:ascii="Times New Roman" w:hAnsi="Times New Roman" w:eastAsia="方正仿宋_GBK" w:cs="仿宋_GB2312"/>
          <w:sz w:val="32"/>
        </w:rPr>
        <w:t>继续贯彻</w:t>
      </w:r>
      <w:r>
        <w:rPr>
          <w:rFonts w:hint="eastAsia" w:ascii="Times New Roman" w:hAnsi="Times New Roman" w:eastAsia="方正仿宋_GBK" w:cs="仿宋_GB2312"/>
          <w:sz w:val="32"/>
          <w:lang w:eastAsia="zh-CN"/>
        </w:rPr>
        <w:t>中央八项规定</w:t>
      </w:r>
      <w:r>
        <w:rPr>
          <w:rFonts w:hint="eastAsia" w:ascii="Times New Roman" w:hAnsi="Times New Roman" w:eastAsia="方正仿宋_GBK" w:cs="仿宋_GB2312"/>
          <w:sz w:val="32"/>
        </w:rPr>
        <w:t>要求，坚持厉行节约，严格控制接待费管理</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与2025年一致</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val="en-US" w:eastAsia="zh-CN"/>
        </w:rPr>
        <w:t>与2025年保持一致</w:t>
      </w:r>
      <w:r>
        <w:rPr>
          <w:rFonts w:hint="default" w:ascii="Times New Roman" w:hAnsi="Times New Roman" w:eastAsia="方正仿宋_GBK" w:cs="Times New Roman"/>
          <w:sz w:val="32"/>
          <w:szCs w:val="32"/>
          <w:lang w:eastAsia="zh-CN"/>
        </w:rPr>
        <w:t>。</w:t>
      </w:r>
    </w:p>
    <w:p w14:paraId="4BAFD4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00257C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一般公共预算财政拨款运行经费</w:t>
      </w:r>
      <w:r>
        <w:rPr>
          <w:rFonts w:hint="eastAsia" w:ascii="Times New Roman" w:hAnsi="Times New Roman" w:eastAsia="方正仿宋_GBK" w:cs="Times New Roman"/>
          <w:sz w:val="32"/>
          <w:szCs w:val="32"/>
          <w:lang w:val="en-US" w:eastAsia="zh-CN"/>
        </w:rPr>
        <w:t>110.16</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增加3.11</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val="en-US" w:eastAsia="zh-CN"/>
        </w:rPr>
        <w:t>人员调整开支减少</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p>
    <w:p w14:paraId="3EBDCC10">
      <w:pPr>
        <w:ind w:firstLine="640" w:firstLineChars="200"/>
        <w:rPr>
          <w:rFonts w:hint="eastAsia" w:ascii="Times New Roman" w:hAnsi="Times New Roman" w:eastAsia="方正仿宋_GBK" w:cs="仿宋_GB2312"/>
          <w:sz w:val="32"/>
        </w:rPr>
      </w:pPr>
      <w:r>
        <w:rPr>
          <w:rFonts w:hint="eastAsia" w:ascii="方正楷体_GBK" w:hAnsi="方正楷体_GBK" w:eastAsia="方正楷体_GBK" w:cs="方正楷体_GBK"/>
          <w:sz w:val="32"/>
        </w:rPr>
        <w:t>（二）政府采购情况</w:t>
      </w:r>
      <w:r>
        <w:rPr>
          <w:rFonts w:hint="eastAsia" w:ascii="Times New Roman" w:hAnsi="Times New Roman" w:eastAsia="方正仿宋_GBK" w:cs="仿宋_GB2312"/>
          <w:sz w:val="32"/>
        </w:rPr>
        <w:t>。本单位政府采购预算总额</w:t>
      </w:r>
      <w:r>
        <w:rPr>
          <w:rFonts w:hint="eastAsia" w:ascii="Times New Roman" w:hAnsi="Times New Roman" w:eastAsia="方正仿宋_GBK" w:cs="仿宋_GB2312"/>
          <w:sz w:val="32"/>
          <w:lang w:val="en-US" w:eastAsia="zh-CN"/>
        </w:rPr>
        <w:t>5.86</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5.86</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万元；其中一般公共预算拨款政府采购</w:t>
      </w:r>
      <w:r>
        <w:rPr>
          <w:rFonts w:hint="eastAsia" w:ascii="Times New Roman" w:hAnsi="Times New Roman" w:eastAsia="方正仿宋_GBK" w:cs="仿宋_GB2312"/>
          <w:sz w:val="32"/>
          <w:lang w:val="en-US" w:eastAsia="zh-CN"/>
        </w:rPr>
        <w:t>5.86</w:t>
      </w:r>
      <w:r>
        <w:rPr>
          <w:rFonts w:hint="eastAsia" w:ascii="Times New Roman" w:hAnsi="Times New Roman" w:eastAsia="方正仿宋_GBK" w:cs="仿宋_GB2312"/>
          <w:sz w:val="32"/>
        </w:rPr>
        <w:t>万元：政府采购货物预算</w:t>
      </w:r>
      <w:r>
        <w:rPr>
          <w:rFonts w:hint="eastAsia" w:ascii="Times New Roman" w:hAnsi="Times New Roman" w:eastAsia="方正仿宋_GBK" w:cs="仿宋_GB2312"/>
          <w:sz w:val="32"/>
          <w:lang w:val="en-US" w:eastAsia="zh-CN"/>
        </w:rPr>
        <w:t>5.86</w:t>
      </w:r>
      <w:r>
        <w:rPr>
          <w:rFonts w:hint="eastAsia" w:ascii="Times New Roman" w:hAnsi="Times New Roman" w:eastAsia="方正仿宋_GBK" w:cs="仿宋_GB2312"/>
          <w:sz w:val="32"/>
        </w:rPr>
        <w:t>万元、政府采购工程预算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万元、政府采购服务预算</w:t>
      </w:r>
      <w:r>
        <w:rPr>
          <w:rFonts w:hint="eastAsia" w:ascii="Times New Roman" w:hAnsi="Times New Roman" w:eastAsia="方正仿宋_GBK" w:cs="仿宋_GB2312"/>
          <w:sz w:val="32"/>
          <w:lang w:val="en-US" w:eastAsia="zh-CN"/>
        </w:rPr>
        <w:t>0</w:t>
      </w:r>
      <w:r>
        <w:rPr>
          <w:rFonts w:hint="eastAsia" w:ascii="Times New Roman" w:hAnsi="Times New Roman" w:eastAsia="方正仿宋_GBK" w:cs="仿宋_GB2312"/>
          <w:sz w:val="32"/>
        </w:rPr>
        <w:t>万元。</w:t>
      </w:r>
    </w:p>
    <w:p w14:paraId="1353AC71">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项目支出均实行了绩效目标管理，涉及一般公共预算财政拨款2276.74万元。</w:t>
      </w:r>
    </w:p>
    <w:p w14:paraId="4116DE1B">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（四）国有资产占有使用情况</w:t>
      </w:r>
      <w:r>
        <w:rPr>
          <w:rFonts w:hint="eastAsia" w:ascii="Times New Roman" w:hAnsi="Times New Roman" w:eastAsia="方正仿宋_GBK" w:cs="仿宋_GB2312"/>
          <w:color w:val="000000"/>
          <w:sz w:val="32"/>
        </w:rPr>
        <w:t>。截止</w:t>
      </w:r>
      <w:r>
        <w:rPr>
          <w:rFonts w:hint="eastAsia" w:ascii="Times New Roman" w:hAnsi="Times New Roman" w:eastAsia="方正仿宋_GBK" w:cs="仿宋_GB2312"/>
          <w:color w:val="000000"/>
          <w:sz w:val="32"/>
          <w:lang w:eastAsia="zh-CN"/>
        </w:rPr>
        <w:t>202</w:t>
      </w:r>
      <w:r>
        <w:rPr>
          <w:rFonts w:hint="eastAsia" w:ascii="Times New Roman" w:hAnsi="Times New Roman" w:eastAsia="方正仿宋_GBK" w:cs="仿宋_GB2312"/>
          <w:color w:val="000000"/>
          <w:sz w:val="32"/>
          <w:lang w:val="en-US" w:eastAsia="zh-CN"/>
        </w:rPr>
        <w:t>5</w:t>
      </w:r>
      <w:r>
        <w:rPr>
          <w:rFonts w:hint="eastAsia" w:ascii="Times New Roman" w:hAnsi="Times New Roman" w:eastAsia="方正仿宋_GBK" w:cs="仿宋_GB2312"/>
          <w:color w:val="000000"/>
          <w:sz w:val="32"/>
          <w:lang w:eastAsia="zh-CN"/>
        </w:rPr>
        <w:t>年</w:t>
      </w:r>
      <w:r>
        <w:rPr>
          <w:rFonts w:hint="eastAsia" w:ascii="Times New Roman" w:hAnsi="Times New Roman" w:eastAsia="方正仿宋_GBK" w:cs="仿宋_GB2312"/>
          <w:color w:val="000000"/>
          <w:sz w:val="32"/>
        </w:rPr>
        <w:t>12月，本单位共有车辆</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2</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r>
        <w:rPr>
          <w:rFonts w:hint="eastAsia" w:ascii="Times New Roman" w:hAnsi="Times New Roman" w:eastAsia="方正仿宋_GBK" w:cs="仿宋_GB2312"/>
          <w:color w:val="000000"/>
          <w:sz w:val="32"/>
          <w:lang w:eastAsia="zh-CN"/>
        </w:rPr>
        <w:t>2025年</w:t>
      </w:r>
      <w:r>
        <w:rPr>
          <w:rFonts w:hint="eastAsia" w:ascii="Times New Roman" w:hAnsi="Times New Roman" w:eastAsia="方正仿宋_GBK" w:cs="仿宋_GB2312"/>
          <w:color w:val="000000"/>
          <w:sz w:val="32"/>
        </w:rPr>
        <w:t>一般公共预算安排购置车辆</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辆，其中一般公务用车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辆、执勤执法用车</w:t>
      </w:r>
      <w:r>
        <w:rPr>
          <w:rFonts w:hint="eastAsia" w:ascii="Times New Roman" w:hAnsi="Times New Roman" w:eastAsia="方正仿宋_GBK" w:cs="仿宋_GB2312"/>
          <w:color w:val="000000"/>
          <w:sz w:val="32"/>
          <w:lang w:val="en-US" w:eastAsia="zh-CN"/>
        </w:rPr>
        <w:t>0</w:t>
      </w:r>
      <w:r>
        <w:rPr>
          <w:rFonts w:hint="eastAsia" w:ascii="Times New Roman" w:hAnsi="Times New Roman" w:eastAsia="方正仿宋_GBK" w:cs="仿宋_GB2312"/>
          <w:color w:val="000000"/>
          <w:sz w:val="32"/>
        </w:rPr>
        <w:t>辆。</w:t>
      </w:r>
    </w:p>
    <w:p w14:paraId="1E6AD191">
      <w:pPr>
        <w:spacing w:line="600" w:lineRule="exact"/>
        <w:ind w:firstLine="640" w:firstLineChars="200"/>
        <w:rPr>
          <w:rFonts w:hint="eastAsia" w:ascii="Times New Roman" w:hAnsi="Times New Roman" w:eastAsia="方正黑体_GBK" w:cs="仿宋_GB2312"/>
          <w:sz w:val="32"/>
        </w:rPr>
      </w:pPr>
      <w:r>
        <w:rPr>
          <w:rFonts w:hint="eastAsia" w:ascii="Times New Roman" w:hAnsi="Times New Roman" w:eastAsia="方正黑体_GBK" w:cs="仿宋_GB2312"/>
          <w:sz w:val="32"/>
        </w:rPr>
        <w:t>六</w:t>
      </w:r>
      <w:r>
        <w:rPr>
          <w:rFonts w:ascii="Times New Roman" w:hAnsi="Times New Roman" w:eastAsia="方正黑体_GBK" w:cs="仿宋_GB2312"/>
          <w:sz w:val="32"/>
        </w:rPr>
        <w:t>、</w:t>
      </w:r>
      <w:r>
        <w:rPr>
          <w:rFonts w:hint="eastAsia" w:ascii="Times New Roman" w:hAnsi="Times New Roman" w:eastAsia="方正黑体_GBK" w:cs="仿宋_GB2312"/>
          <w:sz w:val="32"/>
        </w:rPr>
        <w:t>专业性名词解释</w:t>
      </w:r>
    </w:p>
    <w:p w14:paraId="564E3D52">
      <w:pPr>
        <w:pStyle w:val="14"/>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7EE660C3">
      <w:pPr>
        <w:pStyle w:val="14"/>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（二）其他收入</w:t>
      </w:r>
      <w:r>
        <w:rPr>
          <w:rFonts w:hint="eastAsia" w:ascii="Times New Roman" w:hAnsi="Times New Roman" w:eastAsia="方正仿宋_GBK"/>
          <w:sz w:val="32"/>
          <w:szCs w:val="32"/>
        </w:rPr>
        <w:t>：指单位取得的除“财政拨款收入”、“事业收入”、“经营收入”等以外的收入。</w:t>
      </w:r>
    </w:p>
    <w:p w14:paraId="14DBA78A">
      <w:pPr>
        <w:pStyle w:val="14"/>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（三）基本支出</w:t>
      </w:r>
      <w:r>
        <w:rPr>
          <w:rFonts w:hint="eastAsia" w:ascii="Times New Roman" w:hAnsi="Times New Roman" w:eastAsia="方正仿宋_GBK"/>
          <w:sz w:val="32"/>
          <w:szCs w:val="32"/>
        </w:rPr>
        <w:t>：指为保障机构正常运转、完成日常工作任务而发生的人员经费和公用经费。</w:t>
      </w:r>
    </w:p>
    <w:p w14:paraId="2FB3E8CF">
      <w:pPr>
        <w:pStyle w:val="14"/>
        <w:tabs>
          <w:tab w:val="center" w:pos="4153"/>
          <w:tab w:val="left" w:pos="7275"/>
        </w:tabs>
        <w:spacing w:line="600" w:lineRule="exact"/>
        <w:ind w:firstLine="640"/>
        <w:jc w:val="left"/>
        <w:rPr>
          <w:rFonts w:hint="eastAsia" w:ascii="Times New Roman" w:hAnsi="Times New Roman" w:eastAsia="方正仿宋_GBK"/>
          <w:sz w:val="32"/>
          <w:szCs w:val="32"/>
        </w:rPr>
      </w:pPr>
      <w:r>
        <w:rPr>
          <w:rFonts w:hint="eastAsia" w:ascii="方正楷体_GBK" w:hAnsi="方正楷体_GBK" w:eastAsia="方正楷体_GBK" w:cs="方正楷体_GBK"/>
          <w:kern w:val="2"/>
          <w:sz w:val="32"/>
          <w:szCs w:val="22"/>
          <w:lang w:val="en-US" w:eastAsia="zh-CN" w:bidi="ar-SA"/>
        </w:rPr>
        <w:t>（四）项目支出</w:t>
      </w:r>
      <w:r>
        <w:rPr>
          <w:rFonts w:hint="eastAsia" w:ascii="Times New Roman" w:hAnsi="Times New Roman" w:eastAsia="方正仿宋_GBK"/>
          <w:sz w:val="32"/>
          <w:szCs w:val="32"/>
        </w:rPr>
        <w:t>：指在基本支出之外为完成特定行政任务和事业发展目标所发生的支出。</w:t>
      </w:r>
    </w:p>
    <w:p w14:paraId="124A9B96">
      <w:pPr>
        <w:ind w:firstLine="640" w:firstLineChars="200"/>
        <w:rPr>
          <w:rFonts w:hint="eastAsia" w:ascii="Times New Roman" w:hAnsi="Times New Roman" w:eastAsia="方正仿宋_GBK" w:cs="仿宋_GB2312"/>
          <w:color w:val="000000"/>
          <w:sz w:val="32"/>
        </w:rPr>
      </w:pPr>
      <w:r>
        <w:rPr>
          <w:rFonts w:hint="eastAsia" w:ascii="方正楷体_GBK" w:hAnsi="方正楷体_GBK" w:eastAsia="方正楷体_GBK" w:cs="方正楷体_GBK"/>
          <w:sz w:val="32"/>
        </w:rPr>
        <w:t>（五）“三公”经费</w:t>
      </w:r>
      <w:r>
        <w:rPr>
          <w:rFonts w:hint="eastAsia" w:ascii="Times New Roman" w:hAnsi="Times New Roman" w:eastAsia="方正仿宋_GBK"/>
          <w:sz w:val="32"/>
          <w:szCs w:val="32"/>
        </w:rPr>
        <w:t>：指用</w:t>
      </w:r>
      <w:r>
        <w:rPr>
          <w:rFonts w:hint="eastAsia" w:ascii="Times New Roman" w:hAnsi="Times New Roman" w:eastAsia="方正仿宋_GBK"/>
          <w:sz w:val="32"/>
          <w:szCs w:val="32"/>
          <w:highlight w:val="none"/>
        </w:rPr>
        <w:t>财政拨款安排</w:t>
      </w:r>
      <w:r>
        <w:rPr>
          <w:rFonts w:hint="eastAsia" w:ascii="Times New Roman" w:hAnsi="Times New Roman" w:eastAsia="方正仿宋_GBK"/>
          <w:sz w:val="32"/>
          <w:szCs w:val="32"/>
        </w:rPr>
        <w:t>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C6B4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预算公开联系人：</w:t>
      </w:r>
      <w:r>
        <w:rPr>
          <w:rFonts w:hint="eastAsia" w:ascii="Times New Roman" w:hAnsi="Times New Roman" w:eastAsia="方正仿宋_GBK" w:cs="Times New Roman"/>
          <w:sz w:val="32"/>
          <w:szCs w:val="32"/>
          <w:lang w:val="en-US" w:eastAsia="zh-CN"/>
        </w:rPr>
        <w:t>马青蓉</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73387001</w:t>
      </w:r>
    </w:p>
    <w:p w14:paraId="4C7F6E8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7490D39">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zMDk0ZjQ4NTdkODYwYWZlZjU2MzI4NmNlZTA5MTQifQ=="/>
  </w:docVars>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1541EA9"/>
    <w:rsid w:val="08465092"/>
    <w:rsid w:val="08C54A2E"/>
    <w:rsid w:val="0D7A365A"/>
    <w:rsid w:val="133B1901"/>
    <w:rsid w:val="18D2654E"/>
    <w:rsid w:val="19DB55F5"/>
    <w:rsid w:val="1DD801A3"/>
    <w:rsid w:val="1E874853"/>
    <w:rsid w:val="1EAF42D1"/>
    <w:rsid w:val="274B199A"/>
    <w:rsid w:val="2A1750A8"/>
    <w:rsid w:val="2AAD44A3"/>
    <w:rsid w:val="2BE20CDE"/>
    <w:rsid w:val="2C10639F"/>
    <w:rsid w:val="324B2D7F"/>
    <w:rsid w:val="32513FE1"/>
    <w:rsid w:val="387110B4"/>
    <w:rsid w:val="38865871"/>
    <w:rsid w:val="3A720DEA"/>
    <w:rsid w:val="3B9B3520"/>
    <w:rsid w:val="41676B01"/>
    <w:rsid w:val="489617E1"/>
    <w:rsid w:val="4A2315B7"/>
    <w:rsid w:val="4D5D69EE"/>
    <w:rsid w:val="5A254D94"/>
    <w:rsid w:val="5B8E1A9F"/>
    <w:rsid w:val="5CF21E57"/>
    <w:rsid w:val="5D1F6392"/>
    <w:rsid w:val="5DC10243"/>
    <w:rsid w:val="636724EC"/>
    <w:rsid w:val="648E1742"/>
    <w:rsid w:val="65A30990"/>
    <w:rsid w:val="67920983"/>
    <w:rsid w:val="6AA0021E"/>
    <w:rsid w:val="6D7D441C"/>
    <w:rsid w:val="6F7F1917"/>
    <w:rsid w:val="71597F39"/>
    <w:rsid w:val="73673CEF"/>
    <w:rsid w:val="74676B9A"/>
    <w:rsid w:val="75930F1E"/>
    <w:rsid w:val="79CF62B4"/>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customStyle="1" w:styleId="3">
    <w:name w:val="默认"/>
    <w:basedOn w:val="1"/>
    <w:unhideWhenUsed/>
    <w:qFormat/>
    <w:uiPriority w:val="0"/>
    <w:pPr>
      <w:jc w:val="left"/>
    </w:pPr>
    <w:rPr>
      <w:rFonts w:hint="default" w:ascii="Helvetica" w:hAnsi="Helvetica" w:cs="Helvetica"/>
      <w:color w:val="000000"/>
      <w:kern w:val="0"/>
      <w:sz w:val="22"/>
      <w:szCs w:val="22"/>
      <w:lang w:val="en-US" w:eastAsia="zh-CN" w:bidi="ar"/>
    </w:rPr>
  </w:style>
  <w:style w:type="paragraph" w:styleId="4">
    <w:name w:val="Balloon Text"/>
    <w:basedOn w:val="1"/>
    <w:link w:val="11"/>
    <w:qFormat/>
    <w:uiPriority w:val="0"/>
    <w:rPr>
      <w:sz w:val="18"/>
      <w:szCs w:val="18"/>
    </w:rPr>
  </w:style>
  <w:style w:type="paragraph" w:styleId="5">
    <w:name w:val="footer"/>
    <w:basedOn w:val="1"/>
    <w:link w:val="13"/>
    <w:qFormat/>
    <w:uiPriority w:val="0"/>
    <w:pPr>
      <w:snapToGrid w:val="0"/>
      <w:jc w:val="left"/>
    </w:pPr>
    <w:rPr>
      <w:sz w:val="18"/>
      <w:szCs w:val="18"/>
    </w:rPr>
  </w:style>
  <w:style w:type="paragraph" w:styleId="6">
    <w:name w:val="header"/>
    <w:basedOn w:val="1"/>
    <w:link w:val="12"/>
    <w:qFormat/>
    <w:uiPriority w:val="0"/>
    <w:pPr>
      <w:pBdr>
        <w:bottom w:val="single" w:color="auto" w:sz="6" w:space="1"/>
      </w:pBdr>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page number"/>
    <w:unhideWhenUsed/>
    <w:qFormat/>
    <w:uiPriority w:val="0"/>
  </w:style>
  <w:style w:type="character" w:customStyle="1" w:styleId="11">
    <w:name w:val="批注框文本 字符"/>
    <w:link w:val="4"/>
    <w:qFormat/>
    <w:uiPriority w:val="0"/>
    <w:rPr>
      <w:kern w:val="2"/>
      <w:sz w:val="18"/>
      <w:szCs w:val="18"/>
    </w:rPr>
  </w:style>
  <w:style w:type="character" w:customStyle="1" w:styleId="12">
    <w:name w:val="页眉 字符"/>
    <w:link w:val="6"/>
    <w:qFormat/>
    <w:uiPriority w:val="0"/>
    <w:rPr>
      <w:kern w:val="2"/>
      <w:sz w:val="18"/>
      <w:szCs w:val="18"/>
    </w:rPr>
  </w:style>
  <w:style w:type="character" w:customStyle="1" w:styleId="13">
    <w:name w:val="页脚 字符"/>
    <w:link w:val="5"/>
    <w:qFormat/>
    <w:uiPriority w:val="0"/>
    <w:rPr>
      <w:kern w:val="2"/>
      <w:sz w:val="18"/>
      <w:szCs w:val="18"/>
    </w:rPr>
  </w:style>
  <w:style w:type="paragraph" w:styleId="14">
    <w:name w:val="List Paragraph"/>
    <w:basedOn w:val="1"/>
    <w:qFormat/>
    <w:uiPriority w:val="0"/>
    <w:pPr>
      <w:ind w:firstLine="420" w:firstLineChars="200"/>
    </w:pPr>
  </w:style>
  <w:style w:type="character" w:customStyle="1" w:styleId="15">
    <w:name w:val="23"/>
    <w:basedOn w:val="9"/>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2836</Words>
  <Characters>3069</Characters>
  <Lines>8</Lines>
  <Paragraphs>2</Paragraphs>
  <TotalTime>87</TotalTime>
  <ScaleCrop>false</ScaleCrop>
  <LinksUpToDate>false</LinksUpToDate>
  <CharactersWithSpaces>3075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安然弱水</cp:lastModifiedBy>
  <cp:lastPrinted>2018-01-02T08:11:00Z</cp:lastPrinted>
  <dcterms:modified xsi:type="dcterms:W3CDTF">2026-02-27T07:49:36Z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BC46DE40CF9B4776AA076014997ADBE0</vt:lpwstr>
  </property>
  <property fmtid="{D5CDD505-2E9C-101B-9397-08002B2CF9AE}" pid="4" name="KSOTemplateDocerSaveRecord">
    <vt:lpwstr>eyJoZGlkIjoiNTY1MGQ5ZDcyMmUwY2NiYWVlNWY0OWY5NDcwMGM5M2MiLCJ1c2VySWQiOiIxMzAwNjA3NzU5In0=</vt:lpwstr>
  </property>
</Properties>
</file>