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石柱土家族自治县桥头镇人民政府</w:t>
      </w:r>
    </w:p>
    <w:p>
      <w:pPr>
        <w:pStyle w:val="7"/>
        <w:spacing w:before="0" w:beforeAutospacing="0" w:after="0" w:afterAutospacing="0" w:line="596" w:lineRule="exact"/>
        <w:jc w:val="center"/>
        <w:rPr>
          <w:rFonts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年度决算说明</w:t>
      </w:r>
    </w:p>
    <w:p>
      <w:pPr>
        <w:pStyle w:val="7"/>
        <w:shd w:val="clear" w:color="auto" w:fill="FFFFFF"/>
        <w:rPr>
          <w:rFonts w:ascii="黑体" w:hAnsi="黑体" w:eastAsia="黑体" w:cs="黑体"/>
          <w:sz w:val="32"/>
          <w:szCs w:val="32"/>
        </w:rPr>
      </w:pPr>
      <w:r>
        <w:rPr>
          <w:rStyle w:val="10"/>
          <w:rFonts w:ascii="黑体" w:hAnsi="黑体" w:eastAsia="黑体" w:cs="黑体"/>
          <w:sz w:val="32"/>
          <w:szCs w:val="32"/>
          <w:shd w:val="clear" w:color="auto" w:fill="FFFFFF"/>
        </w:rPr>
        <w:t>一、部门基本情况</w:t>
      </w:r>
      <w:bookmarkStart w:id="0" w:name="_GoBack"/>
      <w:bookmarkEnd w:id="0"/>
    </w:p>
    <w:p>
      <w:pPr>
        <w:pStyle w:val="7"/>
        <w:shd w:val="clear" w:color="auto" w:fill="FFFFFF"/>
        <w:ind w:firstLine="420"/>
        <w:rPr>
          <w:rStyle w:val="10"/>
          <w:rFonts w:hint="eastAsia" w:ascii="楷体" w:hAnsi="楷体" w:eastAsia="楷体" w:cs="楷体"/>
          <w:sz w:val="32"/>
          <w:szCs w:val="32"/>
          <w:shd w:val="clear" w:color="auto" w:fill="FFFFFF"/>
        </w:rPr>
      </w:pPr>
      <w:r>
        <w:rPr>
          <w:rStyle w:val="10"/>
          <w:rFonts w:hint="eastAsia" w:ascii="楷体" w:hAnsi="楷体" w:eastAsia="楷体" w:cs="楷体"/>
          <w:sz w:val="32"/>
          <w:szCs w:val="32"/>
          <w:shd w:val="clear" w:color="auto" w:fill="FFFFFF"/>
        </w:rPr>
        <w:t>（一）职能职责</w:t>
      </w:r>
    </w:p>
    <w:p>
      <w:pPr>
        <w:spacing w:line="578"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综合办事机构</w:t>
      </w:r>
    </w:p>
    <w:p>
      <w:pPr>
        <w:spacing w:line="578" w:lineRule="exact"/>
        <w:ind w:firstLine="640" w:firstLineChars="200"/>
        <w:rPr>
          <w:rFonts w:hint="default" w:ascii="Times New Roman" w:hAnsi="Times New Roman" w:eastAsia="方正仿宋_GBK" w:cs="Times New Roman"/>
          <w:sz w:val="32"/>
        </w:rPr>
      </w:pPr>
      <w:r>
        <w:rPr>
          <w:rFonts w:ascii="Times New Roman" w:hAnsi="Times New Roman" w:eastAsia="方正仿宋_GBK" w:cs="Times New Roman"/>
          <w:sz w:val="32"/>
        </w:rPr>
        <w:t>1．党政办公室。主要承担文秘、公文处理、会务、接待、政务值班等职责；承担综合协调、规范性文件审查、督查督办、信息、档案管理、车辆管理等职责。</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cs="Times New Roman"/>
          <w:sz w:val="32"/>
        </w:rPr>
        <w:t>2．党群工作办公室。主要承担党的建设、机构编制、组织人事、纪律监察、宣传、统战、民宗侨台、武装、群团、</w:t>
      </w:r>
      <w:r>
        <w:rPr>
          <w:rFonts w:ascii="Times New Roman" w:hAnsi="Times New Roman" w:eastAsia="方正仿宋_GBK"/>
          <w:sz w:val="32"/>
        </w:rPr>
        <w:t>新时代文明实践等职责。</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3．经济发展办公室 (统计办公室、农村经营管理办公室、扶贫开发办公室)。主要承担经济发展规划与指导服务、农业产业化发展、农村经营管理、经济社会统计、扶贫开发、内部审计等职责。</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4．民政和社会事务办公室 （卫生健康办公室）。主要承担民政、教育、卫生健康、文化、体育、社会救助、残疾人事业、劳动就业、社会保障（医疗保障）、社区管理等职责。</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5．平安建设办公室。主要承担信访稳定、人民调解、社会治安综合治理、禁毒、防范和处理邪教等职责。</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6．规划建设管理环保办公室。主要承担村镇规划、村镇建设、农村公路建设及管护、集镇管理、生态环境保护等职责。</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7．财政办公室。主要承担财政收支、预决算、总会计、惠农资金兑付、财政资金监督检查、绩效评价、村级财政管理、国有资产管理等职责。</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8．应急管理办公室。主要承担安全生产综合监管、应急管理、消防安全管理、森林防火、食品药品安全监督属地管理（含农村家宴备案）等工作，协助开展煤矿、非煤矿山、危险化学品、烟花爆竹等安全生产日常监管工作。</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9.人大办公室。主要承担人大主席团日常工作。</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10.综合行政执法办公室。主要承担集中行使依法授权或委托的行政执法权，与综合行政执法大队实行统筹运行。</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事业单位</w:t>
      </w:r>
    </w:p>
    <w:p>
      <w:pPr>
        <w:tabs>
          <w:tab w:val="left" w:pos="5340"/>
        </w:tabs>
        <w:spacing w:line="594" w:lineRule="exact"/>
        <w:ind w:firstLine="640" w:firstLineChars="200"/>
        <w:rPr>
          <w:rFonts w:hint="default" w:ascii="方正楷体_GBK" w:hAnsi="Times New Roman" w:eastAsia="方正楷体_GBK"/>
          <w:sz w:val="32"/>
          <w:szCs w:val="32"/>
        </w:rPr>
      </w:pPr>
      <w:r>
        <w:rPr>
          <w:rFonts w:ascii="Times New Roman" w:hAnsi="Times New Roman" w:eastAsia="方正仿宋_GBK"/>
          <w:sz w:val="32"/>
        </w:rPr>
        <w:t>1．</w:t>
      </w:r>
      <w:r>
        <w:rPr>
          <w:rFonts w:ascii="方正楷体_GBK" w:hAnsi="Times New Roman" w:eastAsia="方正楷体_GBK"/>
          <w:sz w:val="32"/>
          <w:szCs w:val="32"/>
        </w:rPr>
        <w:t>产业发展服务中心</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宗旨：</w:t>
      </w:r>
      <w:r>
        <w:rPr>
          <w:rFonts w:ascii="Times New Roman" w:hAnsi="Times New Roman" w:eastAsia="方正仿宋_GBK"/>
          <w:sz w:val="32"/>
          <w:szCs w:val="32"/>
        </w:rPr>
        <w:t>为推进辖区产业高质量发展提供服务。</w:t>
      </w:r>
    </w:p>
    <w:p>
      <w:pPr>
        <w:tabs>
          <w:tab w:val="left" w:pos="5340"/>
        </w:tabs>
        <w:spacing w:line="560"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rPr>
        <w:t>主要职责任务：</w:t>
      </w:r>
      <w:r>
        <w:rPr>
          <w:rFonts w:ascii="Times New Roman" w:hAnsi="Times New Roman" w:eastAsia="方正仿宋_GBK"/>
          <w:sz w:val="32"/>
          <w:szCs w:val="32"/>
        </w:rPr>
        <w:t>贯彻落实产业发展的方针政策。</w:t>
      </w:r>
    </w:p>
    <w:p>
      <w:pPr>
        <w:tabs>
          <w:tab w:val="left" w:pos="5340"/>
        </w:tabs>
        <w:spacing w:line="560" w:lineRule="exact"/>
        <w:ind w:firstLine="640" w:firstLineChars="200"/>
        <w:rPr>
          <w:rFonts w:hint="default" w:ascii="Times New Roman" w:hAnsi="Times New Roman" w:eastAsia="方正仿宋_GBK"/>
          <w:sz w:val="32"/>
        </w:rPr>
      </w:pPr>
      <w:r>
        <w:rPr>
          <w:rFonts w:ascii="Times New Roman" w:hAnsi="Times New Roman" w:eastAsia="方正仿宋_GBK"/>
          <w:sz w:val="32"/>
        </w:rPr>
        <w:t>具体职责任务：</w:t>
      </w:r>
    </w:p>
    <w:p>
      <w:pPr>
        <w:pStyle w:val="12"/>
        <w:numPr>
          <w:ilvl w:val="0"/>
          <w:numId w:val="1"/>
        </w:numPr>
        <w:tabs>
          <w:tab w:val="left" w:pos="5340"/>
        </w:tabs>
        <w:spacing w:line="560"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负责辖区产业结构和布局调整，编制辖区产业发展规划并组织实施。</w:t>
      </w:r>
    </w:p>
    <w:p>
      <w:pPr>
        <w:pStyle w:val="12"/>
        <w:numPr>
          <w:ilvl w:val="0"/>
          <w:numId w:val="1"/>
        </w:numPr>
        <w:tabs>
          <w:tab w:val="left" w:pos="5340"/>
        </w:tabs>
        <w:spacing w:line="560"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负责提出产业发展的技术措施、新技术引进及推广工作。</w:t>
      </w:r>
    </w:p>
    <w:p>
      <w:pPr>
        <w:pStyle w:val="12"/>
        <w:numPr>
          <w:ilvl w:val="0"/>
          <w:numId w:val="1"/>
        </w:numPr>
        <w:tabs>
          <w:tab w:val="left" w:pos="5340"/>
        </w:tabs>
        <w:spacing w:line="560"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负责产业公共信息服务和实用技术培训等工作。</w:t>
      </w:r>
    </w:p>
    <w:p>
      <w:pPr>
        <w:pStyle w:val="12"/>
        <w:numPr>
          <w:ilvl w:val="0"/>
          <w:numId w:val="1"/>
        </w:numPr>
        <w:tabs>
          <w:tab w:val="left" w:pos="5340"/>
        </w:tabs>
        <w:spacing w:line="560"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负责产业物资供销协调工作。</w:t>
      </w:r>
    </w:p>
    <w:p>
      <w:pPr>
        <w:pStyle w:val="12"/>
        <w:numPr>
          <w:ilvl w:val="0"/>
          <w:numId w:val="1"/>
        </w:numPr>
        <w:tabs>
          <w:tab w:val="left" w:pos="5340"/>
        </w:tabs>
        <w:spacing w:line="560"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负责各类产业灾害防治、疫病防控、水利工程管理的统筹协调指挥、技术指导工作。</w:t>
      </w:r>
    </w:p>
    <w:p>
      <w:pPr>
        <w:pStyle w:val="12"/>
        <w:numPr>
          <w:ilvl w:val="0"/>
          <w:numId w:val="1"/>
        </w:numPr>
        <w:tabs>
          <w:tab w:val="left" w:pos="5340"/>
        </w:tabs>
        <w:spacing w:line="560"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负责农技、农机、林业、水利水保、水产、畜牧兽医等方面的技术推广、信息服务工作。</w:t>
      </w:r>
    </w:p>
    <w:p>
      <w:pPr>
        <w:pStyle w:val="12"/>
        <w:numPr>
          <w:ilvl w:val="0"/>
          <w:numId w:val="1"/>
        </w:numPr>
        <w:tabs>
          <w:tab w:val="left" w:pos="5340"/>
        </w:tabs>
        <w:spacing w:line="560"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负责镇党委、人民政府交办的其他工作任务。</w:t>
      </w:r>
    </w:p>
    <w:p>
      <w:pPr>
        <w:spacing w:line="578" w:lineRule="exact"/>
        <w:ind w:firstLine="640" w:firstLineChars="200"/>
        <w:rPr>
          <w:rFonts w:hint="default" w:ascii="方正楷体_GBK" w:hAnsi="Times New Roman" w:eastAsia="方正楷体_GBK"/>
          <w:sz w:val="32"/>
          <w:szCs w:val="32"/>
        </w:rPr>
      </w:pPr>
      <w:r>
        <w:rPr>
          <w:rFonts w:ascii="Times New Roman" w:hAnsi="Times New Roman" w:eastAsia="方正仿宋_GBK"/>
          <w:sz w:val="32"/>
        </w:rPr>
        <w:t>2．</w:t>
      </w:r>
      <w:r>
        <w:rPr>
          <w:rFonts w:ascii="方正楷体_GBK" w:hAnsi="Times New Roman" w:eastAsia="方正楷体_GBK"/>
          <w:sz w:val="32"/>
          <w:szCs w:val="32"/>
        </w:rPr>
        <w:t>新时代文明实践服务中心</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宗旨：</w:t>
      </w:r>
      <w:r>
        <w:rPr>
          <w:rFonts w:ascii="Times New Roman" w:hAnsi="Times New Roman" w:eastAsia="方正仿宋_GBK"/>
          <w:sz w:val="32"/>
          <w:szCs w:val="32"/>
        </w:rPr>
        <w:t>为开展新时代文明实践活动和群众文化活动提供服务。</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主要职责任务：主要承担文化、宣传、广播电视、体育、乡村旅游、科技培训等方面服务工作。</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具体职责任务：</w:t>
      </w:r>
    </w:p>
    <w:p>
      <w:pPr>
        <w:numPr>
          <w:ilvl w:val="0"/>
          <w:numId w:val="2"/>
        </w:num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 xml:space="preserve">承担开展文化娱乐和体育活动等方面工作，指导各村（居）开展文体活动。 </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（2）承担普及科学文化知识，传递经济、科技、文化信息，为当地经济建设服务。</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（3）承担广播、电视、电影方面的服务工作。</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（4）承担综合文化场地的开放和服务工作。</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（5）承担辖区内文物、非物质文化遗产的挖掘、保护等工作。</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（6）承担乡村旅游服务工作。</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（7）承办镇党委、镇政府交办的其他工作任务。</w:t>
      </w:r>
    </w:p>
    <w:p>
      <w:pPr>
        <w:tabs>
          <w:tab w:val="left" w:pos="5340"/>
        </w:tabs>
        <w:spacing w:line="560" w:lineRule="exact"/>
        <w:ind w:firstLine="640" w:firstLineChars="200"/>
        <w:rPr>
          <w:rFonts w:hint="default" w:ascii="方正楷体_GBK" w:hAnsi="Times New Roman" w:eastAsia="方正楷体_GBK"/>
          <w:sz w:val="32"/>
          <w:szCs w:val="32"/>
        </w:rPr>
      </w:pPr>
      <w:r>
        <w:rPr>
          <w:rFonts w:ascii="Times New Roman" w:hAnsi="Times New Roman" w:eastAsia="方正仿宋_GBK"/>
          <w:sz w:val="32"/>
        </w:rPr>
        <w:t>3．</w:t>
      </w:r>
      <w:r>
        <w:rPr>
          <w:rFonts w:hint="default" w:ascii="Times New Roman" w:hAnsi="Times New Roman" w:eastAsia="方正仿宋_GBK"/>
          <w:sz w:val="32"/>
        </w:rPr>
        <w:t xml:space="preserve"> </w:t>
      </w:r>
      <w:r>
        <w:rPr>
          <w:rFonts w:ascii="方正楷体_GBK" w:hAnsi="Times New Roman" w:eastAsia="方正楷体_GBK"/>
          <w:sz w:val="32"/>
          <w:szCs w:val="32"/>
        </w:rPr>
        <w:t>村镇建设服务中心</w:t>
      </w:r>
    </w:p>
    <w:p>
      <w:pPr>
        <w:spacing w:line="578"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rPr>
        <w:t>宗旨:</w:t>
      </w:r>
      <w:r>
        <w:rPr>
          <w:rFonts w:ascii="Times New Roman" w:hAnsi="Times New Roman" w:eastAsia="方正仿宋_GBK"/>
          <w:sz w:val="32"/>
          <w:szCs w:val="32"/>
        </w:rPr>
        <w:t xml:space="preserve"> 为村镇规划建设提供服务。</w:t>
      </w:r>
    </w:p>
    <w:p>
      <w:pPr>
        <w:spacing w:line="578"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rPr>
        <w:t>主要职责任务:</w:t>
      </w:r>
      <w:r>
        <w:rPr>
          <w:rFonts w:ascii="Times New Roman" w:hAnsi="Times New Roman" w:eastAsia="方正仿宋_GBK"/>
          <w:sz w:val="32"/>
          <w:szCs w:val="32"/>
        </w:rPr>
        <w:t xml:space="preserve"> 贯彻落实村镇建设的方针政策。</w:t>
      </w:r>
    </w:p>
    <w:p>
      <w:pPr>
        <w:tabs>
          <w:tab w:val="left" w:pos="5340"/>
        </w:tabs>
        <w:spacing w:line="594" w:lineRule="exact"/>
        <w:ind w:firstLine="640" w:firstLineChars="200"/>
        <w:rPr>
          <w:rFonts w:hint="default" w:ascii="Times New Roman" w:hAnsi="Times New Roman" w:eastAsia="方正仿宋_GBK"/>
          <w:sz w:val="32"/>
        </w:rPr>
      </w:pPr>
      <w:r>
        <w:rPr>
          <w:rFonts w:ascii="Times New Roman" w:hAnsi="Times New Roman" w:eastAsia="方正仿宋_GBK"/>
          <w:sz w:val="32"/>
        </w:rPr>
        <w:t>具体职责任务：</w:t>
      </w:r>
    </w:p>
    <w:p>
      <w:pPr>
        <w:pStyle w:val="12"/>
        <w:numPr>
          <w:ilvl w:val="0"/>
          <w:numId w:val="3"/>
        </w:numPr>
        <w:tabs>
          <w:tab w:val="left" w:pos="5340"/>
        </w:tabs>
        <w:spacing w:line="594" w:lineRule="exact"/>
        <w:ind w:firstLineChars="0"/>
        <w:rPr>
          <w:rFonts w:hint="default" w:ascii="Times New Roman" w:hAnsi="Times New Roman" w:eastAsia="方正仿宋_GBK"/>
          <w:sz w:val="32"/>
        </w:rPr>
      </w:pPr>
      <w:r>
        <w:rPr>
          <w:rFonts w:ascii="Times New Roman" w:hAnsi="Times New Roman" w:eastAsia="方正仿宋_GBK"/>
          <w:sz w:val="32"/>
          <w:szCs w:val="32"/>
        </w:rPr>
        <w:t>负责村镇规划、村镇建设、市政公用、市容环卫、环境保护等事务性工作。</w:t>
      </w:r>
    </w:p>
    <w:p>
      <w:pPr>
        <w:pStyle w:val="12"/>
        <w:numPr>
          <w:ilvl w:val="0"/>
          <w:numId w:val="3"/>
        </w:numPr>
        <w:tabs>
          <w:tab w:val="left" w:pos="5340"/>
        </w:tabs>
        <w:spacing w:line="594" w:lineRule="exact"/>
        <w:ind w:firstLineChars="0"/>
        <w:rPr>
          <w:rFonts w:hint="default" w:ascii="Times New Roman" w:hAnsi="Times New Roman" w:eastAsia="方正仿宋_GBK"/>
          <w:sz w:val="32"/>
        </w:rPr>
      </w:pPr>
      <w:r>
        <w:rPr>
          <w:rFonts w:ascii="Times New Roman" w:hAnsi="Times New Roman" w:eastAsia="方正仿宋_GBK"/>
          <w:sz w:val="32"/>
          <w:szCs w:val="32"/>
        </w:rPr>
        <w:t>负责统筹农房安全、建筑质量事务性工作。</w:t>
      </w:r>
    </w:p>
    <w:p>
      <w:pPr>
        <w:pStyle w:val="12"/>
        <w:numPr>
          <w:ilvl w:val="0"/>
          <w:numId w:val="3"/>
        </w:numPr>
        <w:tabs>
          <w:tab w:val="left" w:pos="5340"/>
        </w:tabs>
        <w:spacing w:line="594" w:lineRule="exact"/>
        <w:ind w:firstLineChars="0"/>
        <w:rPr>
          <w:rFonts w:hint="default" w:ascii="Times New Roman" w:hAnsi="Times New Roman" w:eastAsia="方正仿宋_GBK"/>
          <w:sz w:val="32"/>
        </w:rPr>
      </w:pPr>
      <w:r>
        <w:rPr>
          <w:rFonts w:ascii="Times New Roman" w:hAnsi="Times New Roman" w:eastAsia="方正仿宋_GBK"/>
          <w:sz w:val="32"/>
          <w:szCs w:val="32"/>
        </w:rPr>
        <w:t>负责协助相关部门做好土地复垦、国土管理、地质灾害防治、耕地及其他自然资源保护、土地征用、房屋征收及水、电、气、路等市政基础设施建设和设施维护等事务性工作。</w:t>
      </w:r>
    </w:p>
    <w:p>
      <w:pPr>
        <w:pStyle w:val="12"/>
        <w:numPr>
          <w:ilvl w:val="0"/>
          <w:numId w:val="3"/>
        </w:numPr>
        <w:tabs>
          <w:tab w:val="left" w:pos="5340"/>
        </w:tabs>
        <w:spacing w:line="594" w:lineRule="exact"/>
        <w:ind w:firstLineChars="0"/>
        <w:rPr>
          <w:rFonts w:hint="default" w:ascii="Times New Roman" w:hAnsi="Times New Roman" w:eastAsia="方正仿宋_GBK"/>
          <w:sz w:val="32"/>
        </w:rPr>
      </w:pPr>
      <w:r>
        <w:rPr>
          <w:rFonts w:ascii="Times New Roman" w:hAnsi="Times New Roman" w:eastAsia="方正仿宋_GBK"/>
          <w:sz w:val="32"/>
          <w:szCs w:val="32"/>
        </w:rPr>
        <w:t>负责协助推进重大项目建设。</w:t>
      </w:r>
    </w:p>
    <w:p>
      <w:pPr>
        <w:pStyle w:val="12"/>
        <w:numPr>
          <w:ilvl w:val="0"/>
          <w:numId w:val="3"/>
        </w:numPr>
        <w:tabs>
          <w:tab w:val="left" w:pos="5340"/>
        </w:tabs>
        <w:spacing w:line="594" w:lineRule="exact"/>
        <w:ind w:firstLineChars="0"/>
        <w:rPr>
          <w:rFonts w:hint="default" w:ascii="Times New Roman" w:hAnsi="Times New Roman" w:eastAsia="方正仿宋_GBK"/>
          <w:sz w:val="32"/>
        </w:rPr>
      </w:pPr>
      <w:r>
        <w:rPr>
          <w:rFonts w:ascii="Times New Roman" w:hAnsi="Times New Roman" w:eastAsia="方正仿宋_GBK"/>
          <w:sz w:val="32"/>
          <w:szCs w:val="32"/>
        </w:rPr>
        <w:t>负责辖区河道日常管护和河（库）长制相关工作。</w:t>
      </w:r>
    </w:p>
    <w:p>
      <w:pPr>
        <w:pStyle w:val="12"/>
        <w:numPr>
          <w:ilvl w:val="0"/>
          <w:numId w:val="3"/>
        </w:numPr>
        <w:tabs>
          <w:tab w:val="left" w:pos="5340"/>
        </w:tabs>
        <w:spacing w:line="594" w:lineRule="exact"/>
        <w:ind w:firstLineChars="0"/>
        <w:rPr>
          <w:rFonts w:hint="default" w:ascii="Times New Roman" w:hAnsi="Times New Roman" w:eastAsia="方正仿宋_GBK"/>
          <w:sz w:val="32"/>
        </w:rPr>
      </w:pPr>
      <w:r>
        <w:rPr>
          <w:rFonts w:ascii="Times New Roman" w:hAnsi="Times New Roman" w:eastAsia="方正仿宋_GBK"/>
          <w:sz w:val="32"/>
          <w:szCs w:val="32"/>
        </w:rPr>
        <w:t>负责辖区农村公路的建设、养护等事务性工作。</w:t>
      </w:r>
    </w:p>
    <w:p>
      <w:pPr>
        <w:pStyle w:val="12"/>
        <w:numPr>
          <w:ilvl w:val="0"/>
          <w:numId w:val="3"/>
        </w:numPr>
        <w:tabs>
          <w:tab w:val="left" w:pos="5340"/>
        </w:tabs>
        <w:spacing w:line="594" w:lineRule="exact"/>
        <w:ind w:firstLineChars="0"/>
        <w:rPr>
          <w:rFonts w:hint="default" w:ascii="Times New Roman" w:hAnsi="Times New Roman" w:eastAsia="方正仿宋_GBK"/>
          <w:sz w:val="32"/>
        </w:rPr>
      </w:pPr>
      <w:r>
        <w:rPr>
          <w:rFonts w:ascii="Times New Roman" w:hAnsi="Times New Roman" w:eastAsia="方正仿宋_GBK"/>
          <w:sz w:val="32"/>
          <w:szCs w:val="32"/>
        </w:rPr>
        <w:t>负责镇党委、人民政府交办的其他工作任务。</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 xml:space="preserve"> 4．</w:t>
      </w:r>
      <w:r>
        <w:rPr>
          <w:rFonts w:ascii="方正楷体_GBK" w:hAnsi="Times New Roman" w:eastAsia="方正楷体_GBK"/>
          <w:sz w:val="32"/>
          <w:szCs w:val="32"/>
        </w:rPr>
        <w:t>便民服务中心（退役军人服务站）</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宗旨：</w:t>
      </w:r>
      <w:r>
        <w:rPr>
          <w:rFonts w:ascii="Times New Roman" w:hAnsi="Times New Roman" w:eastAsia="方正仿宋_GBK"/>
          <w:sz w:val="32"/>
          <w:szCs w:val="32"/>
        </w:rPr>
        <w:t>为辖区群众提供优质高效的便民服务。</w:t>
      </w:r>
      <w:r>
        <w:rPr>
          <w:rFonts w:ascii="Times New Roman" w:hAnsi="Times New Roman" w:eastAsia="方正仿宋_GBK"/>
          <w:sz w:val="32"/>
        </w:rPr>
        <w:t>。</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主要职责任务：承担辖区内退役军人及其他优抚对象关系转接、信息采集、情况反映、慰问帮扶等保障服务工作。</w:t>
      </w:r>
      <w:r>
        <w:rPr>
          <w:rFonts w:ascii="Times New Roman" w:hAnsi="Times New Roman" w:eastAsia="方正仿宋_GBK"/>
          <w:sz w:val="32"/>
          <w:szCs w:val="32"/>
        </w:rPr>
        <w:t>贯彻落实劳动就业和社会保障、退役军人相关法律法规及政策。</w:t>
      </w:r>
    </w:p>
    <w:p>
      <w:pPr>
        <w:tabs>
          <w:tab w:val="left" w:pos="5340"/>
        </w:tabs>
        <w:spacing w:line="594" w:lineRule="exact"/>
        <w:ind w:firstLine="640" w:firstLineChars="200"/>
        <w:rPr>
          <w:rFonts w:hint="default" w:ascii="Times New Roman" w:hAnsi="Times New Roman" w:eastAsia="方正仿宋_GBK"/>
          <w:sz w:val="32"/>
        </w:rPr>
      </w:pPr>
      <w:r>
        <w:rPr>
          <w:rFonts w:ascii="Times New Roman" w:hAnsi="Times New Roman" w:eastAsia="方正仿宋_GBK"/>
          <w:sz w:val="32"/>
        </w:rPr>
        <w:t>具体职责任务：</w:t>
      </w:r>
    </w:p>
    <w:p>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负责辖区内养老、医疗、失业、工伤、生育保险等社会保险服务工作。</w:t>
      </w:r>
    </w:p>
    <w:p>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负责辖区内失业人员就业培训、职业介绍、就业创业指导、就业再就业小额贷款推荐审核等服务工作。</w:t>
      </w:r>
    </w:p>
    <w:p>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负责辖区内农村富余劳动力及外来务工人员的就业管理服务工作。</w:t>
      </w:r>
    </w:p>
    <w:p>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负责辖区内退休人员、工伤人员及享受供养亲属抚恤金人员的社会化服务工作。</w:t>
      </w:r>
    </w:p>
    <w:p>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负责村（社区）劳动就业和社会保障服务站和社会保障工作者的业务指导工作。</w:t>
      </w:r>
    </w:p>
    <w:p>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负责辖区内退役军人及其他优抚对象关系转接、来访接待、信息采集、政策宣传咨询、情况反映、慰问帮扶、光荣牌悬挂和服务管理、待遇保障等保障服务工作。</w:t>
      </w:r>
    </w:p>
    <w:p>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负责协助开展退役军人就业创业、困难帮扶、心理疏导、权益维护、法律服务及相关舆情收集、引导等工作。</w:t>
      </w:r>
    </w:p>
    <w:p>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负责协助开展军属、烈属、伤病残疾军人、带病回乡退役军人服务等拥军优属等工作。</w:t>
      </w:r>
    </w:p>
    <w:p>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负责协助开展烈士纪念设施管护等褒扬纪念工作。</w:t>
      </w:r>
    </w:p>
    <w:p>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负责村（社区）退役军人服务站的业务指导工作。</w:t>
      </w:r>
    </w:p>
    <w:p>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负责镇党委、人民政府交办的其他工作任务。</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5．综合行政执法大队</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宗旨：依法执法，确保执法公平、公正。</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主要职责任务：根据授权或委托，承担辖区范围内集中行使农林水利、规划建设、市政管理、环境保护、卫生健康、文化旅游、民政管理等领域的行政执法权。</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具体职责任务：</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 xml:space="preserve">（1）贯彻落实综合行政执法工作的有关规定；依据有关法律、法规和规章，参与起草本辖区实行综合行政执法领域相关方面的工作计划，并具体实施。 </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（2）根据授权或委托，承担辖区范围内集中行使农林水利、规划建设、市政管理、环境保护、卫生健康、文化旅游、民政管理等领域的行政执法权。</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（3）承担市县授权或委托的其他行政执法权。</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（4）承办镇党委、镇政府交办的其他工作任务。</w:t>
      </w:r>
    </w:p>
    <w:p>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除法律法规授权外，市政府授权及县级相关部门委托的行政处罚、行政强制等执法权以正式授权或委托为准。</w:t>
      </w:r>
    </w:p>
    <w:p>
      <w:pPr>
        <w:pStyle w:val="7"/>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7"/>
        <w:shd w:val="clear" w:color="auto" w:fill="FFFFFF"/>
        <w:ind w:firstLine="640" w:firstLineChars="200"/>
        <w:rPr>
          <w:rFonts w:ascii="楷体" w:hAnsi="楷体" w:eastAsia="楷体" w:cs="楷体"/>
          <w:sz w:val="32"/>
          <w:szCs w:val="32"/>
        </w:rPr>
      </w:pPr>
      <w:r>
        <w:rPr>
          <w:rFonts w:ascii="Times New Roman" w:hAnsi="Times New Roman" w:eastAsia="方正仿宋_GBK" w:cs="仿宋_GB2312"/>
          <w:sz w:val="32"/>
        </w:rPr>
        <w:t>统一设置综合办事机构8个，即：党政办公室（人大办公室）、党群工作办公室、经济发展办公室(统计办公室、农村经营管理办公室、扶贫开发办公室)、民政和社会事务办公室 （卫生健康办公室）、规划建设管理环保办公室、财政办公室、应急管理办公室（平安建设办公室）、综合行政执法办公室；设置事业机构5个，即：产业发展服务中心、</w:t>
      </w:r>
      <w:r>
        <w:rPr>
          <w:rFonts w:ascii="方正楷体_GBK" w:hAnsi="Times New Roman" w:eastAsia="方正楷体_GBK"/>
          <w:sz w:val="32"/>
          <w:szCs w:val="32"/>
        </w:rPr>
        <w:t>新时代文明实践服务中心</w:t>
      </w:r>
      <w:r>
        <w:rPr>
          <w:rFonts w:ascii="Times New Roman" w:hAnsi="Times New Roman" w:eastAsia="方正仿宋_GBK" w:cs="仿宋_GB2312"/>
          <w:sz w:val="32"/>
        </w:rPr>
        <w:t>、</w:t>
      </w:r>
      <w:r>
        <w:rPr>
          <w:rFonts w:ascii="方正楷体_GBK" w:hAnsi="Times New Roman" w:eastAsia="方正楷体_GBK"/>
          <w:sz w:val="32"/>
          <w:szCs w:val="32"/>
        </w:rPr>
        <w:t>村镇建设服务中心</w:t>
      </w:r>
      <w:r>
        <w:rPr>
          <w:rFonts w:ascii="Times New Roman" w:hAnsi="Times New Roman" w:eastAsia="方正仿宋_GBK" w:cs="仿宋_GB2312"/>
          <w:sz w:val="32"/>
        </w:rPr>
        <w:t>、</w:t>
      </w:r>
      <w:r>
        <w:rPr>
          <w:rFonts w:ascii="方正楷体_GBK" w:hAnsi="Times New Roman" w:eastAsia="方正楷体_GBK"/>
          <w:sz w:val="32"/>
          <w:szCs w:val="32"/>
        </w:rPr>
        <w:t>便民服务中心（退役军人服务站）</w:t>
      </w:r>
      <w:r>
        <w:rPr>
          <w:rFonts w:ascii="Times New Roman" w:hAnsi="Times New Roman" w:eastAsia="方正仿宋_GBK" w:cs="仿宋_GB2312"/>
          <w:sz w:val="32"/>
        </w:rPr>
        <w:t>、综合行政执法大队。</w:t>
      </w:r>
    </w:p>
    <w:p>
      <w:pPr>
        <w:pStyle w:val="7"/>
        <w:shd w:val="clear" w:color="auto" w:fill="FFFFFF"/>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二、部门决算收支情况说明</w:t>
      </w:r>
    </w:p>
    <w:p>
      <w:pPr>
        <w:pStyle w:val="11"/>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7453.99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收、支与2023年度相比，增加1111.52万元，增长17.5%</w:t>
      </w:r>
      <w:r>
        <w:rPr>
          <w:rFonts w:ascii="方正仿宋_GBK" w:hAnsi="方正仿宋_GBK" w:eastAsia="方正仿宋_GBK" w:cs="方正仿宋_GBK"/>
          <w:sz w:val="32"/>
          <w:szCs w:val="32"/>
          <w:shd w:val="clear" w:color="auto" w:fill="FFFFFF"/>
        </w:rPr>
        <w:t>，主要原因是本年基础设施建设类项目投入增加，新增桥头镇滨湖康养小镇灯饰安装和业态升级改造项目250万元、桥头镇长沙村滨湖康养小镇王家沟溪流整治及乡村旅游步道建设项目350万元、桥头镇田畈村“田畈梨”产业商务中心建设项目380万元、桥头镇长沙村艺术写生实训中心建设项目390万元、重庆菜特色原辅料产业加工园（二期）项目300万元等项目资金。因2023年无此类项目预算，所以导致本年收、支增加1111.52万元。</w:t>
      </w:r>
    </w:p>
    <w:p>
      <w:pPr>
        <w:pStyle w:val="7"/>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7453.99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与2023年度相比，增加1111.52万元，增长17.5%</w:t>
      </w:r>
      <w:r>
        <w:rPr>
          <w:rFonts w:ascii="方正仿宋_GBK" w:hAnsi="方正仿宋_GBK" w:eastAsia="方正仿宋_GBK" w:cs="方正仿宋_GBK"/>
          <w:sz w:val="32"/>
          <w:szCs w:val="32"/>
          <w:shd w:val="clear" w:color="auto" w:fill="FFFFFF"/>
        </w:rPr>
        <w:t>，主要原因是本年基础设施建设类项目投入增加，新增桥头镇滨湖康养小镇灯饰安装和业态升级改造项目250万元、桥头镇长沙村滨湖康养小镇王家沟溪流整治及乡村旅游步道建设项目350万元、桥头镇田畈村“田畈梨”产业商务中心建设项目380万元、桥头镇长沙村艺术写生实训中心建设项目390万元、重庆菜特色原辅料产业加工园（二期）项目300万元等。2023年无此类项目预算，所以导致本年收入增加1111.52万元。其中：财政拨款收入</w:t>
      </w:r>
      <w:r>
        <w:rPr>
          <w:rFonts w:hint="default" w:ascii="Times New Roman" w:hAnsi="Times New Roman" w:eastAsia="方正仿宋_GBK"/>
          <w:sz w:val="32"/>
          <w:szCs w:val="32"/>
          <w:shd w:val="clear" w:color="auto" w:fill="FFFFFF"/>
        </w:rPr>
        <w:t>7453.99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7453.99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与2023年度相比，增加1111.52万元，增长17.5%</w:t>
      </w:r>
      <w:r>
        <w:rPr>
          <w:rFonts w:ascii="方正仿宋_GBK" w:hAnsi="方正仿宋_GBK" w:eastAsia="方正仿宋_GBK" w:cs="方正仿宋_GBK"/>
          <w:sz w:val="32"/>
          <w:szCs w:val="32"/>
          <w:shd w:val="clear" w:color="auto" w:fill="FFFFFF"/>
        </w:rPr>
        <w:t>，主要原因是本年基础设施建设类项目投入增加，新增桥头镇滨湖康养小镇灯饰安装和业态升级改造项目250万元、桥头镇长沙村滨湖康养小镇王家沟溪流整治及乡村旅游步道建设项目350万元、桥头镇田畈村“田畈梨”产业商务中心建设项目380万元、桥头镇长沙村艺术写生实训中心建设项目390万元、重庆菜特色原辅料产业加工园（二期）项目300万元等。2023年无此类项目预算，所以导致本年支出增加1111.52万元。其中：基本支出</w:t>
      </w:r>
      <w:r>
        <w:rPr>
          <w:rFonts w:hint="default" w:ascii="Times New Roman" w:hAnsi="Times New Roman" w:eastAsia="方正仿宋_GBK"/>
          <w:sz w:val="32"/>
          <w:szCs w:val="32"/>
          <w:shd w:val="clear" w:color="auto" w:fill="FFFFFF"/>
        </w:rPr>
        <w:t>881.90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6572.08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88.2%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3"/>
        <w:spacing w:line="600" w:lineRule="exact"/>
        <w:ind w:firstLine="643" w:firstLineChars="200"/>
        <w:rPr>
          <w:rFonts w:hint="eastAsia"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color w:val="auto"/>
          <w:kern w:val="2"/>
          <w:sz w:val="32"/>
          <w:szCs w:val="24"/>
        </w:rPr>
        <w:t>年度收入和支出数一致，因此年末结转结余情况0万元。</w:t>
      </w:r>
    </w:p>
    <w:p>
      <w:pPr>
        <w:pStyle w:val="7"/>
        <w:snapToGrid w:val="0"/>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7453.99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财政拨款收、支总计各增加1111.52万元，增长17.5%</w:t>
      </w:r>
      <w:r>
        <w:rPr>
          <w:rFonts w:ascii="方正仿宋_GBK" w:hAnsi="方正仿宋_GBK" w:eastAsia="方正仿宋_GBK" w:cs="方正仿宋_GBK"/>
          <w:sz w:val="32"/>
          <w:szCs w:val="32"/>
          <w:shd w:val="clear" w:color="auto" w:fill="FFFFFF"/>
        </w:rPr>
        <w:t>。主要原因是本年基础设施建设类项目投入增加，新增桥头镇滨湖康养小镇灯饰安装和业态升级改造项目250万元、桥头镇长沙村滨湖康养小镇王家沟溪流整治及乡村旅游步道建设项目350万元、桥头镇田畈村“田畈梨”产业商务中心建设项目380万元、桥头镇长沙村艺术写生实训中心建设项目390万元、重庆菜特色原辅料产业加工园（二期）项目300万元等。2023年无此类项目预算，所以导致本年收、支出增加1111.52万元。</w:t>
      </w:r>
    </w:p>
    <w:p>
      <w:pPr>
        <w:pStyle w:val="11"/>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7438.38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与2023年度相比，增加1467.17万元，增长24.6%</w:t>
      </w:r>
      <w:r>
        <w:rPr>
          <w:rFonts w:ascii="方正仿宋_GBK" w:hAnsi="方正仿宋_GBK" w:eastAsia="方正仿宋_GBK" w:cs="方正仿宋_GBK"/>
          <w:sz w:val="32"/>
          <w:szCs w:val="32"/>
          <w:shd w:val="clear" w:color="auto" w:fill="FFFFFF"/>
        </w:rPr>
        <w:t>。主要原因是本年基础设施建设类项目投入增加，新增桥头镇滨湖康养小镇灯饰安装和业态升级改造项目250万元、桥头镇长沙村滨湖康养小镇王家沟溪流整治及乡村旅游步道建设项目350万元、桥头镇田畈村“田畈梨”产业商务中心建设项目380万元、桥头镇长沙村艺术写生实训中心建设项目390万元、重庆菜特色原辅料产业加工园（二期）项目300万元等。2023年无此类项目预算，所以导致本年度一般公共预算财政拨款收入</w:t>
      </w:r>
      <w:r>
        <w:rPr>
          <w:rFonts w:hint="default"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上年</w:t>
      </w:r>
      <w:r>
        <w:rPr>
          <w:rFonts w:hint="default" w:ascii="Times New Roman" w:hAnsi="Times New Roman" w:eastAsia="方正仿宋_GBK"/>
          <w:sz w:val="32"/>
          <w:szCs w:val="32"/>
          <w:shd w:val="clear" w:color="auto" w:fill="FFFFFF"/>
        </w:rPr>
        <w:t>相比，增加1467.17万元</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较年初预算数增加4954.10万元，增长199.4%</w:t>
      </w:r>
      <w:r>
        <w:rPr>
          <w:rFonts w:ascii="方正仿宋_GBK" w:hAnsi="方正仿宋_GBK" w:eastAsia="方正仿宋_GBK" w:cs="方正仿宋_GBK"/>
          <w:sz w:val="32"/>
          <w:szCs w:val="32"/>
          <w:shd w:val="clear" w:color="auto" w:fill="FFFFFF"/>
        </w:rPr>
        <w:t>。主要原因是年中追加桥头镇滨湖康养小镇灯饰安装和业态升级改造项目250万元、桥头镇长沙村滨湖康养小镇王家沟溪流整治及乡村旅游步道建设项目350万元、桥头镇田畈村“田畈梨”产业商务中心建设项目380万元、桥头镇长沙村艺术写生实训中心建设项目390万元、重庆菜特色原辅料产业加工园（二期）项目300万元等项目资金。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7438.38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与2023年度相比，增加1467.17万元，增长24.6%</w:t>
      </w:r>
      <w:r>
        <w:rPr>
          <w:rFonts w:ascii="方正仿宋_GBK" w:hAnsi="方正仿宋_GBK" w:eastAsia="方正仿宋_GBK" w:cs="方正仿宋_GBK"/>
          <w:sz w:val="32"/>
          <w:szCs w:val="32"/>
          <w:shd w:val="clear" w:color="auto" w:fill="FFFFFF"/>
        </w:rPr>
        <w:t>。主要原因是本年基础设施建设类项目投入增加，新增桥头镇滨湖康养小镇灯饰安装和业态升级改造项目250万元、桥头镇长沙村滨湖康养小镇王家沟溪流整治及乡村旅游步道建设项目350万元、桥头镇田畈村“田畈梨”产业商务中心建设项目380万元、桥头镇长沙村艺术写生实训中心建设项目390万元、重庆菜特色原辅料产业加工园（二期）项目300万元等。2023年无此类项目预算，所以导致本年支出增加1467.17万元。</w:t>
      </w:r>
      <w:r>
        <w:rPr>
          <w:rFonts w:hint="default" w:ascii="Times New Roman" w:hAnsi="Times New Roman" w:eastAsia="方正仿宋_GBK"/>
          <w:sz w:val="32"/>
          <w:szCs w:val="32"/>
          <w:shd w:val="clear" w:color="auto" w:fill="FFFFFF"/>
        </w:rPr>
        <w:t>较年初预算数增加4954.10万元，增长199.4%</w:t>
      </w:r>
      <w:r>
        <w:rPr>
          <w:rFonts w:ascii="方正仿宋_GBK" w:hAnsi="方正仿宋_GBK" w:eastAsia="方正仿宋_GBK" w:cs="方正仿宋_GBK"/>
          <w:sz w:val="32"/>
          <w:szCs w:val="32"/>
          <w:shd w:val="clear" w:color="auto" w:fill="FFFFFF"/>
        </w:rPr>
        <w:t>。主要原因是年中追加桥头镇滨湖康养小镇灯饰安装和业态升级改造项目250万元、桥头镇长沙村滨湖康养小镇王家沟溪流整治及乡村旅游步道建设项目350万元、桥头镇田畈村“田畈梨”产业商务中心建设项目380万元、桥头镇长沙村艺术写生实训中心建设项目390万元、重庆菜特色原辅料产业加工园（二期）项目300万元等项目资金。一般公共预算财政拨款支出主要用途如下：</w:t>
      </w:r>
    </w:p>
    <w:p>
      <w:pPr>
        <w:widowControl w:val="0"/>
        <w:spacing w:line="600" w:lineRule="exact"/>
        <w:ind w:firstLine="640" w:firstLineChars="200"/>
        <w:rPr>
          <w:rFonts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508.13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较年初预算数增加39.69万元，增长8.5%</w:t>
      </w:r>
      <w:r>
        <w:rPr>
          <w:rFonts w:ascii="方正仿宋_GBK" w:hAnsi="方正仿宋_GBK" w:eastAsia="方正仿宋_GBK" w:cs="方正仿宋_GBK"/>
          <w:sz w:val="32"/>
          <w:szCs w:val="32"/>
          <w:shd w:val="clear" w:color="auto" w:fill="FFFFFF"/>
        </w:rPr>
        <w:t>，主要原因是人员变动、</w:t>
      </w:r>
      <w:r>
        <w:rPr>
          <w:rFonts w:ascii="Times New Roman" w:hAnsi="Times New Roman" w:eastAsia="方正仿宋_GBK"/>
          <w:sz w:val="32"/>
          <w:szCs w:val="32"/>
        </w:rPr>
        <w:t>工资调标、保险基数调整等原因导致一般公共服务支出增加。</w:t>
      </w:r>
    </w:p>
    <w:p>
      <w:pPr>
        <w:pStyle w:val="7"/>
        <w:snapToGrid w:val="0"/>
        <w:spacing w:before="0" w:beforeAutospacing="0" w:after="0" w:afterAutospacing="0" w:line="596"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24.95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较年初预算数增加24.95万元，增长100.0%</w:t>
      </w:r>
      <w:r>
        <w:rPr>
          <w:rFonts w:ascii="方正仿宋_GBK" w:hAnsi="方正仿宋_GBK" w:eastAsia="方正仿宋_GBK" w:cs="方正仿宋_GBK"/>
          <w:sz w:val="32"/>
          <w:szCs w:val="32"/>
          <w:shd w:val="clear" w:color="auto" w:fill="FFFFFF"/>
        </w:rPr>
        <w:t>，主要原因是年中追加</w:t>
      </w:r>
      <w:r>
        <w:rPr>
          <w:rFonts w:ascii="Times New Roman" w:hAnsi="Times New Roman" w:eastAsia="方正仿宋_GBK"/>
          <w:sz w:val="32"/>
        </w:rPr>
        <w:t>桥头镇基层治理重点街镇建设等项目经费。</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17.48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较年初预算数增加3.65万元，增长26.4%</w:t>
      </w:r>
      <w:r>
        <w:rPr>
          <w:rFonts w:ascii="方正仿宋_GBK" w:hAnsi="方正仿宋_GBK" w:eastAsia="方正仿宋_GBK" w:cs="方正仿宋_GBK"/>
          <w:sz w:val="32"/>
          <w:szCs w:val="32"/>
          <w:shd w:val="clear" w:color="auto" w:fill="FFFFFF"/>
        </w:rPr>
        <w:t>，主要原因是人员待遇调标，职业年金增加等</w:t>
      </w:r>
      <w:r>
        <w:rPr>
          <w:rFonts w:hint="default"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283.22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较年初预算数增加49.27万元，增长21.1%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一是人员变动，工资待遇调整；二是生育、工伤、失业保险标准调标。</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50.01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较年初预算数增加2.78万元，增长5.9%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医疗保险标准调标。</w:t>
      </w:r>
    </w:p>
    <w:p>
      <w:pPr>
        <w:pStyle w:val="7"/>
        <w:snapToGrid w:val="0"/>
        <w:spacing w:before="0" w:beforeAutospacing="0" w:after="0" w:afterAutospacing="0" w:line="596"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1778.79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较年初预算数增加1683.79万元，增长1772.4%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年中追加石柱县藤子沟水库综合治理工程（二三期）、桥头镇乡村旅游产业项目、桥头镇长沙村湖心组滨湖生态治理及乡村旅游项目、桥头镇长沙村湖心组居民点人居环境整治及乡村旅游项目等项目经费。</w:t>
      </w:r>
    </w:p>
    <w:p>
      <w:pPr>
        <w:pStyle w:val="7"/>
        <w:snapToGrid w:val="0"/>
        <w:spacing w:before="0" w:beforeAutospacing="0" w:after="0" w:afterAutospacing="0" w:line="596"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37.88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较年初预算数增加37.88万元，增长100.0%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年中追加农村生活垃圾收运补助、乡镇场镇市政管理、2024年石柱县农村生活垃圾分类先锋创建项目、非库区地质灾害群测群防员补助、桥头镇地质灾害金土工程避险移民搬迁补助项目等项目经费。</w:t>
      </w:r>
    </w:p>
    <w:p>
      <w:pPr>
        <w:pStyle w:val="7"/>
        <w:snapToGrid w:val="0"/>
        <w:spacing w:before="0" w:beforeAutospacing="0" w:after="0" w:afterAutospacing="0" w:line="596"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4034.43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较年初预算数增加2454.51万元，增长155.4%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年中追加桥头镇村级防疫员劳务费项目、石柱县2023年粮油产业发展补助项目、农村“三变”改革试点项目、松材线虫病防治专项资金等项目经费。</w:t>
      </w:r>
    </w:p>
    <w:p>
      <w:pPr>
        <w:pStyle w:val="7"/>
        <w:snapToGrid w:val="0"/>
        <w:spacing w:before="0" w:beforeAutospacing="0" w:after="0" w:afterAutospacing="0" w:line="596"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70.65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较年初预算数增加70.65万元，增长100.0%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年中追加桥头镇长沙村湖心组公路改扩建及油化、村委至旧时光民宿、桥头镇农村公路养护经费等项目经费。</w:t>
      </w:r>
    </w:p>
    <w:p>
      <w:pPr>
        <w:pStyle w:val="7"/>
        <w:snapToGrid w:val="0"/>
        <w:spacing w:before="0" w:beforeAutospacing="0" w:after="0" w:afterAutospacing="0" w:line="596"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574.21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较年初预算数增加574.21万元，增长100.0%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年中追加石柱县藤子沟水库综合治理工程（二三期）等项目经费。</w:t>
      </w:r>
    </w:p>
    <w:p>
      <w:pPr>
        <w:spacing w:line="596"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48.82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较年初预算数增加2.91万元，增长6.3%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人员变动，住房公积金相关标准调标。</w:t>
      </w:r>
    </w:p>
    <w:p>
      <w:pPr>
        <w:spacing w:line="596"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9.81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较年初预算数增加9.81万元，增长100.0%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新增自然灾害救灾资金、地质灾害防治员补助等支出。</w:t>
      </w:r>
    </w:p>
    <w:p>
      <w:pPr>
        <w:pStyle w:val="7"/>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由于年度收入和支出数一致，因此年末结转结余情况0万元</w:t>
      </w:r>
    </w:p>
    <w:p>
      <w:pPr>
        <w:pStyle w:val="7"/>
        <w:snapToGrid w:val="0"/>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881.90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778.75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与2023年度相比，减少61.16万元，下降7.3%</w:t>
      </w:r>
      <w:r>
        <w:rPr>
          <w:rFonts w:ascii="方正仿宋_GBK" w:hAnsi="方正仿宋_GBK" w:eastAsia="方正仿宋_GBK" w:cs="方正仿宋_GBK"/>
          <w:sz w:val="32"/>
          <w:szCs w:val="32"/>
          <w:shd w:val="clear" w:color="auto" w:fill="FFFFFF"/>
        </w:rPr>
        <w:t>，主要原因是在职人员退休、编制调整等导致人员经费减少。人员经费用途主要包括</w:t>
      </w:r>
      <w:r>
        <w:rPr>
          <w:rFonts w:ascii="Times New Roman" w:hAnsi="Times New Roman" w:eastAsia="方正仿宋_GBK" w:cs="仿宋_GB2312"/>
          <w:kern w:val="2"/>
          <w:sz w:val="32"/>
          <w:lang w:bidi="ar"/>
        </w:rPr>
        <w:t>基本工资、津贴补贴、奖金、社会保障费等。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103.15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与2023年度相比，减少2.18万元，下降2.1%</w:t>
      </w:r>
      <w:r>
        <w:rPr>
          <w:rFonts w:ascii="方正仿宋_GBK" w:hAnsi="方正仿宋_GBK" w:eastAsia="方正仿宋_GBK" w:cs="方正仿宋_GBK"/>
          <w:sz w:val="32"/>
          <w:szCs w:val="32"/>
          <w:shd w:val="clear" w:color="auto" w:fill="FFFFFF"/>
        </w:rPr>
        <w:t>，主要原因是落实“过紧日子”政策，主动压减一般性支出，严格控制“三公”经费和非必需品采购。公用经费用途主要包括</w:t>
      </w:r>
      <w:r>
        <w:rPr>
          <w:rFonts w:ascii="Times New Roman" w:hAnsi="Times New Roman" w:eastAsia="方正仿宋_GBK" w:cs="仿宋_GB2312"/>
          <w:kern w:val="2"/>
          <w:sz w:val="32"/>
        </w:rPr>
        <w:t>办公费、印刷费、咨询费、手续费等。</w:t>
      </w:r>
    </w:p>
    <w:p>
      <w:pPr>
        <w:pStyle w:val="7"/>
        <w:snapToGrid w:val="0"/>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15.61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与2023年度相比，减少355.65万元，下降95.8%</w:t>
      </w:r>
      <w:r>
        <w:rPr>
          <w:rFonts w:ascii="方正仿宋_GBK" w:hAnsi="方正仿宋_GBK" w:eastAsia="方正仿宋_GBK" w:cs="方正仿宋_GBK"/>
          <w:sz w:val="32"/>
          <w:szCs w:val="32"/>
          <w:shd w:val="clear" w:color="auto" w:fill="FFFFFF"/>
        </w:rPr>
        <w:t>，主要原因是2023年有</w:t>
      </w:r>
      <w:r>
        <w:rPr>
          <w:rFonts w:ascii="Times New Roman" w:hAnsi="Times New Roman" w:eastAsia="方正仿宋_GBK"/>
          <w:sz w:val="32"/>
          <w:szCs w:val="32"/>
        </w:rPr>
        <w:t>基金专项补助用于增加农村基础设施建设支出、其他国有土地使用权出让收入安排的支出，2024年度没有此类资金。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15.61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与2023年度相比，减少355.65万元，下降95.8%</w:t>
      </w:r>
      <w:r>
        <w:rPr>
          <w:rFonts w:ascii="方正仿宋_GBK" w:hAnsi="方正仿宋_GBK" w:eastAsia="方正仿宋_GBK" w:cs="方正仿宋_GBK"/>
          <w:sz w:val="32"/>
          <w:szCs w:val="32"/>
          <w:shd w:val="clear" w:color="auto" w:fill="FFFFFF"/>
        </w:rPr>
        <w:t>，主要原因是2023年有</w:t>
      </w:r>
      <w:r>
        <w:rPr>
          <w:rFonts w:ascii="Times New Roman" w:hAnsi="Times New Roman" w:eastAsia="方正仿宋_GBK"/>
          <w:sz w:val="32"/>
          <w:szCs w:val="32"/>
        </w:rPr>
        <w:t>基金专项补助用于增加农村基础设施建设支出、其他国有土地使用权出让收入安排的支出，2024年度没有此类资金。</w:t>
      </w:r>
    </w:p>
    <w:p>
      <w:pPr>
        <w:pStyle w:val="7"/>
        <w:snapToGrid w:val="0"/>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本部门2024年度无国有资本经营预算财政拨款支出。</w:t>
      </w:r>
    </w:p>
    <w:p>
      <w:pPr>
        <w:pStyle w:val="7"/>
        <w:shd w:val="clear" w:color="auto" w:fill="FFFFFF"/>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snapToGrid w:val="0"/>
        <w:spacing w:line="520" w:lineRule="exact"/>
        <w:rPr>
          <w:rFonts w:hint="default" w:ascii="Times New Roman" w:hAnsi="Times New Roman" w:eastAsia="方正仿宋_GBK"/>
          <w:sz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14.35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较年初预算数增加0.44万元，增长3.2%</w:t>
      </w:r>
      <w:r>
        <w:rPr>
          <w:rFonts w:ascii="方正仿宋_GBK" w:hAnsi="方正仿宋_GBK" w:eastAsia="方正仿宋_GBK" w:cs="方正仿宋_GBK"/>
          <w:sz w:val="32"/>
          <w:szCs w:val="32"/>
          <w:shd w:val="clear" w:color="auto" w:fill="FFFFFF"/>
        </w:rPr>
        <w:t>，主要原因是因2024年机构改革，事业单位整合，原910005退役军人服务站数据迁移到新增单位910007村镇建设服务中心，此表上年数是取的下级单位数据汇总上来的，不是取的上年部门汇总数据，所以导致未取到新增单位上年数，导致三公经费较上年增长，实际三公经费并未超。</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一是认真贯彻落实中央八项规定精神，从严控制“三公”经费；二是严格落实公车使用规定，公车运行维护成本下降；三是强化公务接待支出管理，严格遵守公务接待开支范围和开支标准，严格控制陪餐人数，对应由接待对象承担的费用一律由接待对象自行支付；四是进一步规范因公出国（境）活动，今年未安排人员出国出访。</w:t>
      </w:r>
    </w:p>
    <w:p>
      <w:pPr>
        <w:pStyle w:val="7"/>
        <w:snapToGrid w:val="0"/>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pPr>
        <w:widowControl w:val="0"/>
        <w:spacing w:line="600" w:lineRule="exact"/>
        <w:ind w:firstLine="960" w:firstLineChars="300"/>
        <w:rPr>
          <w:rFonts w:hint="default" w:ascii="Times New Roman" w:hAnsi="Times New Roman" w:eastAsia="方正仿宋_GBK"/>
          <w:sz w:val="32"/>
          <w:szCs w:val="32"/>
        </w:rPr>
      </w:pPr>
      <w:r>
        <w:rPr>
          <w:rFonts w:ascii="Times New Roman" w:hAnsi="Times New Roman" w:eastAsia="方正仿宋_GBK"/>
          <w:sz w:val="32"/>
          <w:szCs w:val="32"/>
        </w:rPr>
        <w:t>2024年度我单位未发生因公出国（境）支出。</w:t>
      </w:r>
    </w:p>
    <w:p>
      <w:pPr>
        <w:widowControl w:val="0"/>
        <w:spacing w:line="600" w:lineRule="exact"/>
        <w:ind w:firstLine="960" w:firstLineChars="300"/>
        <w:rPr>
          <w:rFonts w:hint="default" w:ascii="Times New Roman" w:hAnsi="Times New Roman" w:eastAsia="方正仿宋_GBK"/>
          <w:sz w:val="32"/>
          <w:szCs w:val="32"/>
        </w:rPr>
      </w:pPr>
      <w:r>
        <w:rPr>
          <w:rFonts w:ascii="Times New Roman" w:hAnsi="Times New Roman" w:eastAsia="方正仿宋_GBK"/>
          <w:sz w:val="32"/>
          <w:szCs w:val="32"/>
        </w:rPr>
        <w:t>2024年度我单位未发生公务车购置支出。</w:t>
      </w:r>
    </w:p>
    <w:p>
      <w:pPr>
        <w:pStyle w:val="7"/>
        <w:snapToGrid w:val="0"/>
        <w:spacing w:before="0" w:beforeAutospacing="0" w:after="0" w:afterAutospacing="0" w:line="596"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6.00</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rPr>
        <w:t>机要文件交换、市内因公出行、财政业务检查等工作所需车辆的燃料费、维修费、过桥过路费、保险费等。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认真贯彻落实中央八项规定精神，从严控制“三公”经费；</w:t>
      </w:r>
      <w:r>
        <w:rPr>
          <w:rFonts w:hint="default" w:ascii="Times New Roman" w:hAnsi="Times New Roman" w:eastAsia="方正仿宋_GBK"/>
          <w:sz w:val="32"/>
        </w:rPr>
        <w:t>较上年支出数无增减</w:t>
      </w:r>
      <w:r>
        <w:rPr>
          <w:rFonts w:ascii="Times New Roman" w:hAnsi="Times New Roman" w:eastAsia="方正仿宋_GBK"/>
          <w:sz w:val="32"/>
        </w:rPr>
        <w:t>，主要原因是认真贯彻落实中央八项规定精神，从严控制“三公”经费。</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8.35</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sz w:val="32"/>
          <w:szCs w:val="32"/>
        </w:rPr>
        <w:t>上级部门指导、检查工作。</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较年初预算数增加0.44万元，增长5.6%</w:t>
      </w:r>
      <w:r>
        <w:rPr>
          <w:rFonts w:ascii="方正仿宋_GBK" w:hAnsi="方正仿宋_GBK" w:eastAsia="方正仿宋_GBK" w:cs="方正仿宋_GBK"/>
          <w:sz w:val="32"/>
          <w:szCs w:val="32"/>
          <w:shd w:val="clear" w:color="auto" w:fill="FFFFFF"/>
        </w:rPr>
        <w:t>，主要原因是因2024年机构改革，事业单位整合，原910005退役军人服务站数据迁移到新增单位910007村镇建设服务中心，此表上年数是取的下级单位数据汇总上来的，不是取的上年部门汇总数据，所以导致未取到新增单位上年数，导致三公经费较上年增长，实际三公经费并未超。</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，主要原因是严格按标准执行。</w:t>
      </w:r>
    </w:p>
    <w:p>
      <w:pPr>
        <w:pStyle w:val="11"/>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237</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1726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48.38</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3.00</w:t>
      </w:r>
      <w:r>
        <w:rPr>
          <w:rFonts w:ascii="方正仿宋_GBK" w:hAnsi="方正仿宋_GBK" w:eastAsia="方正仿宋_GBK" w:cs="方正仿宋_GBK"/>
          <w:sz w:val="32"/>
          <w:szCs w:val="32"/>
          <w:shd w:val="clear" w:color="auto" w:fill="FFFFFF"/>
        </w:rPr>
        <w:t>万元。</w:t>
      </w:r>
    </w:p>
    <w:p>
      <w:pPr>
        <w:pStyle w:val="7"/>
        <w:shd w:val="clear" w:color="auto" w:fill="FFFFFF"/>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7"/>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与2023年度相比，减少0.87万元，下降72.5%</w:t>
      </w:r>
      <w:r>
        <w:rPr>
          <w:rFonts w:ascii="方正仿宋_GBK" w:hAnsi="方正仿宋_GBK" w:eastAsia="方正仿宋_GBK" w:cs="方正仿宋_GBK"/>
          <w:sz w:val="32"/>
          <w:szCs w:val="32"/>
          <w:shd w:val="clear" w:color="auto" w:fill="FFFFFF"/>
        </w:rPr>
        <w:t>，主要原因是本年开展业务能力提升、防汛抗旱、消防安全、交流学习、调研考察等专题会次数减少，导致会议费用减少。本年度培训费支出</w:t>
      </w:r>
      <w:r>
        <w:rPr>
          <w:rFonts w:hint="default" w:ascii="Times New Roman" w:hAnsi="Times New Roman" w:eastAsia="方正仿宋_GBK"/>
          <w:sz w:val="32"/>
          <w:szCs w:val="32"/>
          <w:shd w:val="clear" w:color="auto" w:fill="FFFFFF"/>
        </w:rPr>
        <w:t>46.38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与2023年度相比，增加34.37万元，增长286.2%</w:t>
      </w:r>
      <w:r>
        <w:rPr>
          <w:rFonts w:ascii="方正仿宋_GBK" w:hAnsi="方正仿宋_GBK" w:eastAsia="方正仿宋_GBK" w:cs="方正仿宋_GBK"/>
          <w:sz w:val="32"/>
          <w:szCs w:val="32"/>
          <w:shd w:val="clear" w:color="auto" w:fill="FFFFFF"/>
        </w:rPr>
        <w:t>，主要原因本年开展业务能力提升、防汛抗旱、消防安全、交流学习、调研考察等专题培训次数增加，导致培训费用增加。本年度差旅费支出</w:t>
      </w:r>
      <w:r>
        <w:rPr>
          <w:rFonts w:hint="default" w:ascii="Times New Roman" w:hAnsi="Times New Roman" w:eastAsia="方正仿宋_GBK"/>
          <w:sz w:val="32"/>
          <w:szCs w:val="32"/>
          <w:shd w:val="clear" w:color="auto" w:fill="FFFFFF"/>
        </w:rPr>
        <w:t>4.22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与2023年度相比，减少18.53万元，下降81.5%</w:t>
      </w:r>
      <w:r>
        <w:rPr>
          <w:rFonts w:ascii="方正仿宋_GBK" w:hAnsi="方正仿宋_GBK" w:eastAsia="方正仿宋_GBK" w:cs="方正仿宋_GBK"/>
          <w:sz w:val="32"/>
          <w:szCs w:val="32"/>
          <w:shd w:val="clear" w:color="auto" w:fill="FFFFFF"/>
        </w:rPr>
        <w:t>，主要原因是本年度相关差旅事务减少。</w:t>
      </w:r>
    </w:p>
    <w:p>
      <w:pPr>
        <w:pStyle w:val="11"/>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62.22</w:t>
      </w:r>
      <w:r>
        <w:rPr>
          <w:rFonts w:ascii="方正仿宋_GBK" w:hAnsi="方正仿宋_GBK" w:eastAsia="方正仿宋_GBK" w:cs="方正仿宋_GBK"/>
          <w:sz w:val="32"/>
          <w:szCs w:val="32"/>
          <w:shd w:val="clear" w:color="auto" w:fill="FFFFFF"/>
        </w:rPr>
        <w:t>万元，机关运行经费主要用于开支</w:t>
      </w:r>
      <w:r>
        <w:rPr>
          <w:rFonts w:ascii="Times New Roman" w:hAnsi="Times New Roman" w:eastAsia="方正仿宋_GBK"/>
          <w:sz w:val="32"/>
          <w:szCs w:val="32"/>
        </w:rPr>
        <w:t>办公费、电费、邮电费、公务车运行维护费、公务接待费、其他交通费用、其他商品和服务支出。</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较上年支出数减少2.51万元，下降3.9%</w:t>
      </w:r>
      <w:r>
        <w:rPr>
          <w:rFonts w:ascii="方正仿宋_GBK" w:hAnsi="方正仿宋_GBK" w:eastAsia="方正仿宋_GBK" w:cs="方正仿宋_GBK"/>
          <w:sz w:val="32"/>
          <w:szCs w:val="32"/>
          <w:shd w:val="clear" w:color="auto" w:fill="FFFFFF"/>
        </w:rPr>
        <w:t>，主要原因是2023年该单位年初预算19人，2024年年初预算18人，对应的工会经费、公务交通补贴减少，所以导致机关运行经费较上年减少。</w:t>
      </w:r>
    </w:p>
    <w:p>
      <w:pPr>
        <w:pStyle w:val="7"/>
        <w:snapToGrid w:val="0"/>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156.34</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156.34</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156.34</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156.34</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。主要用于采购办公电脑、项目采购机器设备等。</w:t>
      </w:r>
    </w:p>
    <w:p>
      <w:pPr>
        <w:pStyle w:val="7"/>
        <w:numPr>
          <w:ilvl w:val="0"/>
          <w:numId w:val="5"/>
        </w:numPr>
        <w:shd w:val="clear" w:color="auto" w:fill="FFFFFF"/>
        <w:rPr>
          <w:rStyle w:val="10"/>
          <w:rFonts w:ascii="黑体" w:hAnsi="黑体" w:eastAsia="黑体" w:cs="黑体"/>
          <w:sz w:val="32"/>
          <w:szCs w:val="32"/>
          <w:highlight w:val="none"/>
          <w:shd w:val="clear" w:color="auto" w:fill="FFFFFF"/>
        </w:rPr>
      </w:pPr>
      <w:r>
        <w:rPr>
          <w:rStyle w:val="10"/>
          <w:rFonts w:ascii="黑体" w:hAnsi="黑体" w:eastAsia="黑体" w:cs="黑体"/>
          <w:sz w:val="32"/>
          <w:szCs w:val="32"/>
          <w:highlight w:val="none"/>
          <w:shd w:val="clear" w:color="auto" w:fill="FFFFFF"/>
        </w:rPr>
        <w:t>预算绩效管理情况说明</w:t>
      </w:r>
    </w:p>
    <w:p>
      <w:pPr>
        <w:pStyle w:val="11"/>
        <w:numPr>
          <w:ilvl w:val="0"/>
          <w:numId w:val="0"/>
        </w:numPr>
        <w:autoSpaceDE w:val="0"/>
        <w:rPr>
          <w:rFonts w:hint="eastAsia" w:ascii="楷体" w:hAnsi="楷体" w:eastAsia="楷体" w:cs="楷体"/>
          <w:b/>
          <w:bCs/>
          <w:sz w:val="32"/>
          <w:szCs w:val="32"/>
          <w:highlight w:val="yellow"/>
          <w:shd w:val="clear" w:color="auto" w:fill="FFFFFF"/>
        </w:rPr>
      </w:pP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lang w:val="en-US" w:eastAsia="zh-CN"/>
        </w:rPr>
        <w:t>一</w:t>
      </w: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rPr>
        <w:t>部门自评情况</w:t>
      </w:r>
    </w:p>
    <w:p>
      <w:pPr>
        <w:pStyle w:val="13"/>
        <w:numPr>
          <w:ilvl w:val="0"/>
          <w:numId w:val="0"/>
        </w:numPr>
        <w:spacing w:before="0" w:beforeLines="0" w:beforeAutospacing="0" w:afterLines="0" w:afterAutospacing="0"/>
        <w:ind w:firstLine="640" w:firstLineChars="200"/>
        <w:rPr>
          <w:rFonts w:hint="eastAsia" w:ascii="Times New Roman" w:hAnsi="Times New Roman" w:eastAsia="方正仿宋_GBK" w:cs="仿宋_GB2312"/>
          <w:color w:val="auto"/>
          <w:kern w:val="2"/>
          <w:sz w:val="32"/>
          <w:szCs w:val="24"/>
          <w:lang w:eastAsia="zh-CN"/>
        </w:rPr>
      </w:pPr>
      <w:r>
        <w:rPr>
          <w:rFonts w:hint="eastAsia" w:ascii="方正仿宋_GBK" w:hAnsi="方正仿宋_GBK" w:eastAsia="方正仿宋_GBK" w:cs="方正仿宋_GBK"/>
          <w:sz w:val="32"/>
          <w:szCs w:val="32"/>
          <w:shd w:val="clear" w:color="auto" w:fill="FFFFFF"/>
        </w:rPr>
        <w:t>根据预算绩效管理要求，我部门对</w:t>
      </w:r>
      <w:r>
        <w:rPr>
          <w:rFonts w:hint="eastAsia" w:ascii="方正仿宋_GBK" w:hAnsi="方正仿宋_GBK" w:eastAsia="方正仿宋_GBK" w:cs="方正仿宋_GBK"/>
          <w:sz w:val="32"/>
          <w:szCs w:val="32"/>
          <w:shd w:val="clear" w:color="auto" w:fill="FFFFFF"/>
          <w:lang w:val="en-US" w:eastAsia="zh-CN"/>
        </w:rPr>
        <w:t>113个项目</w:t>
      </w:r>
      <w:r>
        <w:rPr>
          <w:rFonts w:hint="eastAsia" w:ascii="Times New Roman" w:hAnsi="Times New Roman" w:eastAsia="方正仿宋_GBK" w:cs="仿宋_GB2312"/>
          <w:color w:val="auto"/>
          <w:kern w:val="2"/>
          <w:sz w:val="32"/>
          <w:szCs w:val="24"/>
        </w:rPr>
        <w:t>开展了绩效自评</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涉及财政拨款项目支出资金</w:t>
      </w:r>
      <w:r>
        <w:rPr>
          <w:rFonts w:hint="eastAsia" w:ascii="方正仿宋_GBK" w:hAnsi="方正仿宋_GBK" w:eastAsia="方正仿宋_GBK" w:cs="方正仿宋_GBK"/>
          <w:sz w:val="32"/>
          <w:szCs w:val="32"/>
          <w:shd w:val="clear" w:color="auto" w:fill="FFFFFF"/>
          <w:lang w:val="en-US" w:eastAsia="zh-CN"/>
        </w:rPr>
        <w:t>7474.45</w:t>
      </w:r>
      <w:r>
        <w:rPr>
          <w:rFonts w:hint="eastAsia" w:ascii="Times New Roman" w:hAnsi="Times New Roman" w:eastAsia="方正仿宋_GBK"/>
          <w:sz w:val="32"/>
          <w:szCs w:val="32"/>
        </w:rPr>
        <w:t>万元</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仿宋_GB2312"/>
          <w:color w:val="auto"/>
          <w:kern w:val="2"/>
          <w:sz w:val="32"/>
          <w:szCs w:val="24"/>
        </w:rPr>
        <w:t>从评价情况来看，各项资金使用合理、高效，达到预期效果</w:t>
      </w:r>
      <w:r>
        <w:rPr>
          <w:rFonts w:hint="eastAsia" w:ascii="Times New Roman" w:hAnsi="Times New Roman" w:eastAsia="方正仿宋_GBK" w:cs="仿宋_GB2312"/>
          <w:color w:val="auto"/>
          <w:kern w:val="2"/>
          <w:sz w:val="32"/>
          <w:szCs w:val="24"/>
          <w:lang w:eastAsia="zh-CN"/>
        </w:rPr>
        <w:t>。</w:t>
      </w:r>
    </w:p>
    <w:tbl>
      <w:tblPr>
        <w:tblStyle w:val="8"/>
        <w:tblW w:w="10875" w:type="dxa"/>
        <w:tblInd w:w="-10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2"/>
        <w:gridCol w:w="925"/>
        <w:gridCol w:w="563"/>
        <w:gridCol w:w="1337"/>
        <w:gridCol w:w="788"/>
        <w:gridCol w:w="1275"/>
        <w:gridCol w:w="837"/>
        <w:gridCol w:w="1288"/>
        <w:gridCol w:w="750"/>
        <w:gridCol w:w="637"/>
        <w:gridCol w:w="1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087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22"/>
                <w:szCs w:val="22"/>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087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16"/>
                <w:szCs w:val="16"/>
                <w:u w:val="none"/>
              </w:rPr>
            </w:pPr>
            <w:r>
              <w:rPr>
                <w:rFonts w:hint="eastAsia" w:ascii="宋体" w:hAnsi="宋体" w:eastAsia="宋体" w:cs="宋体"/>
                <w:b/>
                <w:bCs/>
                <w:i w:val="0"/>
                <w:iCs w:val="0"/>
                <w:color w:val="DA3232"/>
                <w:kern w:val="0"/>
                <w:sz w:val="16"/>
                <w:szCs w:val="16"/>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石柱土家族自治县桥头镇人民政府整体监控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50024000024P000066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98.92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6"/>
                <w:szCs w:val="16"/>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910-石柱土家族自治县桥头镇人民政府</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财政归口处室：</w:t>
            </w: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509-农业农村和基层财政科</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牟显军</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联系电话：</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15922947909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1087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年初预算数</w:t>
            </w: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全年（调整）预算数</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执行率权重</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3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年度总金额</w:t>
            </w:r>
          </w:p>
        </w:tc>
        <w:tc>
          <w:tcPr>
            <w:tcW w:w="925"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63"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133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25,203,733.73 </w:t>
            </w:r>
          </w:p>
        </w:tc>
        <w:tc>
          <w:tcPr>
            <w:tcW w:w="788"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12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83,563,524.11 </w:t>
            </w:r>
          </w:p>
        </w:tc>
        <w:tc>
          <w:tcPr>
            <w:tcW w:w="837"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128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74,539,853.06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3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925"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63"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133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25,203,733.73 </w:t>
            </w:r>
          </w:p>
        </w:tc>
        <w:tc>
          <w:tcPr>
            <w:tcW w:w="788"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12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83,563,524.11 </w:t>
            </w:r>
          </w:p>
        </w:tc>
        <w:tc>
          <w:tcPr>
            <w:tcW w:w="837"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128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74,539,853.06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131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w:t>
            </w:r>
          </w:p>
        </w:tc>
        <w:tc>
          <w:tcPr>
            <w:tcW w:w="925"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563"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133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25,177,055.57 </w:t>
            </w:r>
          </w:p>
        </w:tc>
        <w:tc>
          <w:tcPr>
            <w:tcW w:w="788"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12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83,407,424.11 </w:t>
            </w:r>
          </w:p>
        </w:tc>
        <w:tc>
          <w:tcPr>
            <w:tcW w:w="837"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128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74,383,753.06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89.18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1087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41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年初绩效目标</w:t>
            </w:r>
          </w:p>
        </w:tc>
        <w:tc>
          <w:tcPr>
            <w:tcW w:w="41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全年（调整）绩效目标</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4" w:hRule="atLeast"/>
        </w:trPr>
        <w:tc>
          <w:tcPr>
            <w:tcW w:w="413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1.做好经济发展、民政和社会事务、平安建设、规划建设和环保管理、应急管理、人大事务、综合行政执法等工作，保障辖区各项工作正常开展。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2.为农业农村工作、社区公共事务、文化宣传、体育、劳动就业和社会保障、退役军人及其他优抚对象等做好服务。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3.完成县委、县政府安排的其它工作，保障我镇各项工作正常运转，保障机关人员经费的正常支出，保障村组干部待遇。</w:t>
            </w:r>
          </w:p>
        </w:tc>
        <w:tc>
          <w:tcPr>
            <w:tcW w:w="418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1.做好经济发展、民政和社会事务、平安建设、规划建设和环保管理、应急管理、人大事务、综合行政执法等工作，保障辖区各项工作正常开展。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2.为农业农村工作、社区公共事务、文化宣传、体育、劳动就业和社会保障、退役军人及其他优抚对象等做好服务。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3.完成县委、县政府安排的其它工作，保障我镇各项工作正常运转，保障机关人员经费的正常支出，保障村组干部待遇。</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做好经济发展、民政和社会事务、平安建设、规划建设和环保管理、应急管理、人大事务、综合行政执法等工作，保障辖区各项工作正常开展。1.做好经济发展、民政和社会事务、平安建设、规划建设和环保管理、应急管理、人大事务、综合行政执法等工作，保障辖区各项工作正常开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2.为农业农村工作、社区公共事务、文化宣传、体育、劳动就业和社会保障、退役军人及其他优抚对象等做好服务。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3.完成县委、县政府安排的其它工作，保障我镇各项工作正常运转，保障机关人员经费的正常支出，保障村组干部待遇。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1087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指标名称</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全年完成值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偏离度（%）</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得分系数（%）</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指标得分</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是否核心指标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管辖村社区数量</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年底考核情况</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整体工作完成率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资金拨付及时率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经济发展情况</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社会和谐稳定情况</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生态环境情况</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可持续发展能力</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人均公用经费变动率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bl>
    <w:p>
      <w:pPr>
        <w:pStyle w:val="13"/>
        <w:spacing w:before="0" w:beforeAutospacing="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28"/>
          <w:szCs w:val="28"/>
          <w:shd w:val="clear" w:color="auto" w:fill="FFFFFF"/>
        </w:rPr>
        <w:t>项目支出绩效自评表（一级项目）</w:t>
      </w:r>
    </w:p>
    <w:tbl>
      <w:tblPr>
        <w:tblStyle w:val="8"/>
        <w:tblW w:w="10010" w:type="dxa"/>
        <w:tblInd w:w="-6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6"/>
        <w:gridCol w:w="812"/>
        <w:gridCol w:w="1148"/>
        <w:gridCol w:w="1361"/>
        <w:gridCol w:w="800"/>
        <w:gridCol w:w="1119"/>
        <w:gridCol w:w="804"/>
        <w:gridCol w:w="654"/>
        <w:gridCol w:w="2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10010" w:type="dxa"/>
            <w:gridSpan w:val="9"/>
            <w:tcBorders>
              <w:top w:val="nil"/>
              <w:left w:val="nil"/>
              <w:bottom w:val="nil"/>
              <w:right w:val="nil"/>
            </w:tcBorders>
            <w:noWrap w:val="0"/>
            <w:vAlign w:val="center"/>
          </w:tcPr>
          <w:p>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kern w:val="0"/>
                <w:sz w:val="40"/>
                <w:szCs w:val="40"/>
              </w:rPr>
            </w:pPr>
            <w:r>
              <w:rPr>
                <w:rFonts w:hint="default" w:ascii="方正小标宋_GBK" w:hAnsi="方正小标宋_GBK" w:eastAsia="方正小标宋_GBK" w:cs="方正小标宋_GBK"/>
                <w:i w:val="0"/>
                <w:iCs w:val="0"/>
                <w:color w:val="000000"/>
                <w:kern w:val="0"/>
                <w:sz w:val="40"/>
                <w:szCs w:val="40"/>
              </w:rPr>
              <w:t xml:space="preserve"> </w:t>
            </w:r>
            <w:r>
              <w:rPr>
                <w:rFonts w:hint="default" w:ascii="方正小标宋_GBK" w:hAnsi="方正小标宋_GBK" w:eastAsia="方正小标宋_GBK" w:cs="方正小标宋_GBK"/>
                <w:i w:val="0"/>
                <w:iCs w:val="0"/>
                <w:color w:val="000000"/>
                <w:kern w:val="0"/>
                <w:sz w:val="36"/>
                <w:szCs w:val="36"/>
              </w:rPr>
              <w:t>桥头镇</w:t>
            </w:r>
            <w:r>
              <w:rPr>
                <w:rFonts w:hint="default" w:ascii="方正小标宋_GBK" w:hAnsi="方正小标宋_GBK" w:eastAsia="方正小标宋_GBK" w:cs="方正小标宋_GBK"/>
                <w:i w:val="0"/>
                <w:iCs w:val="0"/>
                <w:color w:val="000000"/>
                <w:kern w:val="0"/>
                <w:sz w:val="36"/>
                <w:szCs w:val="36"/>
                <w:u w:val="single"/>
              </w:rPr>
              <w:t>202</w:t>
            </w:r>
            <w:r>
              <w:rPr>
                <w:rFonts w:hint="eastAsia" w:ascii="方正小标宋_GBK" w:hAnsi="方正小标宋_GBK" w:eastAsia="方正小标宋_GBK" w:cs="方正小标宋_GBK"/>
                <w:i w:val="0"/>
                <w:iCs w:val="0"/>
                <w:color w:val="000000"/>
                <w:kern w:val="0"/>
                <w:sz w:val="36"/>
                <w:szCs w:val="36"/>
                <w:u w:val="single"/>
                <w:lang w:val="en-US" w:eastAsia="zh-CN"/>
              </w:rPr>
              <w:t>4</w:t>
            </w:r>
            <w:r>
              <w:rPr>
                <w:rFonts w:hint="default" w:ascii="方正小标宋_GBK" w:hAnsi="方正小标宋_GBK" w:eastAsia="方正小标宋_GBK" w:cs="方正小标宋_GBK"/>
                <w:i w:val="0"/>
                <w:iCs w:val="0"/>
                <w:color w:val="000000"/>
                <w:kern w:val="0"/>
                <w:sz w:val="36"/>
                <w:szCs w:val="36"/>
              </w:rPr>
              <w:t>年度一般性一级项目绩效目标自评表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0010" w:type="dxa"/>
            <w:gridSpan w:val="9"/>
            <w:tcBorders>
              <w:top w:val="nil"/>
              <w:left w:val="nil"/>
              <w:bottom w:val="single" w:color="000000" w:sz="4" w:space="0"/>
              <w:right w:val="nil"/>
            </w:tcBorders>
            <w:noWrap w:val="0"/>
            <w:vAlign w:val="center"/>
          </w:tcPr>
          <w:p>
            <w:pPr>
              <w:keepNext w:val="0"/>
              <w:keepLines w:val="0"/>
              <w:widowControl/>
              <w:suppressLineNumbers w:val="0"/>
              <w:jc w:val="both"/>
              <w:rPr>
                <w:rFonts w:hint="default" w:ascii="方正仿宋_GBK" w:hAnsi="方正仿宋_GBK" w:eastAsia="方正仿宋_GBK" w:cs="方正仿宋_GBK"/>
                <w:i w:val="0"/>
                <w:iCs w:val="0"/>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0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项目资金名称</w:t>
            </w:r>
          </w:p>
        </w:tc>
        <w:tc>
          <w:tcPr>
            <w:tcW w:w="3309" w:type="dxa"/>
            <w:gridSpan w:val="3"/>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石柱桥头镇村社支出</w:t>
            </w:r>
          </w:p>
        </w:tc>
        <w:tc>
          <w:tcPr>
            <w:tcW w:w="1923" w:type="dxa"/>
            <w:gridSpan w:val="2"/>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项目实施年度(时期)</w:t>
            </w:r>
          </w:p>
        </w:tc>
        <w:tc>
          <w:tcPr>
            <w:tcW w:w="2700" w:type="dxa"/>
            <w:gridSpan w:val="2"/>
            <w:tcBorders>
              <w:top w:val="single" w:color="000000" w:sz="4" w:space="0"/>
              <w:left w:val="nil"/>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202</w:t>
            </w:r>
            <w:r>
              <w:rPr>
                <w:rFonts w:hint="eastAsia" w:cs="宋体"/>
                <w:color w:val="000000"/>
                <w:kern w:val="0"/>
                <w:sz w:val="18"/>
                <w:szCs w:val="18"/>
                <w:lang w:val="en-US" w:eastAsia="zh-CN" w:bidi="ar"/>
              </w:rPr>
              <w:t>4</w:t>
            </w:r>
            <w:r>
              <w:rPr>
                <w:rFonts w:hint="eastAsia" w:ascii="宋体" w:hAnsi="宋体" w:cs="宋体"/>
                <w:color w:val="000000"/>
                <w:kern w:val="0"/>
                <w:sz w:val="18"/>
                <w:szCs w:val="18"/>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0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主管部门</w:t>
            </w:r>
          </w:p>
        </w:tc>
        <w:tc>
          <w:tcPr>
            <w:tcW w:w="3309" w:type="dxa"/>
            <w:gridSpan w:val="3"/>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桥头镇人民政府</w:t>
            </w:r>
          </w:p>
        </w:tc>
        <w:tc>
          <w:tcPr>
            <w:tcW w:w="1923" w:type="dxa"/>
            <w:gridSpan w:val="2"/>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实施单位</w:t>
            </w:r>
          </w:p>
        </w:tc>
        <w:tc>
          <w:tcPr>
            <w:tcW w:w="2700" w:type="dxa"/>
            <w:gridSpan w:val="2"/>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桥头镇人民政府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078" w:type="dxa"/>
            <w:gridSpan w:val="2"/>
            <w:vMerge w:val="restart"/>
            <w:tcBorders>
              <w:top w:val="nil"/>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项目资金（万元）</w:t>
            </w:r>
          </w:p>
        </w:tc>
        <w:tc>
          <w:tcPr>
            <w:tcW w:w="2509" w:type="dxa"/>
            <w:gridSpan w:val="2"/>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全年预算数(A)</w:t>
            </w:r>
          </w:p>
        </w:tc>
        <w:tc>
          <w:tcPr>
            <w:tcW w:w="3377" w:type="dxa"/>
            <w:gridSpan w:val="4"/>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全年执行数（B）</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078" w:type="dxa"/>
            <w:gridSpan w:val="2"/>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总量</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232.92万元</w:t>
            </w:r>
          </w:p>
        </w:tc>
        <w:tc>
          <w:tcPr>
            <w:tcW w:w="1919" w:type="dxa"/>
            <w:gridSpan w:val="2"/>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总量</w:t>
            </w:r>
          </w:p>
        </w:tc>
        <w:tc>
          <w:tcPr>
            <w:tcW w:w="1458" w:type="dxa"/>
            <w:gridSpan w:val="2"/>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232.92万元</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078" w:type="dxa"/>
            <w:gridSpan w:val="2"/>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其中：财政资金</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232.92万元</w:t>
            </w:r>
          </w:p>
        </w:tc>
        <w:tc>
          <w:tcPr>
            <w:tcW w:w="1919" w:type="dxa"/>
            <w:gridSpan w:val="2"/>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其中：财政资金</w:t>
            </w:r>
          </w:p>
        </w:tc>
        <w:tc>
          <w:tcPr>
            <w:tcW w:w="1458" w:type="dxa"/>
            <w:gridSpan w:val="2"/>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232.92万元</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266" w:type="dxa"/>
            <w:vMerge w:val="restart"/>
            <w:tcBorders>
              <w:top w:val="nil"/>
              <w:left w:val="single" w:color="000000" w:sz="4" w:space="0"/>
              <w:bottom w:val="single" w:color="000000" w:sz="4" w:space="0"/>
              <w:right w:val="nil"/>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年度总体目标</w:t>
            </w:r>
          </w:p>
        </w:tc>
        <w:tc>
          <w:tcPr>
            <w:tcW w:w="3321"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年初设定目标</w:t>
            </w:r>
          </w:p>
        </w:tc>
        <w:tc>
          <w:tcPr>
            <w:tcW w:w="3377" w:type="dxa"/>
            <w:gridSpan w:val="4"/>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全年目标实际完成情况</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自评等级(优良中差)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1266" w:type="dxa"/>
            <w:vMerge w:val="continue"/>
            <w:tcBorders>
              <w:top w:val="nil"/>
              <w:left w:val="single" w:color="000000" w:sz="4" w:space="0"/>
              <w:bottom w:val="single" w:color="000000" w:sz="4" w:space="0"/>
              <w:right w:val="nil"/>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3321"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目标1：保障村社干部工资待遇和日常运行开支，充分发挥基层建设的作用。目标2：为基层党建构建有利条件，完善村基础设施，团结群众乡村振兴。</w:t>
            </w:r>
          </w:p>
        </w:tc>
        <w:tc>
          <w:tcPr>
            <w:tcW w:w="3377" w:type="dxa"/>
            <w:gridSpan w:val="4"/>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目标1：保障村社干部工资待遇和日常运行开支，充分发挥基层建设的作用。目标2：为基层党建构建有利条件，完善村基础设施，团结群众乡村振兴。</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266" w:type="dxa"/>
            <w:vMerge w:val="restart"/>
            <w:tcBorders>
              <w:top w:val="nil"/>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绩效指标</w:t>
            </w:r>
          </w:p>
        </w:tc>
        <w:tc>
          <w:tcPr>
            <w:tcW w:w="812"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一级指标</w:t>
            </w: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二级指标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三级指标</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年度指标值</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实际完成值</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设计</w:t>
            </w:r>
            <w:r>
              <w:rPr>
                <w:rFonts w:hint="eastAsia" w:ascii="宋体" w:hAnsi="宋体" w:cs="宋体"/>
                <w:color w:val="000000"/>
                <w:kern w:val="0"/>
                <w:sz w:val="18"/>
                <w:szCs w:val="18"/>
                <w:lang w:val="en-US" w:eastAsia="zh-CN" w:bidi="ar"/>
              </w:rPr>
              <w:br w:type="textWrapping"/>
            </w:r>
            <w:r>
              <w:rPr>
                <w:rFonts w:hint="eastAsia" w:ascii="宋体" w:hAnsi="宋体" w:cs="宋体"/>
                <w:color w:val="000000"/>
                <w:kern w:val="0"/>
                <w:sz w:val="18"/>
                <w:szCs w:val="18"/>
                <w:lang w:val="en-US" w:eastAsia="zh-CN" w:bidi="ar"/>
              </w:rPr>
              <w:t>分值</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评价</w:t>
            </w:r>
            <w:r>
              <w:rPr>
                <w:rFonts w:hint="eastAsia" w:ascii="宋体" w:hAnsi="宋体" w:cs="宋体"/>
                <w:color w:val="000000"/>
                <w:kern w:val="0"/>
                <w:sz w:val="18"/>
                <w:szCs w:val="18"/>
                <w:lang w:val="en-US" w:eastAsia="zh-CN" w:bidi="ar"/>
              </w:rPr>
              <w:br w:type="textWrapping"/>
            </w:r>
            <w:r>
              <w:rPr>
                <w:rFonts w:hint="eastAsia" w:ascii="宋体" w:hAnsi="宋体" w:cs="宋体"/>
                <w:color w:val="000000"/>
                <w:kern w:val="0"/>
                <w:sz w:val="18"/>
                <w:szCs w:val="18"/>
                <w:lang w:val="en-US" w:eastAsia="zh-CN" w:bidi="ar"/>
              </w:rPr>
              <w:t>得分</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未完成原因和改进措施</w:t>
            </w:r>
            <w:r>
              <w:rPr>
                <w:rFonts w:hint="eastAsia" w:ascii="宋体" w:hAnsi="宋体" w:cs="宋体"/>
                <w:color w:val="000000"/>
                <w:kern w:val="0"/>
                <w:sz w:val="18"/>
                <w:szCs w:val="18"/>
                <w:lang w:val="en-US" w:eastAsia="zh-CN" w:bidi="ar"/>
              </w:rPr>
              <w:br w:type="textWrapping"/>
            </w:r>
            <w:r>
              <w:rPr>
                <w:rFonts w:hint="eastAsia" w:ascii="宋体" w:hAnsi="宋体" w:cs="宋体"/>
                <w:color w:val="000000"/>
                <w:kern w:val="0"/>
                <w:sz w:val="18"/>
                <w:szCs w:val="18"/>
                <w:lang w:val="en-US" w:eastAsia="zh-CN" w:bidi="ar"/>
              </w:rPr>
              <w:t>及相关说明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vMerge w:val="restart"/>
            <w:tcBorders>
              <w:top w:val="nil"/>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产出指标</w:t>
            </w: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数量指标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涉及村社数量</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7个</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7个</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质量指标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经济管理规范率</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时效指标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资金拨付及时率</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成本指标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单位成本</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232.92万元</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232.92万元</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vMerge w:val="restart"/>
            <w:tcBorders>
              <w:top w:val="nil"/>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社会效益指标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基础设施完善情况</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进一步完善</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进一步完善</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经济效益指标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增减村级收</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得以增加</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得以增加</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可持续影响指标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基础设施使用年限</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≥10年</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≥10年</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vMerge w:val="restart"/>
            <w:tcBorders>
              <w:top w:val="nil"/>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管理指标</w:t>
            </w: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业务管理指标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项目管理制度</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建立义务监督员制度</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已建立义务监督员制度</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财务管理指标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支付进度款</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按季度支付</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已按时完成项目进度款</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pPr>
              <w:jc w:val="center"/>
              <w:textAlignment w:val="center"/>
              <w:rPr>
                <w:rFonts w:hint="default" w:ascii="宋体" w:hAnsi="宋体" w:cs="宋体"/>
                <w:color w:val="000000"/>
                <w:kern w:val="0"/>
                <w:sz w:val="18"/>
                <w:szCs w:val="18"/>
                <w:lang w:val="en-US" w:eastAsia="zh-CN" w:bidi="ar"/>
              </w:rPr>
            </w:pPr>
          </w:p>
        </w:tc>
        <w:tc>
          <w:tcPr>
            <w:tcW w:w="812"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满意度指标</w:t>
            </w:r>
          </w:p>
        </w:tc>
        <w:tc>
          <w:tcPr>
            <w:tcW w:w="1148"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社会公众或服务对象满意度指标</w:t>
            </w: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群众满意度</w:t>
            </w: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群众满意度</w:t>
            </w: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≥90%</w:t>
            </w: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07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合计</w:t>
            </w:r>
          </w:p>
        </w:tc>
        <w:tc>
          <w:tcPr>
            <w:tcW w:w="1148" w:type="dxa"/>
            <w:tcBorders>
              <w:top w:val="single" w:color="000000" w:sz="4" w:space="0"/>
              <w:left w:val="nil"/>
              <w:bottom w:val="single" w:color="000000" w:sz="4" w:space="0"/>
              <w:right w:val="single" w:color="000000" w:sz="4" w:space="0"/>
            </w:tcBorders>
            <w:noWrap/>
            <w:vAlign w:val="center"/>
          </w:tcPr>
          <w:p>
            <w:pPr>
              <w:jc w:val="center"/>
              <w:textAlignment w:val="center"/>
              <w:rPr>
                <w:rFonts w:hint="eastAsia" w:ascii="宋体" w:hAnsi="宋体" w:cs="宋体"/>
                <w:color w:val="000000"/>
                <w:kern w:val="0"/>
                <w:sz w:val="18"/>
                <w:szCs w:val="18"/>
                <w:lang w:val="en-US" w:eastAsia="zh-CN" w:bidi="ar"/>
              </w:rPr>
            </w:pPr>
          </w:p>
        </w:tc>
        <w:tc>
          <w:tcPr>
            <w:tcW w:w="1361"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c>
          <w:tcPr>
            <w:tcW w:w="800"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c>
          <w:tcPr>
            <w:tcW w:w="1119"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c>
          <w:tcPr>
            <w:tcW w:w="80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c>
          <w:tcPr>
            <w:tcW w:w="654"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c>
          <w:tcPr>
            <w:tcW w:w="2046" w:type="dxa"/>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26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说明</w:t>
            </w:r>
          </w:p>
        </w:tc>
        <w:tc>
          <w:tcPr>
            <w:tcW w:w="8744" w:type="dxa"/>
            <w:gridSpan w:val="8"/>
            <w:tcBorders>
              <w:top w:val="single" w:color="000000" w:sz="4" w:space="0"/>
              <w:left w:val="nil"/>
              <w:bottom w:val="single" w:color="000000" w:sz="4" w:space="0"/>
              <w:right w:val="single" w:color="000000" w:sz="4" w:space="0"/>
            </w:tcBorders>
            <w:noWrap w:val="0"/>
            <w:vAlign w:val="center"/>
          </w:tcPr>
          <w:p>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无</w:t>
            </w:r>
          </w:p>
        </w:tc>
      </w:tr>
    </w:tbl>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spacing w:line="592"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我</w:t>
      </w:r>
      <w:r>
        <w:rPr>
          <w:rFonts w:hint="eastAsia" w:ascii="Times New Roman" w:hAnsi="Times New Roman" w:eastAsia="方正仿宋_GBK"/>
          <w:sz w:val="32"/>
          <w:szCs w:val="32"/>
          <w:lang w:val="en-US" w:eastAsia="zh-CN"/>
        </w:rPr>
        <w:t>部门</w:t>
      </w:r>
      <w:r>
        <w:rPr>
          <w:rFonts w:ascii="Times New Roman" w:hAnsi="Times New Roman" w:eastAsia="方正仿宋_GBK"/>
          <w:sz w:val="32"/>
          <w:szCs w:val="32"/>
        </w:rPr>
        <w:t>对桥头镇202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年乡村振兴积分激励项目开展了绩效评价，涉及财政拨款项目资金</w:t>
      </w:r>
      <w:r>
        <w:rPr>
          <w:rFonts w:hint="eastAsia" w:ascii="Times New Roman" w:hAnsi="Times New Roman" w:eastAsia="方正仿宋_GBK"/>
          <w:sz w:val="32"/>
          <w:szCs w:val="32"/>
          <w:lang w:val="en-US" w:eastAsia="zh-CN"/>
        </w:rPr>
        <w:t>15.42</w:t>
      </w:r>
      <w:r>
        <w:rPr>
          <w:rFonts w:ascii="Times New Roman" w:hAnsi="Times New Roman" w:eastAsia="方正仿宋_GBK"/>
          <w:sz w:val="32"/>
          <w:szCs w:val="32"/>
        </w:rPr>
        <w:t>万元，评价得分100分，评价等次为优。</w:t>
      </w:r>
      <w:r>
        <w:rPr>
          <w:rFonts w:hint="default" w:ascii="Times New Roman" w:hAnsi="Times New Roman" w:eastAsia="方正仿宋_GBK"/>
          <w:sz w:val="32"/>
          <w:szCs w:val="32"/>
        </w:rPr>
        <w:t>从结果来看，项目支出都较好的完成了既定目标，经济效益、社会效益、生态效益显著，服务对象满意度高。</w:t>
      </w:r>
    </w:p>
    <w:tbl>
      <w:tblPr>
        <w:tblStyle w:val="8"/>
        <w:tblW w:w="10261"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3"/>
        <w:gridCol w:w="1187"/>
        <w:gridCol w:w="725"/>
        <w:gridCol w:w="738"/>
        <w:gridCol w:w="750"/>
        <w:gridCol w:w="1100"/>
        <w:gridCol w:w="625"/>
        <w:gridCol w:w="1062"/>
        <w:gridCol w:w="611"/>
        <w:gridCol w:w="798"/>
        <w:gridCol w:w="1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02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21"/>
                <w:szCs w:val="21"/>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02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16"/>
                <w:szCs w:val="16"/>
                <w:u w:val="none"/>
              </w:rPr>
            </w:pPr>
            <w:r>
              <w:rPr>
                <w:rFonts w:hint="eastAsia" w:ascii="宋体" w:hAnsi="宋体" w:eastAsia="宋体" w:cs="宋体"/>
                <w:b/>
                <w:bCs/>
                <w:i w:val="0"/>
                <w:iCs w:val="0"/>
                <w:color w:val="DA3232"/>
                <w:kern w:val="0"/>
                <w:sz w:val="16"/>
                <w:szCs w:val="16"/>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石柱县2024年乡村振兴积分激励项目</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50024024T000004482796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6"/>
                <w:szCs w:val="16"/>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910-石柱土家族自治县桥头镇人民政府</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509-农业农村和基层财政科</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廖敏</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联系电话：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17830460203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102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年初预算数</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全年（调整）预算数</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全年执行数</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执行率权重</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5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年度总金额</w:t>
            </w:r>
          </w:p>
        </w:tc>
        <w:tc>
          <w:tcPr>
            <w:tcW w:w="1187"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725"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3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75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1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154,192.00 </w:t>
            </w:r>
          </w:p>
        </w:tc>
        <w:tc>
          <w:tcPr>
            <w:tcW w:w="625"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106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154,192.00 </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5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1187"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725"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3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75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1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154,192.00 </w:t>
            </w:r>
          </w:p>
        </w:tc>
        <w:tc>
          <w:tcPr>
            <w:tcW w:w="625"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106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154,192.00 </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5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w:t>
            </w:r>
          </w:p>
        </w:tc>
        <w:tc>
          <w:tcPr>
            <w:tcW w:w="1187"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725"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3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75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11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154,192.00 </w:t>
            </w:r>
          </w:p>
        </w:tc>
        <w:tc>
          <w:tcPr>
            <w:tcW w:w="625"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106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154,192.00 </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02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42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年初绩效目标</w:t>
            </w:r>
          </w:p>
        </w:tc>
        <w:tc>
          <w:tcPr>
            <w:tcW w:w="35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全年（调整）绩效目标</w:t>
            </w:r>
          </w:p>
        </w:tc>
        <w:tc>
          <w:tcPr>
            <w:tcW w:w="25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421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在涉农村（社区）推进乡村振兴积分激励制度、促进乡风文明，推进乡村治理。</w:t>
            </w:r>
          </w:p>
        </w:tc>
        <w:tc>
          <w:tcPr>
            <w:tcW w:w="353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在涉农村（社区）推进乡村振兴积分激励制度、促进乡风文明，推进乡村治理。</w:t>
            </w:r>
          </w:p>
        </w:tc>
        <w:tc>
          <w:tcPr>
            <w:tcW w:w="251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在涉农村（社区）推进乡村振兴积分激励制度、促进乡风文明，推进乡村治理。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02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指标名称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指标性质</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全年完成值</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偏离度（%）</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得分系数（%）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指标权重</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指标得分</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是否核心指标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群众户数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环境整治合格率</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项目完成时限</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乡村文明程度提效率</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APP系统单价</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元/户</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APP系统单价</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万元/村</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bl>
    <w:p>
      <w:pPr>
        <w:pStyle w:val="7"/>
        <w:shd w:val="clear" w:color="auto" w:fill="FFFFFF"/>
        <w:rPr>
          <w:rStyle w:val="10"/>
          <w:rFonts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六、专业名词解释</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hd w:val="clear" w:color="auto" w:fill="FFFFFF"/>
        <w:rPr>
          <w:rFonts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11"/>
        <w:autoSpaceDE w:val="0"/>
        <w:ind w:firstLine="320" w:firstLineChars="100"/>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rPr>
        <w:t>023-73387001</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p>
    <w:tbl>
      <w:tblPr>
        <w:tblStyle w:val="8"/>
        <w:tblW w:w="19207" w:type="dxa"/>
        <w:jc w:val="center"/>
        <w:tblLayout w:type="fixed"/>
        <w:tblCellMar>
          <w:top w:w="0" w:type="dxa"/>
          <w:left w:w="108" w:type="dxa"/>
          <w:bottom w:w="0" w:type="dxa"/>
          <w:right w:w="108" w:type="dxa"/>
        </w:tblCellMar>
      </w:tblPr>
      <w:tblGrid>
        <w:gridCol w:w="4377"/>
        <w:gridCol w:w="850"/>
        <w:gridCol w:w="4436"/>
        <w:gridCol w:w="4433"/>
        <w:gridCol w:w="767"/>
        <w:gridCol w:w="4344"/>
      </w:tblGrid>
      <w:tr>
        <w:tblPrEx>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vAlign w:val="bottom"/>
          </w:tcPr>
          <w:p>
            <w:pPr>
              <w:jc w:val="center"/>
              <w:textAlignment w:val="bottom"/>
              <w:rPr>
                <w:rFonts w:cs="宋体"/>
                <w:color w:val="000000"/>
                <w:sz w:val="30"/>
                <w:szCs w:val="30"/>
              </w:rPr>
            </w:pPr>
            <w:r>
              <w:rPr>
                <w:rFonts w:cs="宋体"/>
                <w:b/>
                <w:bCs/>
                <w:color w:val="000000"/>
                <w:sz w:val="30"/>
                <w:szCs w:val="30"/>
                <w:lang w:bidi="ar"/>
              </w:rPr>
              <w:t>收入支出决算表</w:t>
            </w:r>
          </w:p>
        </w:tc>
      </w:tr>
      <w:tr>
        <w:tblPrEx>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vAlign w:val="bottom"/>
          </w:tcPr>
          <w:p>
            <w:pPr>
              <w:rPr>
                <w:rFonts w:hint="default" w:ascii="Arial" w:hAnsi="Arial" w:cs="Arial"/>
                <w:color w:val="000000"/>
                <w:sz w:val="20"/>
                <w:szCs w:val="20"/>
              </w:rPr>
            </w:pPr>
            <w:r>
              <w:rPr>
                <w:rFonts w:cs="宋体"/>
                <w:sz w:val="20"/>
                <w:szCs w:val="20"/>
              </w:rPr>
              <w:t>部门：</w:t>
            </w:r>
            <w:r>
              <w:rPr>
                <w:sz w:val="20"/>
              </w:rPr>
              <w:t>石柱土家族自治县桥头镇人民政府</w:t>
            </w:r>
          </w:p>
        </w:tc>
        <w:tc>
          <w:tcPr>
            <w:tcW w:w="4344" w:type="dxa"/>
            <w:tcBorders>
              <w:top w:val="nil"/>
              <w:left w:val="nil"/>
              <w:bottom w:val="nil"/>
              <w:right w:val="nil"/>
            </w:tcBorders>
            <w:vAlign w:val="bottom"/>
          </w:tcPr>
          <w:p>
            <w:pPr>
              <w:jc w:val="right"/>
              <w:textAlignment w:val="bottom"/>
              <w:rPr>
                <w:rFonts w:cs="宋体"/>
                <w:color w:val="000000"/>
                <w:sz w:val="20"/>
                <w:szCs w:val="20"/>
              </w:rPr>
            </w:pPr>
            <w:r>
              <w:rPr>
                <w:rFonts w:cs="宋体"/>
                <w:color w:val="000000"/>
                <w:sz w:val="20"/>
                <w:szCs w:val="20"/>
                <w:lang w:bidi="ar"/>
              </w:rPr>
              <w:t>01表</w:t>
            </w:r>
          </w:p>
        </w:tc>
      </w:tr>
      <w:tr>
        <w:tblPrEx>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vAlign w:val="bottom"/>
          </w:tcPr>
          <w:p>
            <w:pPr>
              <w:rPr>
                <w:rFonts w:hint="default" w:ascii="Arial" w:hAnsi="Arial" w:cs="Arial"/>
                <w:color w:val="000000"/>
                <w:sz w:val="20"/>
                <w:szCs w:val="20"/>
              </w:rPr>
            </w:pPr>
          </w:p>
        </w:tc>
        <w:tc>
          <w:tcPr>
            <w:tcW w:w="4344" w:type="dxa"/>
            <w:tcBorders>
              <w:top w:val="nil"/>
              <w:left w:val="nil"/>
              <w:bottom w:val="nil"/>
              <w:right w:val="nil"/>
            </w:tcBorders>
            <w:vAlign w:val="bottom"/>
          </w:tcPr>
          <w:p>
            <w:pPr>
              <w:jc w:val="right"/>
              <w:textAlignment w:val="bottom"/>
              <w:rPr>
                <w:rFonts w:cs="宋体"/>
                <w:color w:val="000000"/>
                <w:sz w:val="20"/>
                <w:szCs w:val="20"/>
              </w:rPr>
            </w:pPr>
            <w:r>
              <w:rPr>
                <w:rFonts w:cs="宋体"/>
                <w:color w:val="000000"/>
                <w:sz w:val="20"/>
                <w:szCs w:val="20"/>
                <w:lang w:bidi="ar"/>
              </w:rPr>
              <w:t>单位：元</w:t>
            </w:r>
          </w:p>
        </w:tc>
      </w:tr>
      <w:tr>
        <w:tblPrEx>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收入</w:t>
            </w:r>
          </w:p>
        </w:tc>
        <w:tc>
          <w:tcPr>
            <w:tcW w:w="9544" w:type="dxa"/>
            <w:gridSpan w:val="3"/>
            <w:tcBorders>
              <w:top w:val="single" w:color="000000" w:sz="4" w:space="0"/>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支出</w:t>
            </w:r>
          </w:p>
        </w:tc>
      </w:tr>
      <w:tr>
        <w:tblPrEx>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项目</w:t>
            </w: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行次</w:t>
            </w:r>
          </w:p>
        </w:tc>
        <w:tc>
          <w:tcPr>
            <w:tcW w:w="4436"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金额</w:t>
            </w:r>
          </w:p>
        </w:tc>
        <w:tc>
          <w:tcPr>
            <w:tcW w:w="4433"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项目</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行次</w:t>
            </w:r>
          </w:p>
        </w:tc>
        <w:tc>
          <w:tcPr>
            <w:tcW w:w="4344"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金额</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jc w:val="center"/>
              <w:textAlignment w:val="center"/>
              <w:rPr>
                <w:rFonts w:cs="宋体"/>
                <w:color w:val="000000"/>
                <w:sz w:val="22"/>
                <w:szCs w:val="22"/>
              </w:rPr>
            </w:pPr>
            <w:r>
              <w:rPr>
                <w:rFonts w:cs="宋体"/>
                <w:b/>
                <w:bCs/>
                <w:color w:val="000000"/>
                <w:sz w:val="22"/>
                <w:szCs w:val="22"/>
                <w:lang w:bidi="ar"/>
              </w:rPr>
              <w:t>栏次</w:t>
            </w:r>
          </w:p>
        </w:tc>
        <w:tc>
          <w:tcPr>
            <w:tcW w:w="850" w:type="dxa"/>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4436"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w:t>
            </w:r>
          </w:p>
        </w:tc>
        <w:tc>
          <w:tcPr>
            <w:tcW w:w="4433"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栏次</w:t>
            </w:r>
          </w:p>
        </w:tc>
        <w:tc>
          <w:tcPr>
            <w:tcW w:w="767" w:type="dxa"/>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4344"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一、一般公共预算财政拨款收入</w:t>
            </w: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w:t>
            </w:r>
          </w:p>
        </w:tc>
        <w:tc>
          <w:tcPr>
            <w:tcW w:w="4436"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74,383,753.06 </w:t>
            </w: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一、一般公共服务支出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31</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5,081,272.47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二、政府性基金预算财政拨款收入</w:t>
            </w: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w:t>
            </w:r>
          </w:p>
        </w:tc>
        <w:tc>
          <w:tcPr>
            <w:tcW w:w="4436"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156,100.00 </w:t>
            </w: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二、外交支出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32</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三、国有资本经营预算财政拨款收入</w:t>
            </w: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w:t>
            </w:r>
          </w:p>
        </w:tc>
        <w:tc>
          <w:tcPr>
            <w:tcW w:w="4436"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三、国防支出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33</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四、上级补助收入</w:t>
            </w: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w:t>
            </w:r>
          </w:p>
        </w:tc>
        <w:tc>
          <w:tcPr>
            <w:tcW w:w="4436"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四、公共安全支出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34</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249,515.00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五、事业收入</w:t>
            </w: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5</w:t>
            </w:r>
          </w:p>
        </w:tc>
        <w:tc>
          <w:tcPr>
            <w:tcW w:w="4436"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五、教育支出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35</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六、经营收入</w:t>
            </w: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6</w:t>
            </w:r>
          </w:p>
        </w:tc>
        <w:tc>
          <w:tcPr>
            <w:tcW w:w="4436"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六、科学技术支出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36</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七、附属单位上缴收入</w:t>
            </w: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7</w:t>
            </w:r>
          </w:p>
        </w:tc>
        <w:tc>
          <w:tcPr>
            <w:tcW w:w="4436"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七、文化旅游体育与传媒支出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37</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174,793.79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八、其他收入</w:t>
            </w: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8</w:t>
            </w:r>
          </w:p>
        </w:tc>
        <w:tc>
          <w:tcPr>
            <w:tcW w:w="4436" w:type="dxa"/>
            <w:tcBorders>
              <w:top w:val="nil"/>
              <w:left w:val="nil"/>
              <w:bottom w:val="nil"/>
              <w:right w:val="single" w:color="000000" w:sz="4" w:space="0"/>
            </w:tcBorders>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八、社会保障和就业支出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38</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2,832,153.86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rPr>
                <w:rFonts w:cs="宋体"/>
                <w:color w:val="000000"/>
                <w:sz w:val="22"/>
                <w:szCs w:val="22"/>
              </w:rPr>
            </w:pPr>
          </w:p>
        </w:tc>
        <w:tc>
          <w:tcPr>
            <w:tcW w:w="8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9</w:t>
            </w:r>
          </w:p>
        </w:tc>
        <w:tc>
          <w:tcPr>
            <w:tcW w:w="4436"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九、卫生健康支出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rPr>
              <w:t>39</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500,134.32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rPr>
                <w:rFonts w:cs="宋体"/>
                <w:color w:val="000000"/>
                <w:sz w:val="22"/>
                <w:szCs w:val="22"/>
              </w:rPr>
            </w:pPr>
          </w:p>
        </w:tc>
        <w:tc>
          <w:tcPr>
            <w:tcW w:w="8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10</w:t>
            </w:r>
          </w:p>
        </w:tc>
        <w:tc>
          <w:tcPr>
            <w:tcW w:w="4436"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十、节能环保支出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40</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17,787,905.29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rPr>
                <w:rFonts w:cs="宋体"/>
                <w:color w:val="000000"/>
                <w:sz w:val="22"/>
                <w:szCs w:val="22"/>
              </w:rPr>
            </w:pPr>
          </w:p>
        </w:tc>
        <w:tc>
          <w:tcPr>
            <w:tcW w:w="8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11</w:t>
            </w:r>
          </w:p>
        </w:tc>
        <w:tc>
          <w:tcPr>
            <w:tcW w:w="4436"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十一、城乡社区支出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41</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534,900.00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rPr>
                <w:rFonts w:cs="宋体"/>
                <w:color w:val="000000"/>
                <w:sz w:val="22"/>
                <w:szCs w:val="22"/>
              </w:rPr>
            </w:pPr>
          </w:p>
        </w:tc>
        <w:tc>
          <w:tcPr>
            <w:tcW w:w="8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12</w:t>
            </w:r>
          </w:p>
        </w:tc>
        <w:tc>
          <w:tcPr>
            <w:tcW w:w="4436"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十二、农林水支出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42</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40,344,295.90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rPr>
                <w:rFonts w:cs="宋体"/>
                <w:color w:val="000000"/>
                <w:sz w:val="22"/>
                <w:szCs w:val="22"/>
              </w:rPr>
            </w:pPr>
          </w:p>
        </w:tc>
        <w:tc>
          <w:tcPr>
            <w:tcW w:w="8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13</w:t>
            </w:r>
          </w:p>
        </w:tc>
        <w:tc>
          <w:tcPr>
            <w:tcW w:w="44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十三、交通运输支出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43</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706,496.06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14</w:t>
            </w:r>
          </w:p>
        </w:tc>
        <w:tc>
          <w:tcPr>
            <w:tcW w:w="4436" w:type="dxa"/>
            <w:tcBorders>
              <w:top w:val="nil"/>
              <w:left w:val="nil"/>
              <w:bottom w:val="single" w:color="000000" w:sz="4" w:space="0"/>
              <w:right w:val="single" w:color="000000" w:sz="4" w:space="0"/>
            </w:tcBorders>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十四、资源勘探工业信息等支出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44</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15</w:t>
            </w:r>
          </w:p>
        </w:tc>
        <w:tc>
          <w:tcPr>
            <w:tcW w:w="4436" w:type="dxa"/>
            <w:tcBorders>
              <w:top w:val="nil"/>
              <w:left w:val="nil"/>
              <w:bottom w:val="single" w:color="000000" w:sz="4" w:space="0"/>
              <w:right w:val="single" w:color="000000" w:sz="4" w:space="0"/>
            </w:tcBorders>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十五、商业服务业等支出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45</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16</w:t>
            </w:r>
          </w:p>
        </w:tc>
        <w:tc>
          <w:tcPr>
            <w:tcW w:w="4436" w:type="dxa"/>
            <w:tcBorders>
              <w:top w:val="nil"/>
              <w:left w:val="nil"/>
              <w:bottom w:val="single" w:color="000000" w:sz="4" w:space="0"/>
              <w:right w:val="single" w:color="000000" w:sz="4" w:space="0"/>
            </w:tcBorders>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十六、金融支出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46</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17</w:t>
            </w:r>
          </w:p>
        </w:tc>
        <w:tc>
          <w:tcPr>
            <w:tcW w:w="4436" w:type="dxa"/>
            <w:tcBorders>
              <w:top w:val="nil"/>
              <w:left w:val="nil"/>
              <w:bottom w:val="single" w:color="000000" w:sz="4" w:space="0"/>
              <w:right w:val="single" w:color="000000" w:sz="4" w:space="0"/>
            </w:tcBorders>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十七、援助其他地区支出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47</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18</w:t>
            </w:r>
          </w:p>
        </w:tc>
        <w:tc>
          <w:tcPr>
            <w:tcW w:w="4436" w:type="dxa"/>
            <w:tcBorders>
              <w:top w:val="nil"/>
              <w:left w:val="nil"/>
              <w:bottom w:val="single" w:color="000000" w:sz="4" w:space="0"/>
              <w:right w:val="single" w:color="000000" w:sz="4" w:space="0"/>
            </w:tcBorders>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十八、自然资源海洋气象等支出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48</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5,742,119.37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19</w:t>
            </w:r>
          </w:p>
        </w:tc>
        <w:tc>
          <w:tcPr>
            <w:tcW w:w="4436" w:type="dxa"/>
            <w:tcBorders>
              <w:top w:val="nil"/>
              <w:left w:val="nil"/>
              <w:bottom w:val="single" w:color="000000" w:sz="4" w:space="0"/>
              <w:right w:val="single" w:color="000000" w:sz="4" w:space="0"/>
            </w:tcBorders>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十九、住房保障支出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49</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488,167.00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20</w:t>
            </w:r>
          </w:p>
        </w:tc>
        <w:tc>
          <w:tcPr>
            <w:tcW w:w="4436" w:type="dxa"/>
            <w:tcBorders>
              <w:top w:val="nil"/>
              <w:left w:val="nil"/>
              <w:bottom w:val="single" w:color="000000" w:sz="4" w:space="0"/>
              <w:right w:val="single" w:color="000000" w:sz="4" w:space="0"/>
            </w:tcBorders>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二十、粮油物资储备支出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50</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21</w:t>
            </w:r>
          </w:p>
        </w:tc>
        <w:tc>
          <w:tcPr>
            <w:tcW w:w="4436" w:type="dxa"/>
            <w:tcBorders>
              <w:top w:val="nil"/>
              <w:left w:val="nil"/>
              <w:bottom w:val="single" w:color="000000" w:sz="4" w:space="0"/>
              <w:right w:val="single" w:color="000000" w:sz="4" w:space="0"/>
            </w:tcBorders>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二十一、国有资本经营预算支出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51</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22</w:t>
            </w:r>
          </w:p>
        </w:tc>
        <w:tc>
          <w:tcPr>
            <w:tcW w:w="4436" w:type="dxa"/>
            <w:tcBorders>
              <w:top w:val="nil"/>
              <w:left w:val="nil"/>
              <w:bottom w:val="single" w:color="000000" w:sz="4" w:space="0"/>
              <w:right w:val="single" w:color="000000" w:sz="4" w:space="0"/>
            </w:tcBorders>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二十二、灾害防治及应急管理支出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52</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98,100.00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23</w:t>
            </w:r>
          </w:p>
        </w:tc>
        <w:tc>
          <w:tcPr>
            <w:tcW w:w="4436" w:type="dxa"/>
            <w:tcBorders>
              <w:top w:val="nil"/>
              <w:left w:val="nil"/>
              <w:bottom w:val="single" w:color="000000" w:sz="4" w:space="0"/>
              <w:right w:val="single" w:color="000000" w:sz="4" w:space="0"/>
            </w:tcBorders>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二十三、其他支出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53</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24</w:t>
            </w:r>
          </w:p>
        </w:tc>
        <w:tc>
          <w:tcPr>
            <w:tcW w:w="4436" w:type="dxa"/>
            <w:tcBorders>
              <w:top w:val="nil"/>
              <w:left w:val="nil"/>
              <w:bottom w:val="single" w:color="000000" w:sz="4" w:space="0"/>
              <w:right w:val="single" w:color="000000" w:sz="4" w:space="0"/>
            </w:tcBorders>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二十四、债务还本支出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54</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25</w:t>
            </w:r>
          </w:p>
        </w:tc>
        <w:tc>
          <w:tcPr>
            <w:tcW w:w="4436" w:type="dxa"/>
            <w:tcBorders>
              <w:top w:val="nil"/>
              <w:left w:val="nil"/>
              <w:bottom w:val="single" w:color="000000" w:sz="4" w:space="0"/>
              <w:right w:val="single" w:color="000000" w:sz="4" w:space="0"/>
            </w:tcBorders>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二十五、债务付息支出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55</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26</w:t>
            </w:r>
          </w:p>
        </w:tc>
        <w:tc>
          <w:tcPr>
            <w:tcW w:w="4436" w:type="dxa"/>
            <w:tcBorders>
              <w:top w:val="nil"/>
              <w:left w:val="nil"/>
              <w:bottom w:val="single" w:color="000000" w:sz="4" w:space="0"/>
              <w:right w:val="single" w:color="000000" w:sz="4" w:space="0"/>
            </w:tcBorders>
            <w:vAlign w:val="center"/>
          </w:tcPr>
          <w:p>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二十六、抗疫特别国债安排的支出</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56</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本年收入合计</w:t>
            </w: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27</w:t>
            </w:r>
          </w:p>
        </w:tc>
        <w:tc>
          <w:tcPr>
            <w:tcW w:w="4436"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74,539,853.06 </w:t>
            </w:r>
          </w:p>
        </w:tc>
        <w:tc>
          <w:tcPr>
            <w:tcW w:w="4433"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本年支出合计</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57</w:t>
            </w:r>
          </w:p>
        </w:tc>
        <w:tc>
          <w:tcPr>
            <w:tcW w:w="4344"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74,539,853.06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使用非财政拨款结余（含专用结余）</w:t>
            </w: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28</w:t>
            </w:r>
          </w:p>
        </w:tc>
        <w:tc>
          <w:tcPr>
            <w:tcW w:w="4436"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结余分配</w:t>
            </w:r>
          </w:p>
        </w:tc>
        <w:tc>
          <w:tcPr>
            <w:tcW w:w="76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58</w:t>
            </w:r>
          </w:p>
        </w:tc>
        <w:tc>
          <w:tcPr>
            <w:tcW w:w="4344" w:type="dxa"/>
            <w:tcBorders>
              <w:top w:val="nil"/>
              <w:left w:val="nil"/>
              <w:bottom w:val="single" w:color="auto"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年初结转和结余</w:t>
            </w:r>
          </w:p>
        </w:tc>
        <w:tc>
          <w:tcPr>
            <w:tcW w:w="85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29</w:t>
            </w:r>
          </w:p>
        </w:tc>
        <w:tc>
          <w:tcPr>
            <w:tcW w:w="4436"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年末结转和结余</w:t>
            </w:r>
          </w:p>
        </w:tc>
        <w:tc>
          <w:tcPr>
            <w:tcW w:w="767" w:type="dxa"/>
            <w:tcBorders>
              <w:top w:val="nil"/>
              <w:left w:val="nil"/>
              <w:bottom w:val="single" w:color="000000" w:sz="4" w:space="0"/>
              <w:right w:val="single" w:color="auto"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rPr>
              <w:t>59</w:t>
            </w:r>
          </w:p>
        </w:tc>
        <w:tc>
          <w:tcPr>
            <w:tcW w:w="4344" w:type="dxa"/>
            <w:tcBorders>
              <w:top w:val="single" w:color="auto" w:sz="4" w:space="0"/>
              <w:left w:val="single" w:color="auto" w:sz="4" w:space="0"/>
              <w:bottom w:val="single" w:color="auto" w:sz="4" w:space="0"/>
              <w:right w:val="single" w:color="auto"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总计</w:t>
            </w:r>
          </w:p>
        </w:tc>
        <w:tc>
          <w:tcPr>
            <w:tcW w:w="8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30</w:t>
            </w:r>
          </w:p>
        </w:tc>
        <w:tc>
          <w:tcPr>
            <w:tcW w:w="44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74,539,853.06 </w:t>
            </w:r>
          </w:p>
        </w:tc>
        <w:tc>
          <w:tcPr>
            <w:tcW w:w="4433"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总计</w:t>
            </w:r>
          </w:p>
        </w:tc>
        <w:tc>
          <w:tcPr>
            <w:tcW w:w="767" w:type="dxa"/>
            <w:tcBorders>
              <w:top w:val="nil"/>
              <w:left w:val="nil"/>
              <w:bottom w:val="single" w:color="000000" w:sz="4" w:space="0"/>
              <w:right w:val="single" w:color="auto"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60</w:t>
            </w:r>
          </w:p>
        </w:tc>
        <w:tc>
          <w:tcPr>
            <w:tcW w:w="4344" w:type="dxa"/>
            <w:tcBorders>
              <w:top w:val="single" w:color="auto" w:sz="4" w:space="0"/>
              <w:left w:val="single" w:color="auto" w:sz="4" w:space="0"/>
              <w:bottom w:val="single" w:color="auto" w:sz="4" w:space="0"/>
              <w:right w:val="single" w:color="auto"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74,539,853.06</w:t>
            </w:r>
          </w:p>
        </w:tc>
      </w:tr>
    </w:tbl>
    <w:p>
      <w:pPr>
        <w:pStyle w:val="11"/>
        <w:autoSpaceDE w:val="0"/>
        <w:ind w:firstLine="0" w:firstLineChars="0"/>
        <w:rPr>
          <w:rFonts w:hint="eastAsia"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autoSpaceDE w:val="0"/>
        <w:ind w:firstLine="0" w:firstLineChars="0"/>
        <w:rPr>
          <w:rFonts w:hint="eastAsia" w:cs="宋体"/>
          <w:sz w:val="21"/>
          <w:szCs w:val="21"/>
        </w:rPr>
      </w:pPr>
    </w:p>
    <w:tbl>
      <w:tblPr>
        <w:tblStyle w:val="8"/>
        <w:tblW w:w="22443" w:type="dxa"/>
        <w:tblInd w:w="93" w:type="dxa"/>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vAlign w:val="bottom"/>
          </w:tcPr>
          <w:p>
            <w:pPr>
              <w:jc w:val="center"/>
              <w:textAlignment w:val="bottom"/>
              <w:rPr>
                <w:rFonts w:cs="宋体"/>
                <w:color w:val="000000"/>
                <w:sz w:val="30"/>
                <w:szCs w:val="30"/>
              </w:rPr>
            </w:pPr>
            <w:r>
              <w:rPr>
                <w:rFonts w:cs="宋体"/>
                <w:b/>
                <w:bCs/>
                <w:color w:val="000000"/>
                <w:sz w:val="30"/>
                <w:szCs w:val="30"/>
                <w:lang w:bidi="ar"/>
              </w:rPr>
              <w:t>收入决算表</w:t>
            </w:r>
          </w:p>
        </w:tc>
      </w:tr>
      <w:tr>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vAlign w:val="bottom"/>
          </w:tcPr>
          <w:p>
            <w:pPr>
              <w:rPr>
                <w:rFonts w:hint="default" w:ascii="Arial" w:hAnsi="Arial" w:cs="Arial"/>
                <w:color w:val="000000"/>
                <w:sz w:val="20"/>
                <w:szCs w:val="20"/>
              </w:rPr>
            </w:pPr>
            <w:r>
              <w:rPr>
                <w:rFonts w:cs="宋体"/>
                <w:sz w:val="21"/>
                <w:szCs w:val="21"/>
              </w:rPr>
              <w:t>部门</w:t>
            </w:r>
            <w:r>
              <w:rPr>
                <w:rFonts w:cs="宋体"/>
                <w:sz w:val="20"/>
                <w:szCs w:val="20"/>
              </w:rPr>
              <w:t>：</w:t>
            </w:r>
            <w:r>
              <w:rPr>
                <w:sz w:val="20"/>
              </w:rPr>
              <w:t>石柱土家族自治县桥头镇人民政府</w:t>
            </w:r>
          </w:p>
        </w:tc>
        <w:tc>
          <w:tcPr>
            <w:tcW w:w="2408" w:type="dxa"/>
            <w:tcBorders>
              <w:top w:val="nil"/>
              <w:left w:val="nil"/>
              <w:right w:val="nil"/>
            </w:tcBorders>
            <w:vAlign w:val="bottom"/>
          </w:tcPr>
          <w:p>
            <w:pPr>
              <w:jc w:val="right"/>
              <w:textAlignment w:val="bottom"/>
              <w:rPr>
                <w:rFonts w:hint="default" w:ascii="Arial" w:hAnsi="Arial" w:cs="Arial"/>
                <w:color w:val="000000"/>
                <w:sz w:val="20"/>
                <w:szCs w:val="20"/>
              </w:rPr>
            </w:pPr>
            <w:r>
              <w:rPr>
                <w:rFonts w:cs="宋体"/>
                <w:color w:val="000000"/>
                <w:sz w:val="20"/>
                <w:szCs w:val="20"/>
                <w:lang w:bidi="ar"/>
              </w:rPr>
              <w:t>02表</w:t>
            </w:r>
          </w:p>
          <w:p>
            <w:pPr>
              <w:jc w:val="right"/>
              <w:textAlignment w:val="bottom"/>
              <w:rPr>
                <w:rFonts w:cs="宋体"/>
                <w:color w:val="000000"/>
                <w:sz w:val="20"/>
                <w:szCs w:val="20"/>
              </w:rPr>
            </w:pPr>
            <w:r>
              <w:rPr>
                <w:rFonts w:cs="宋体"/>
                <w:color w:val="000000"/>
                <w:sz w:val="20"/>
                <w:szCs w:val="20"/>
                <w:lang w:bidi="ar"/>
              </w:rPr>
              <w:t>单位：元</w:t>
            </w:r>
          </w:p>
        </w:tc>
      </w:tr>
      <w:tr>
        <w:tblPrEx>
          <w:tblCellMar>
            <w:top w:w="0" w:type="dxa"/>
            <w:left w:w="108" w:type="dxa"/>
            <w:bottom w:w="0" w:type="dxa"/>
            <w:right w:w="108" w:type="dxa"/>
          </w:tblCellMar>
        </w:tblPrEx>
        <w:trPr>
          <w:trHeight w:val="312"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科目代码</w:t>
            </w:r>
          </w:p>
        </w:tc>
        <w:tc>
          <w:tcPr>
            <w:tcW w:w="4166"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科目名称</w:t>
            </w:r>
          </w:p>
        </w:tc>
        <w:tc>
          <w:tcPr>
            <w:tcW w:w="2403"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本年收入合计</w:t>
            </w:r>
          </w:p>
        </w:tc>
        <w:tc>
          <w:tcPr>
            <w:tcW w:w="2403"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财政拨款收入</w:t>
            </w:r>
          </w:p>
        </w:tc>
        <w:tc>
          <w:tcPr>
            <w:tcW w:w="2403"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上级补助收入</w:t>
            </w:r>
          </w:p>
        </w:tc>
        <w:tc>
          <w:tcPr>
            <w:tcW w:w="2403"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事业收入</w:t>
            </w:r>
          </w:p>
        </w:tc>
        <w:tc>
          <w:tcPr>
            <w:tcW w:w="2403"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经营收入</w:t>
            </w:r>
          </w:p>
        </w:tc>
        <w:tc>
          <w:tcPr>
            <w:tcW w:w="2403"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附属单位上缴收入</w:t>
            </w:r>
          </w:p>
        </w:tc>
        <w:tc>
          <w:tcPr>
            <w:tcW w:w="2408"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其他收入</w:t>
            </w:r>
          </w:p>
        </w:tc>
      </w:tr>
      <w:tr>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r>
      <w:tr>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r>
      <w:tr>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r>
      <w:tr>
        <w:tblPrEx>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类</w:t>
            </w:r>
          </w:p>
        </w:tc>
        <w:tc>
          <w:tcPr>
            <w:tcW w:w="500"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款</w:t>
            </w:r>
          </w:p>
        </w:tc>
        <w:tc>
          <w:tcPr>
            <w:tcW w:w="484"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项</w:t>
            </w:r>
          </w:p>
        </w:tc>
        <w:tc>
          <w:tcPr>
            <w:tcW w:w="4166"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栏次</w:t>
            </w:r>
          </w:p>
        </w:tc>
        <w:tc>
          <w:tcPr>
            <w:tcW w:w="2403"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w:t>
            </w:r>
          </w:p>
        </w:tc>
        <w:tc>
          <w:tcPr>
            <w:tcW w:w="2403"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w:t>
            </w:r>
          </w:p>
        </w:tc>
        <w:tc>
          <w:tcPr>
            <w:tcW w:w="2403"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w:t>
            </w:r>
          </w:p>
        </w:tc>
        <w:tc>
          <w:tcPr>
            <w:tcW w:w="2403"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w:t>
            </w:r>
          </w:p>
        </w:tc>
        <w:tc>
          <w:tcPr>
            <w:tcW w:w="2403"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5</w:t>
            </w:r>
          </w:p>
        </w:tc>
        <w:tc>
          <w:tcPr>
            <w:tcW w:w="2403"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6</w:t>
            </w:r>
          </w:p>
        </w:tc>
        <w:tc>
          <w:tcPr>
            <w:tcW w:w="2408"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7</w:t>
            </w:r>
          </w:p>
        </w:tc>
      </w:tr>
      <w:tr>
        <w:tblPrEx>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500"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484"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4166"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2403"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74,539,853.06 </w:t>
            </w:r>
          </w:p>
        </w:tc>
        <w:tc>
          <w:tcPr>
            <w:tcW w:w="2403"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74,539,853.06 </w:t>
            </w:r>
          </w:p>
        </w:tc>
        <w:tc>
          <w:tcPr>
            <w:tcW w:w="2403"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201</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5,081,272.47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5,081,272.47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20101</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91,400.00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91,400.00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2010108</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91,400.00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91,400.00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20103</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4,750,692.47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4,750,692.47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2010301</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3,452,500.19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3,452,500.19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2010302</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336,541.20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336,541.20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2010350</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733,625.54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733,625.54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2010399</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228,025.54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228,025.54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20132</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239,180.00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239,180.00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2013202</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39,180.00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39,180.00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2013299</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其他组织事务支出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200,000.00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200,000.00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204</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公共安全支出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249,515.00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249,515.00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20406</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司法</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249,515.00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249,515.00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2040613</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信息化建设</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249,515.00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249,515.00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207</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174,793.79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174,793.79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20701</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174,793.79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174,793.79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2070109</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174,793.79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174,793.79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208</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2,832,153.86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2,832,153.86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20801</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1,063,278.29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1,063,278.29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2080104</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628,879.85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628,879.85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2080199</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其他人力资源和社会保障管理事务支出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434,398.44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434,398.44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20805</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1,550,662.58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1,550,662.58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2080501</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144,900.00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144,900.00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2080502</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331,200.00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331,200.00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2080505</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704,064.98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704,064.98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2080506</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352,317.60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352,317.60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2080599</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18,180.00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18,180.00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20808</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21,630.00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21,630.00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2080899</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21,630.00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21,630.00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20828</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196,582.99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196,582.99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2082805</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2082850</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194,332.99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194,332.99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210</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500,134.32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500,134.32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21011</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500,134.32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500,134.32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2101101</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225,282.82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225,282.82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2101102</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139,651.50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139,651.50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2101199</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135,200.00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135,200.00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211</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17,787,905.29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17,787,905.29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21103</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4,320,855.42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4,320,855.42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2110302</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水体</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4,320,855.42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4,320,855.42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21104</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13,467,049.87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13,467,049.87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2110402</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13,467,049.87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13,467,049.87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212</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534,900.00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534,900.00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21205</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378,800.00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378,800.00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2120501</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378,800.00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378,800.00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21208</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156,100.00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156,100.00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2120804</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93,000.00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93,000.00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2120899</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63,100.00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63,100.00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213</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40,344,295.90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40,344,295.90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21301</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2,224,398.44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2,224,398.44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2130104</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1,095,909.76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1,095,909.76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2130108</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2130110</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2130121</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农业结构调整补贴</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183,000.00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183,000.00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2130122</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780,000.00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780,000.00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2130152</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127,888.68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127,888.68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21302</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200,968.00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200,968.00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2130234</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165,000.00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165,000.00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2130238</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退耕还林还草</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35,968.00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35,968.00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21303</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151,522.00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151,522.00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2130306</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水利工程运行与维护</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31,522.00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31,522.00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2130399</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21305</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21,241,763.91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21,241,763.91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2130504</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4,143,308.21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4,143,308.21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2130505</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11,128,365.56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11,128,365.56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2130599</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5,970,090.14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5,970,090.14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21307</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16,525,643.55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16,525,643.55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2130701</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2,007,100.38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2,007,100.38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2130705</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2,329,247.36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2,329,247.36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2130707</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农村综合改革示范试点补助</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10,704,650.81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10,704,650.81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2130799</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其他农村综合改革支出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1,484,645.00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1,484,645.00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214</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706,496.06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706,496.06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21401</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706,496.06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706,496.06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2140104</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706,196.06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706,196.06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2140106</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公路养护</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220</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自然资源海洋气象等支出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5,742,119.37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5,742,119.37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22001</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自然资源事务</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5,742,119.37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5,742,119.37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2200106</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自然资源利用与保护</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5,742,119.37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5,742,119.37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221</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488,167.00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488,167.00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22102</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488,167.00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488,167.00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2210201</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488,167.00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488,167.00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224</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98,100.00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98,100.00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22406</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58,100.00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58,100.00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2240601</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58,100.00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58,100.00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22407</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2240703</w:t>
            </w:r>
          </w:p>
        </w:tc>
        <w:tc>
          <w:tcPr>
            <w:tcW w:w="416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pPr>
        <w:rPr>
          <w:rFonts w:cs="宋体"/>
          <w:sz w:val="21"/>
          <w:szCs w:val="21"/>
        </w:rPr>
      </w:pPr>
      <w:r>
        <w:rPr>
          <w:rFonts w:cs="宋体"/>
          <w:sz w:val="21"/>
          <w:szCs w:val="21"/>
        </w:rPr>
        <w:br w:type="page"/>
      </w:r>
    </w:p>
    <w:tbl>
      <w:tblPr>
        <w:tblStyle w:val="8"/>
        <w:tblW w:w="22443" w:type="dxa"/>
        <w:tblInd w:w="93" w:type="dxa"/>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vAlign w:val="bottom"/>
          </w:tcPr>
          <w:p>
            <w:pPr>
              <w:jc w:val="center"/>
              <w:textAlignment w:val="bottom"/>
              <w:rPr>
                <w:rFonts w:cs="宋体"/>
                <w:color w:val="000000"/>
                <w:sz w:val="30"/>
                <w:szCs w:val="30"/>
              </w:rPr>
            </w:pPr>
            <w:r>
              <w:rPr>
                <w:rFonts w:cs="宋体"/>
                <w:b/>
                <w:bCs/>
                <w:color w:val="000000"/>
                <w:sz w:val="30"/>
                <w:szCs w:val="30"/>
                <w:lang w:bidi="ar"/>
              </w:rPr>
              <w:t>支出决算表</w:t>
            </w:r>
          </w:p>
        </w:tc>
      </w:tr>
      <w:tr>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vAlign w:val="bottom"/>
          </w:tcPr>
          <w:p>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 xml:space="preserve">石柱土家族自治县桥头镇人民政府 </w:t>
            </w:r>
          </w:p>
        </w:tc>
        <w:tc>
          <w:tcPr>
            <w:tcW w:w="2741" w:type="dxa"/>
            <w:tcBorders>
              <w:top w:val="nil"/>
              <w:left w:val="nil"/>
              <w:bottom w:val="nil"/>
              <w:right w:val="nil"/>
            </w:tcBorders>
            <w:vAlign w:val="bottom"/>
          </w:tcPr>
          <w:p>
            <w:pPr>
              <w:jc w:val="right"/>
              <w:textAlignment w:val="bottom"/>
              <w:rPr>
                <w:rFonts w:cs="宋体"/>
                <w:color w:val="000000"/>
                <w:sz w:val="20"/>
                <w:szCs w:val="20"/>
              </w:rPr>
            </w:pPr>
            <w:r>
              <w:rPr>
                <w:rFonts w:cs="宋体"/>
                <w:color w:val="000000"/>
                <w:sz w:val="20"/>
                <w:szCs w:val="20"/>
                <w:lang w:bidi="ar"/>
              </w:rPr>
              <w:t>03表</w:t>
            </w:r>
          </w:p>
        </w:tc>
      </w:tr>
      <w:tr>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vAlign w:val="bottom"/>
          </w:tcPr>
          <w:p>
            <w:pPr>
              <w:rPr>
                <w:rFonts w:hint="default" w:ascii="Arial" w:hAnsi="Arial" w:cs="Arial"/>
                <w:color w:val="000000"/>
                <w:sz w:val="20"/>
                <w:szCs w:val="20"/>
              </w:rPr>
            </w:pPr>
          </w:p>
        </w:tc>
        <w:tc>
          <w:tcPr>
            <w:tcW w:w="2741" w:type="dxa"/>
            <w:tcBorders>
              <w:top w:val="nil"/>
              <w:left w:val="nil"/>
              <w:bottom w:val="nil"/>
              <w:right w:val="nil"/>
            </w:tcBorders>
            <w:vAlign w:val="bottom"/>
          </w:tcPr>
          <w:p>
            <w:pPr>
              <w:jc w:val="right"/>
              <w:textAlignment w:val="bottom"/>
              <w:rPr>
                <w:rFonts w:cs="宋体"/>
                <w:color w:val="000000"/>
                <w:sz w:val="20"/>
                <w:szCs w:val="20"/>
              </w:rPr>
            </w:pPr>
            <w:r>
              <w:rPr>
                <w:rFonts w:cs="宋体"/>
                <w:color w:val="000000"/>
                <w:sz w:val="20"/>
                <w:szCs w:val="20"/>
                <w:lang w:bidi="ar"/>
              </w:rPr>
              <w:t>单位：元</w:t>
            </w:r>
          </w:p>
        </w:tc>
      </w:tr>
      <w:tr>
        <w:tblPrEx>
          <w:tblCellMar>
            <w:top w:w="0" w:type="dxa"/>
            <w:left w:w="108" w:type="dxa"/>
            <w:bottom w:w="0" w:type="dxa"/>
            <w:right w:w="108" w:type="dxa"/>
          </w:tblCellMar>
        </w:tblPrEx>
        <w:trPr>
          <w:trHeight w:val="312"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科目代码</w:t>
            </w:r>
          </w:p>
        </w:tc>
        <w:tc>
          <w:tcPr>
            <w:tcW w:w="4316"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科目名称</w:t>
            </w:r>
          </w:p>
        </w:tc>
        <w:tc>
          <w:tcPr>
            <w:tcW w:w="2737"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本年支出合计</w:t>
            </w:r>
          </w:p>
        </w:tc>
        <w:tc>
          <w:tcPr>
            <w:tcW w:w="2737"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基本支出</w:t>
            </w:r>
          </w:p>
        </w:tc>
        <w:tc>
          <w:tcPr>
            <w:tcW w:w="2737"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项目支出</w:t>
            </w:r>
          </w:p>
        </w:tc>
        <w:tc>
          <w:tcPr>
            <w:tcW w:w="2737"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上缴上级支出</w:t>
            </w:r>
          </w:p>
        </w:tc>
        <w:tc>
          <w:tcPr>
            <w:tcW w:w="2737"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经营支出</w:t>
            </w:r>
          </w:p>
        </w:tc>
        <w:tc>
          <w:tcPr>
            <w:tcW w:w="2741"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对附属单位补助支出</w:t>
            </w:r>
          </w:p>
        </w:tc>
      </w:tr>
      <w:tr>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r>
      <w:tr>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r>
      <w:tr>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r>
      <w:tr>
        <w:tblPrEx>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类</w:t>
            </w:r>
          </w:p>
        </w:tc>
        <w:tc>
          <w:tcPr>
            <w:tcW w:w="567"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款</w:t>
            </w:r>
          </w:p>
        </w:tc>
        <w:tc>
          <w:tcPr>
            <w:tcW w:w="600"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项</w:t>
            </w:r>
          </w:p>
        </w:tc>
        <w:tc>
          <w:tcPr>
            <w:tcW w:w="4316"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栏次</w:t>
            </w:r>
          </w:p>
        </w:tc>
        <w:tc>
          <w:tcPr>
            <w:tcW w:w="273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w:t>
            </w:r>
          </w:p>
        </w:tc>
        <w:tc>
          <w:tcPr>
            <w:tcW w:w="273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w:t>
            </w:r>
          </w:p>
        </w:tc>
        <w:tc>
          <w:tcPr>
            <w:tcW w:w="273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w:t>
            </w:r>
          </w:p>
        </w:tc>
        <w:tc>
          <w:tcPr>
            <w:tcW w:w="273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w:t>
            </w:r>
          </w:p>
        </w:tc>
        <w:tc>
          <w:tcPr>
            <w:tcW w:w="273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5</w:t>
            </w:r>
          </w:p>
        </w:tc>
        <w:tc>
          <w:tcPr>
            <w:tcW w:w="2741"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6</w:t>
            </w:r>
          </w:p>
        </w:tc>
      </w:tr>
      <w:tr>
        <w:tblPrEx>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567"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600"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4316"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2737"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74,539,853.06 </w:t>
            </w:r>
          </w:p>
        </w:tc>
        <w:tc>
          <w:tcPr>
            <w:tcW w:w="2737"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8,819,006.02 </w:t>
            </w:r>
          </w:p>
        </w:tc>
        <w:tc>
          <w:tcPr>
            <w:tcW w:w="2737"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65,720,847.04 </w:t>
            </w:r>
          </w:p>
        </w:tc>
        <w:tc>
          <w:tcPr>
            <w:tcW w:w="2737"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vAlign w:val="center"/>
          </w:tcPr>
          <w:p>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201</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5,081,272.47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4,186,125.73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895,146.74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20101</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91,400.00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91,400.00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2010108</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91,400.00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91,400.00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20103</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4,750,692.47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4,186,125.73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564,566.74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2010301</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3,452,500.19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3,452,500.19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2010302</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336,541.20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336,541.20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2010350</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733,625.54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733,625.54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2010399</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228,025.54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228,025.54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20132</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239,180.00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239,180.00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2013202</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39,180.00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39,180.00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2013299</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其他组织事务支出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200,000.00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200,000.00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204</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公共安全支出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249,515.00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249,515.00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20406</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司法</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249,515.00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249,515.00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2040613</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信息化建设</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249,515.00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249,515.00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207</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174,793.79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174,793.79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20701</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174,793.79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174,793.79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2070109</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174,793.79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174,793.79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208</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2,832,153.86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2,373,875.42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458,278.44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20801</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1,063,278.29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628,879.85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434,398.44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2080104</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628,879.85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628,879.85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2080199</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其他人力资源和社会保障管理事务支出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434,398.44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434,398.44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20805</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1,550,662.58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1,550,662.58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2080501</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144,900.00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144,900.00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2080502</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331,200.00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331,200.00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2080505</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704,064.98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704,064.98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2080506</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352,317.60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352,317.60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2080599</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18,180.00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18,180.00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20808</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21,630.00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21,630.00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2080899</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21,630.00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21,630.00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20828</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196,582.99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194,332.99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2,250.00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2082805</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2082850</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194,332.99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194,332.99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210</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500,134.32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500,134.32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21011</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500,134.32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500,134.32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2101101</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225,282.82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225,282.82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2101102</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139,651.50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139,651.50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2101199</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135,200.00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135,200.00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211</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17,787,905.29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17,787,905.29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21103</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4,320,855.42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4,320,855.42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2110302</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水体</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4,320,855.42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4,320,855.42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21104</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13,467,049.87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13,467,049.87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2110402</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13,467,049.87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13,467,049.87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212</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534,900.00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534,900.00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21205</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378,800.00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378,800.00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2120501</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378,800.00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378,800.00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21208</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156,100.00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156,100.00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2120804</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93,000.00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93,000.00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2120899</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63,100.00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63,100.00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213</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40,344,295.90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1,095,909.76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39,248,386.14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21301</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2,224,398.44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1,095,909.76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1,128,488.68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2130104</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1,095,909.76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1,095,909.76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2130108</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2130110</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2130121</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农业结构调整补贴</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183,000.00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183,000.00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2130122</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780,000.00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780,000.00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2130152</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127,888.68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127,888.68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21302</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200,968.00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200,968.00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2130234</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165,000.00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165,000.00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2130238</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退耕还林还草</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35,968.00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35,968.00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21303</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151,522.00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151,522.00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2130306</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水利工程运行与维护</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31,522.00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31,522.00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2130399</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21305</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21,241,763.91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21,241,763.91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2130504</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4,143,308.21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4,143,308.21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2130505</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11,128,365.56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11,128,365.56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2130599</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5,970,090.14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5,970,090.14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21307</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16,525,643.55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16,525,643.55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2130701</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2,007,100.38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2,007,100.38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2130705</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2,329,247.36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2,329,247.36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2130707</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农村综合改革示范试点补助</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10,704,650.81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10,704,650.81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2130799</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其他农村综合改革支出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1,484,645.00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1,484,645.00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214</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706,496.06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706,496.06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21401</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706,496.06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706,496.06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2140104</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706,196.06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706,196.06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2140106</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公路养护</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220</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自然资源海洋气象等支出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5,742,119.37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5,742,119.37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22001</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自然资源事务</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5,742,119.37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5,742,119.37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2200106</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自然资源利用与保护</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5,742,119.37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5,742,119.37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221</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488,167.00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488,167.00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22102</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488,167.00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488,167.00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2210201</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488,167.00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488,167.00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224</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98,100.00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98,100.00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22406</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58,100.00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58,100.00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2240601</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58,100.00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58,100.00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b/>
                <w:color w:val="000000"/>
                <w:sz w:val="22"/>
                <w:szCs w:val="22"/>
              </w:rPr>
              <w:t>22407</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r>
              <w:rPr>
                <w:rFonts w:cs="宋体"/>
                <w:color w:val="000000"/>
                <w:sz w:val="22"/>
                <w:szCs w:val="22"/>
              </w:rPr>
              <w:t>2240703</w:t>
            </w:r>
          </w:p>
        </w:tc>
        <w:tc>
          <w:tcPr>
            <w:tcW w:w="43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pPr>
        <w:rPr>
          <w:rFonts w:cs="宋体"/>
          <w:sz w:val="21"/>
          <w:szCs w:val="21"/>
        </w:rPr>
      </w:pPr>
      <w:r>
        <w:rPr>
          <w:rFonts w:cs="宋体"/>
          <w:sz w:val="21"/>
          <w:szCs w:val="21"/>
        </w:rPr>
        <w:br w:type="page"/>
      </w:r>
    </w:p>
    <w:tbl>
      <w:tblPr>
        <w:tblStyle w:val="8"/>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vAlign w:val="bottom"/>
          </w:tcPr>
          <w:p>
            <w:pPr>
              <w:jc w:val="center"/>
              <w:textAlignment w:val="bottom"/>
              <w:rPr>
                <w:rFonts w:cs="宋体"/>
                <w:color w:val="000000"/>
                <w:sz w:val="30"/>
                <w:szCs w:val="30"/>
              </w:rPr>
            </w:pPr>
            <w:r>
              <w:rPr>
                <w:rFonts w:cs="宋体"/>
                <w:b/>
                <w:bCs/>
                <w:color w:val="000000"/>
                <w:sz w:val="30"/>
                <w:szCs w:val="30"/>
                <w:lang w:bidi="ar"/>
              </w:rPr>
              <w:t>财政拨款收入支出决算表</w:t>
            </w:r>
          </w:p>
        </w:tc>
      </w:tr>
      <w:tr>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vAlign w:val="bottom"/>
          </w:tcPr>
          <w:p>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石柱土家族自治县桥头镇人民政府</w:t>
            </w:r>
          </w:p>
        </w:tc>
        <w:tc>
          <w:tcPr>
            <w:tcW w:w="2874" w:type="dxa"/>
            <w:tcBorders>
              <w:top w:val="nil"/>
              <w:left w:val="nil"/>
              <w:bottom w:val="nil"/>
              <w:right w:val="nil"/>
            </w:tcBorders>
            <w:vAlign w:val="bottom"/>
          </w:tcPr>
          <w:p>
            <w:pPr>
              <w:jc w:val="right"/>
              <w:textAlignment w:val="bottom"/>
              <w:rPr>
                <w:rFonts w:cs="宋体"/>
                <w:color w:val="000000"/>
                <w:sz w:val="20"/>
                <w:szCs w:val="20"/>
              </w:rPr>
            </w:pPr>
            <w:r>
              <w:rPr>
                <w:rFonts w:cs="宋体"/>
                <w:color w:val="000000"/>
                <w:sz w:val="20"/>
                <w:szCs w:val="20"/>
                <w:lang w:bidi="ar"/>
              </w:rPr>
              <w:t>04表</w:t>
            </w:r>
          </w:p>
        </w:tc>
      </w:tr>
      <w:tr>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vAlign w:val="bottom"/>
          </w:tcPr>
          <w:p>
            <w:pPr>
              <w:rPr>
                <w:rFonts w:hint="default" w:ascii="Arial" w:hAnsi="Arial" w:cs="Arial"/>
                <w:color w:val="000000"/>
                <w:sz w:val="20"/>
                <w:szCs w:val="20"/>
              </w:rPr>
            </w:pPr>
          </w:p>
        </w:tc>
        <w:tc>
          <w:tcPr>
            <w:tcW w:w="2874" w:type="dxa"/>
            <w:tcBorders>
              <w:top w:val="nil"/>
              <w:left w:val="nil"/>
              <w:bottom w:val="nil"/>
              <w:right w:val="nil"/>
            </w:tcBorders>
            <w:vAlign w:val="bottom"/>
          </w:tcPr>
          <w:p>
            <w:pPr>
              <w:jc w:val="right"/>
              <w:textAlignment w:val="bottom"/>
              <w:rPr>
                <w:rFonts w:cs="宋体"/>
                <w:color w:val="000000"/>
                <w:sz w:val="20"/>
                <w:szCs w:val="20"/>
              </w:rPr>
            </w:pPr>
            <w:r>
              <w:rPr>
                <w:rFonts w:cs="宋体"/>
                <w:color w:val="000000"/>
                <w:sz w:val="20"/>
                <w:szCs w:val="20"/>
                <w:lang w:bidi="ar"/>
              </w:rPr>
              <w:t>单位：元</w:t>
            </w:r>
          </w:p>
        </w:tc>
      </w:tr>
      <w:tr>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支     出</w:t>
            </w:r>
          </w:p>
        </w:tc>
      </w:tr>
      <w:tr>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国有资本经营预算财政拨款</w:t>
            </w:r>
          </w:p>
        </w:tc>
      </w:tr>
      <w:tr>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color w:val="000000"/>
                <w:sz w:val="22"/>
                <w:szCs w:val="22"/>
              </w:rPr>
            </w:pPr>
            <w:r>
              <w:rPr>
                <w:rFonts w:cs="宋体"/>
                <w:b/>
                <w:bCs/>
                <w:color w:val="000000"/>
                <w:sz w:val="22"/>
                <w:szCs w:val="22"/>
                <w:lang w:bidi="ar"/>
              </w:rPr>
              <w:t>栏次</w:t>
            </w: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1</w:t>
            </w: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栏次</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2</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3</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4</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5</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1</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74,383,753.06 </w:t>
            </w: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33</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5,081,272.47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5,081,272.47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2</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156,100.00 </w:t>
            </w: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二、外交支出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34</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3</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三、国防支出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35</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4</w:t>
            </w:r>
          </w:p>
        </w:tc>
        <w:tc>
          <w:tcPr>
            <w:tcW w:w="2700" w:type="dxa"/>
            <w:tcBorders>
              <w:top w:val="single" w:color="000000" w:sz="4" w:space="0"/>
              <w:left w:val="single" w:color="000000" w:sz="4" w:space="0"/>
              <w:bottom w:val="single" w:color="000000" w:sz="4" w:space="0"/>
              <w:right w:val="single" w:color="000000" w:sz="4" w:space="0"/>
            </w:tcBorders>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四、公共安全支出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36</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249,515.00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249,515.00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5</w:t>
            </w:r>
          </w:p>
        </w:tc>
        <w:tc>
          <w:tcPr>
            <w:tcW w:w="2700" w:type="dxa"/>
            <w:tcBorders>
              <w:top w:val="single" w:color="000000" w:sz="4" w:space="0"/>
              <w:left w:val="single" w:color="000000" w:sz="4" w:space="0"/>
              <w:bottom w:val="single" w:color="000000" w:sz="4" w:space="0"/>
              <w:right w:val="single" w:color="000000" w:sz="4" w:space="0"/>
            </w:tcBorders>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五、教育支出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37</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6</w:t>
            </w:r>
          </w:p>
        </w:tc>
        <w:tc>
          <w:tcPr>
            <w:tcW w:w="2700" w:type="dxa"/>
            <w:tcBorders>
              <w:top w:val="single" w:color="000000" w:sz="4" w:space="0"/>
              <w:left w:val="single" w:color="000000" w:sz="4" w:space="0"/>
              <w:bottom w:val="single" w:color="000000" w:sz="4" w:space="0"/>
              <w:right w:val="single" w:color="000000" w:sz="4" w:space="0"/>
            </w:tcBorders>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六、科学技术支出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38</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7</w:t>
            </w:r>
          </w:p>
        </w:tc>
        <w:tc>
          <w:tcPr>
            <w:tcW w:w="2700" w:type="dxa"/>
            <w:tcBorders>
              <w:top w:val="single" w:color="000000" w:sz="4" w:space="0"/>
              <w:left w:val="single" w:color="000000" w:sz="4" w:space="0"/>
              <w:bottom w:val="single" w:color="000000" w:sz="4" w:space="0"/>
              <w:right w:val="single" w:color="000000" w:sz="4" w:space="0"/>
            </w:tcBorders>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39</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174,793.79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174,793.79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8</w:t>
            </w:r>
          </w:p>
        </w:tc>
        <w:tc>
          <w:tcPr>
            <w:tcW w:w="2700" w:type="dxa"/>
            <w:tcBorders>
              <w:top w:val="single" w:color="000000" w:sz="4" w:space="0"/>
              <w:left w:val="single" w:color="000000" w:sz="4" w:space="0"/>
              <w:bottom w:val="single" w:color="000000" w:sz="4" w:space="0"/>
              <w:right w:val="single" w:color="000000" w:sz="4" w:space="0"/>
            </w:tcBorders>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40</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2,832,153.86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2,832,153.86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9</w:t>
            </w:r>
          </w:p>
        </w:tc>
        <w:tc>
          <w:tcPr>
            <w:tcW w:w="2700" w:type="dxa"/>
            <w:tcBorders>
              <w:top w:val="single" w:color="000000" w:sz="4" w:space="0"/>
              <w:left w:val="single" w:color="000000" w:sz="4" w:space="0"/>
              <w:bottom w:val="single" w:color="000000" w:sz="4" w:space="0"/>
              <w:right w:val="single" w:color="000000" w:sz="4" w:space="0"/>
            </w:tcBorders>
            <w:vAlign w:val="bottom"/>
          </w:tcPr>
          <w:p>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九、卫生健康支出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41</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500,134.32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500,134.32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10</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十、节能环保支出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42</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17,787,905.29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17,787,905.29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11</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43</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534,900.00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378,800.00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156,100.00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12</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十二、农林水支出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44</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40,344,295.90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40,344,295.90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13</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45</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706,496.06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706,496.06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14</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46</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15</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47</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16</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十六、金融支出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48</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17</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49</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18</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50</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5,742,119.37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5,742,119.37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19</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51</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488,167.00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488,167.00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20</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52</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21</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53</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22</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54</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98,100.00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98,100.00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23</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二十三、其他支出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55</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24</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56</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25</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57</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26</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58</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本年收入合计</w:t>
            </w: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27</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74,539,853.06 </w:t>
            </w: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本年支出合计</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59</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74,539,853.06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74,383,753.06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156,100.00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年初结转和结余</w:t>
            </w: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28</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年末结转和结余</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60</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29</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61</w:t>
            </w:r>
          </w:p>
        </w:tc>
        <w:tc>
          <w:tcPr>
            <w:tcW w:w="2872" w:type="dxa"/>
            <w:tcBorders>
              <w:top w:val="single" w:color="000000" w:sz="4" w:space="0"/>
              <w:left w:val="single" w:color="000000" w:sz="4" w:space="0"/>
              <w:bottom w:val="single" w:color="000000" w:sz="4" w:space="0"/>
              <w:right w:val="single" w:color="000000" w:sz="4" w:space="0"/>
            </w:tcBorders>
            <w:vAlign w:val="bottom"/>
          </w:tcPr>
          <w:p>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vAlign w:val="bottom"/>
          </w:tcPr>
          <w:p>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vAlign w:val="bottom"/>
          </w:tcPr>
          <w:p>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vAlign w:val="bottom"/>
          </w:tcPr>
          <w:p>
            <w:pPr>
              <w:spacing w:line="360" w:lineRule="exac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30</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62</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textAlignment w:val="center"/>
              <w:rPr>
                <w:rFonts w:cs="宋体"/>
                <w:b/>
                <w:bCs/>
                <w:color w:val="000000"/>
                <w:sz w:val="22"/>
                <w:szCs w:val="22"/>
              </w:rPr>
            </w:pPr>
            <w:r>
              <w:rPr>
                <w:rFonts w:cs="宋体"/>
                <w:b/>
                <w:bCs/>
                <w:color w:val="000000"/>
                <w:sz w:val="22"/>
                <w:szCs w:val="22"/>
                <w:lang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31</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63</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rPr>
                <w:rFonts w:hint="default" w:ascii="Times New Roman" w:hAnsi="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总计</w:t>
            </w:r>
          </w:p>
        </w:tc>
        <w:tc>
          <w:tcPr>
            <w:tcW w:w="6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32</w:t>
            </w:r>
          </w:p>
        </w:tc>
        <w:tc>
          <w:tcPr>
            <w:tcW w:w="270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74,539,853.06 </w:t>
            </w:r>
          </w:p>
        </w:tc>
        <w:tc>
          <w:tcPr>
            <w:tcW w:w="358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总计</w:t>
            </w:r>
          </w:p>
        </w:tc>
        <w:tc>
          <w:tcPr>
            <w:tcW w:w="7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cs="宋体"/>
                <w:b/>
                <w:bCs/>
                <w:color w:val="000000"/>
                <w:sz w:val="22"/>
                <w:szCs w:val="22"/>
              </w:rPr>
            </w:pPr>
            <w:r>
              <w:rPr>
                <w:rFonts w:cs="宋体"/>
                <w:b/>
                <w:bCs/>
                <w:color w:val="000000"/>
                <w:sz w:val="22"/>
                <w:szCs w:val="22"/>
                <w:lang w:bidi="ar"/>
              </w:rPr>
              <w:t>64</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74,539,853.06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74,383,753.06 </w:t>
            </w:r>
          </w:p>
        </w:tc>
        <w:tc>
          <w:tcPr>
            <w:tcW w:w="287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156,100.00 </w:t>
            </w:r>
          </w:p>
        </w:tc>
        <w:tc>
          <w:tcPr>
            <w:tcW w:w="28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pPr>
        <w:rPr>
          <w:rFonts w:cs="宋体"/>
          <w:sz w:val="21"/>
          <w:szCs w:val="21"/>
        </w:rPr>
      </w:pPr>
      <w:r>
        <w:rPr>
          <w:rFonts w:cs="宋体"/>
          <w:sz w:val="21"/>
          <w:szCs w:val="21"/>
        </w:rPr>
        <w:br w:type="page"/>
      </w:r>
    </w:p>
    <w:tbl>
      <w:tblPr>
        <w:tblStyle w:val="8"/>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vAlign w:val="bottom"/>
          </w:tcPr>
          <w:p>
            <w:pPr>
              <w:jc w:val="center"/>
              <w:textAlignment w:val="bottom"/>
              <w:rPr>
                <w:rFonts w:cs="宋体"/>
                <w:color w:val="000000"/>
                <w:sz w:val="30"/>
                <w:szCs w:val="30"/>
              </w:rPr>
            </w:pPr>
            <w:r>
              <w:rPr>
                <w:rFonts w:cs="宋体"/>
                <w:b/>
                <w:bCs/>
                <w:color w:val="000000"/>
                <w:sz w:val="30"/>
                <w:szCs w:val="30"/>
                <w:lang w:bidi="ar"/>
              </w:rPr>
              <w:t>一般公共预算财政拨款收入支出决算表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vAlign w:val="bottom"/>
          </w:tcPr>
          <w:p>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石柱土家族自治县桥头镇人民政府</w:t>
            </w:r>
          </w:p>
        </w:tc>
        <w:tc>
          <w:tcPr>
            <w:tcW w:w="1156" w:type="dxa"/>
            <w:tcBorders>
              <w:top w:val="nil"/>
              <w:left w:val="nil"/>
              <w:bottom w:val="nil"/>
              <w:right w:val="nil"/>
            </w:tcBorders>
            <w:vAlign w:val="bottom"/>
          </w:tcPr>
          <w:p>
            <w:pPr>
              <w:jc w:val="right"/>
              <w:textAlignment w:val="bottom"/>
              <w:rPr>
                <w:rFonts w:cs="宋体"/>
                <w:color w:val="000000"/>
                <w:sz w:val="20"/>
                <w:szCs w:val="20"/>
              </w:rPr>
            </w:pPr>
            <w:r>
              <w:rPr>
                <w:rFonts w:cs="宋体"/>
                <w:color w:val="000000"/>
                <w:sz w:val="20"/>
                <w:szCs w:val="20"/>
                <w:lang w:bidi="ar"/>
              </w:rPr>
              <w:t>05表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vAlign w:val="bottom"/>
          </w:tcPr>
          <w:p>
            <w:pPr>
              <w:rPr>
                <w:rFonts w:hint="default" w:ascii="Arial" w:hAnsi="Arial" w:cs="Arial"/>
                <w:color w:val="000000"/>
                <w:sz w:val="20"/>
                <w:szCs w:val="20"/>
              </w:rPr>
            </w:pPr>
          </w:p>
        </w:tc>
        <w:tc>
          <w:tcPr>
            <w:tcW w:w="1156" w:type="dxa"/>
            <w:tcBorders>
              <w:top w:val="nil"/>
              <w:left w:val="nil"/>
              <w:bottom w:val="nil"/>
              <w:right w:val="nil"/>
            </w:tcBorders>
            <w:vAlign w:val="bottom"/>
          </w:tcPr>
          <w:p>
            <w:pPr>
              <w:jc w:val="right"/>
              <w:textAlignment w:val="bottom"/>
              <w:rPr>
                <w:rFonts w:cs="宋体"/>
                <w:color w:val="000000"/>
                <w:sz w:val="20"/>
                <w:szCs w:val="20"/>
              </w:rPr>
            </w:pPr>
            <w:r>
              <w:rPr>
                <w:rFonts w:cs="宋体"/>
                <w:color w:val="000000"/>
                <w:sz w:val="20"/>
                <w:szCs w:val="20"/>
                <w:lang w:bidi="ar"/>
              </w:rPr>
              <w:t>单位：元</w:t>
            </w:r>
          </w:p>
        </w:tc>
      </w:tr>
      <w:tr>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528"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528"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378"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494"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784"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666"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684"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750"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700"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733"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583"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334"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466"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528"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378"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494"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784"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666"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684"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750"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700"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733"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583"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334"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466"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156"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r>
      <w:tr>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12</w:t>
            </w:r>
          </w:p>
        </w:tc>
        <w:tc>
          <w:tcPr>
            <w:tcW w:w="1156"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vAlign w:val="center"/>
          </w:tcPr>
          <w:p>
            <w:pPr>
              <w:spacing w:line="240" w:lineRule="exact"/>
              <w:jc w:val="center"/>
              <w:rPr>
                <w:rFonts w:cs="宋体"/>
                <w:b/>
                <w:bCs/>
                <w:color w:val="000000"/>
                <w:sz w:val="22"/>
                <w:szCs w:val="22"/>
              </w:rPr>
            </w:pPr>
          </w:p>
        </w:tc>
        <w:tc>
          <w:tcPr>
            <w:tcW w:w="316" w:type="dxa"/>
            <w:vMerge w:val="continue"/>
            <w:tcBorders>
              <w:top w:val="nil"/>
              <w:left w:val="nil"/>
              <w:bottom w:val="single" w:color="000000" w:sz="4" w:space="0"/>
              <w:right w:val="single" w:color="000000" w:sz="4" w:space="0"/>
            </w:tcBorders>
            <w:vAlign w:val="center"/>
          </w:tcPr>
          <w:p>
            <w:pPr>
              <w:spacing w:line="240" w:lineRule="exact"/>
              <w:jc w:val="center"/>
              <w:rPr>
                <w:rFonts w:cs="宋体"/>
                <w:b/>
                <w:bCs/>
                <w:color w:val="000000"/>
                <w:sz w:val="22"/>
                <w:szCs w:val="22"/>
              </w:rPr>
            </w:pPr>
          </w:p>
        </w:tc>
        <w:tc>
          <w:tcPr>
            <w:tcW w:w="334" w:type="dxa"/>
            <w:vMerge w:val="continue"/>
            <w:tcBorders>
              <w:top w:val="nil"/>
              <w:left w:val="nil"/>
              <w:bottom w:val="single" w:color="000000" w:sz="4" w:space="0"/>
              <w:right w:val="single" w:color="000000" w:sz="4" w:space="0"/>
            </w:tcBorders>
            <w:vAlign w:val="center"/>
          </w:tcPr>
          <w:p>
            <w:pPr>
              <w:spacing w:line="240" w:lineRule="exact"/>
              <w:jc w:val="center"/>
              <w:rPr>
                <w:rFonts w:cs="宋体"/>
                <w:b/>
                <w:bCs/>
                <w:color w:val="000000"/>
                <w:sz w:val="22"/>
                <w:szCs w:val="22"/>
              </w:rPr>
            </w:pPr>
          </w:p>
        </w:tc>
        <w:tc>
          <w:tcPr>
            <w:tcW w:w="1816"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74,383,753.06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8,819,006.02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65,564,747.04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74,383,753.06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8,819,006.02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65,564,747.04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201</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5,081,272.47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4,186,125.73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895,146.74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5,081,272.47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4,186,125.73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895,146.74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20101</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91,400.00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91,400.00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91,400.00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91,400.00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2010108</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91,400.00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91,400.00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91,400.00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91,400.00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20103</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4,750,692.47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4,186,125.73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564,566.74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4,750,692.47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4,186,125.73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564,566.74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2010301</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3,452,500.19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3,452,500.19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3,452,500.19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3,452,500.19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2010302</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336,541.20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336,541.20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336,541.20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336,541.20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2010350</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733,625.54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733,625.54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733,625.54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733,625.54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2010399</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228,025.54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228,025.54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228,025.54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228,025.54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20132</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239,180.00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239,180.00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239,180.00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239,180.00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2013202</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39,180.00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39,180.00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39,180.00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39,180.00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2013299</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其他组织事务支出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200,000.00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200,000.00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200,000.00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200,000.00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204</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公共安全支出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249,515.00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249,515.00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249,515.00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249,515.00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20406</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司法</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249,515.00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249,515.00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249,515.00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249,515.00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2040613</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信息化建设</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249,515.00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249,515.00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249,515.00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249,515.00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207</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174,793.79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174,793.79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174,793.79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174,793.79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20701</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174,793.79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174,793.79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174,793.79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174,793.79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2070109</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174,793.79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174,793.79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174,793.79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174,793.79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2,832,153.86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2,373,875.42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458,278.44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2,832,153.86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2,373,875.42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458,278.44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20801</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1,063,278.29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628,879.85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434,398.44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1,063,278.29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628,879.85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434,398.44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2080104</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综合业务管理</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628,879.85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628,879.85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628,879.85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628,879.85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2080199</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其他人力资源和社会保障管理事务支出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434,398.44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434,398.44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434,398.44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434,398.44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1,550,662.58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1,550,662.58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1,550,662.58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1,550,662.58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2080501</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144,900.00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144,900.00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144,900.00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144,900.00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2080502</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331,200.00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331,200.00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331,200.00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331,200.00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704,064.98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704,064.98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704,064.98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704,064.98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352,317.60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352,317.60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352,317.60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352,317.60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2080599</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18,180.00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18,180.00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18,180.00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18,180.00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20808</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抚恤</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21,630.00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21,630.00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21,630.00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21,630.00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2080899</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21,630.00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21,630.00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21,630.00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21,630.00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20828</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196,582.99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194,332.99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196,582.99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194,332.99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2082805</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军供保障</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2082850</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194,332.99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194,332.99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194,332.99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194,332.99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500,134.32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500,134.32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500,134.32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500,134.32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500,134.32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500,134.32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500,134.32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500,134.32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2101101</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225,282.82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225,282.82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225,282.82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225,282.82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139,651.50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139,651.50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139,651.50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139,651.50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2101199</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135,200.00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135,200.00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135,200.00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135,200.00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211</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17,787,905.29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17,787,905.29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17,787,905.29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17,787,905.29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21103</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污染防治</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4,320,855.42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4,320,855.42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4,320,855.42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4,320,855.42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2110302</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水体</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4,320,855.42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4,320,855.42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4,320,855.42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4,320,855.42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21104</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13,467,049.87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13,467,049.87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13,467,049.87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13,467,049.87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2110402</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13,467,049.87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13,467,049.87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13,467,049.87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13,467,049.87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212</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378,800.00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378,800.00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378,800.00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378,800.00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21205</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378,800.00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378,800.00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378,800.00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378,800.00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2120501</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378,800.00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378,800.00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378,800.00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378,800.00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213</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40,344,295.90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1,095,909.76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39,248,386.14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40,344,295.90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1,095,909.76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39,248,386.14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21301</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2,224,398.44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1,095,909.76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1,128,488.68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2,224,398.44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1,095,909.76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1,128,488.68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2130104</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1,095,909.76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1,095,909.76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1,095,909.76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1,095,909.76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2130108</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2130110</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执法监管</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2130121</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农业结构调整补贴</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183,000.00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183,000.00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183,000.00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183,000.00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2130122</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780,000.00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780,000.00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780,000.00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780,000.00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2130152</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127,888.68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127,888.68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127,888.68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127,888.68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21302</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200,968.00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200,968.00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200,968.00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200,968.00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2130234</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165,000.00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165,000.00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165,000.00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165,000.00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2130238</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退耕还林还草</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35,968.00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35,968.00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35,968.00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35,968.00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21303</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水利</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151,522.00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151,522.00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151,522.00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151,522.00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2130306</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水利工程运行与维护</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31,522.00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31,522.00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31,522.00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31,522.00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2130399</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其他水利支出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120,000.00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120,000.00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120,000.00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120,000.00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21305</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21,241,763.91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21,241,763.91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21,241,763.91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21,241,763.91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2130504</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4,143,308.21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4,143,308.21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4,143,308.21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4,143,308.21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2130505</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11,128,365.56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11,128,365.56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11,128,365.56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11,128,365.56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2130599</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5,970,090.14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5,970,090.14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5,970,090.14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5,970,090.14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21307</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16,525,643.55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16,525,643.55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16,525,643.55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16,525,643.55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2130701</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2,007,100.38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2,007,100.38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2,007,100.38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2,007,100.38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2130705</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2,329,247.36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2,329,247.36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2,329,247.36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2,329,247.36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2130707</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农村综合改革示范试点补助</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10,704,650.81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10,704,650.81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10,704,650.81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10,704,650.81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2130799</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其他农村综合改革支出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1,484,645.00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1,484,645.00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1,484,645.00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1,484,645.00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214</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706,496.06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706,496.06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706,496.06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706,496.06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21401</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706,496.06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706,496.06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706,496.06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706,496.06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2140104</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706,196.06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706,196.06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706,196.06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706,196.06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2140106</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公路养护</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220</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自然资源海洋气象等支出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5,742,119.37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5,742,119.37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5,742,119.37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5,742,119.37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22001</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自然资源事务</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5,742,119.37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5,742,119.37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5,742,119.37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5,742,119.37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2200106</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自然资源利用与保护</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5,742,119.37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5,742,119.37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5,742,119.37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5,742,119.37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488,167.00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488,167.00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488,167.00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488,167.00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488,167.00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488,167.00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488,167.00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488,167.00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488,167.00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488,167.00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488,167.00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488,167.00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224</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98,100.00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98,100.00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98,100.00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98,100.00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22406</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58,100.00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58,100.00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58,100.00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58,100.00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2240601</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58,100.00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58,100.00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58,100.00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58,100.00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22407</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40,000.00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40,000.00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40,000.00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40,000.00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2240703</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40,000.00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40,000.00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40,000.00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40,000.00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1"/>
          <w:szCs w:val="21"/>
        </w:rPr>
        <w:br w:type="page"/>
      </w:r>
    </w:p>
    <w:tbl>
      <w:tblPr>
        <w:tblStyle w:val="8"/>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vAlign w:val="bottom"/>
          </w:tcPr>
          <w:p>
            <w:pPr>
              <w:jc w:val="center"/>
              <w:textAlignment w:val="bottom"/>
              <w:rPr>
                <w:rFonts w:cs="宋体"/>
                <w:color w:val="000000"/>
                <w:sz w:val="30"/>
                <w:szCs w:val="30"/>
              </w:rPr>
            </w:pPr>
            <w:r>
              <w:rPr>
                <w:rFonts w:cs="宋体"/>
                <w:b/>
                <w:bCs/>
                <w:color w:val="000000"/>
                <w:sz w:val="30"/>
                <w:szCs w:val="30"/>
                <w:lang w:bidi="ar"/>
              </w:rPr>
              <w:t>一般公共预算财政拨款基本支出决算明细表</w:t>
            </w:r>
          </w:p>
        </w:tc>
      </w:tr>
      <w:tr>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vAlign w:val="bottom"/>
          </w:tcPr>
          <w:p>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石柱土家族自治县桥头镇人民政府</w:t>
            </w:r>
          </w:p>
        </w:tc>
        <w:tc>
          <w:tcPr>
            <w:tcW w:w="2682" w:type="dxa"/>
            <w:tcBorders>
              <w:top w:val="nil"/>
              <w:left w:val="nil"/>
              <w:bottom w:val="nil"/>
              <w:right w:val="nil"/>
            </w:tcBorders>
            <w:vAlign w:val="bottom"/>
          </w:tcPr>
          <w:p>
            <w:pPr>
              <w:jc w:val="right"/>
              <w:textAlignment w:val="bottom"/>
              <w:rPr>
                <w:rFonts w:cs="宋体"/>
                <w:color w:val="000000"/>
                <w:sz w:val="20"/>
                <w:szCs w:val="20"/>
              </w:rPr>
            </w:pPr>
            <w:r>
              <w:rPr>
                <w:rFonts w:cs="宋体"/>
                <w:color w:val="000000"/>
                <w:sz w:val="20"/>
                <w:szCs w:val="20"/>
                <w:lang w:bidi="ar"/>
              </w:rPr>
              <w:t>06表</w:t>
            </w:r>
          </w:p>
        </w:tc>
      </w:tr>
      <w:tr>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vAlign w:val="bottom"/>
          </w:tcPr>
          <w:p>
            <w:pPr>
              <w:rPr>
                <w:rFonts w:hint="default" w:ascii="Arial" w:hAnsi="Arial" w:cs="Arial"/>
                <w:color w:val="000000"/>
                <w:sz w:val="20"/>
                <w:szCs w:val="20"/>
              </w:rPr>
            </w:pPr>
          </w:p>
        </w:tc>
        <w:tc>
          <w:tcPr>
            <w:tcW w:w="2682" w:type="dxa"/>
            <w:tcBorders>
              <w:top w:val="nil"/>
              <w:left w:val="nil"/>
              <w:bottom w:val="nil"/>
              <w:right w:val="nil"/>
            </w:tcBorders>
            <w:vAlign w:val="bottom"/>
          </w:tcPr>
          <w:p>
            <w:pPr>
              <w:jc w:val="right"/>
              <w:textAlignment w:val="bottom"/>
              <w:rPr>
                <w:rFonts w:cs="宋体"/>
                <w:color w:val="000000"/>
                <w:sz w:val="20"/>
                <w:szCs w:val="20"/>
              </w:rPr>
            </w:pPr>
            <w:r>
              <w:rPr>
                <w:rFonts w:cs="宋体"/>
                <w:color w:val="000000"/>
                <w:sz w:val="20"/>
                <w:szCs w:val="20"/>
                <w:lang w:bidi="ar"/>
              </w:rPr>
              <w:t>单位：元</w:t>
            </w:r>
          </w:p>
        </w:tc>
      </w:tr>
      <w:tr>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人员经费</w:t>
            </w:r>
          </w:p>
        </w:tc>
        <w:tc>
          <w:tcPr>
            <w:tcW w:w="14749" w:type="dxa"/>
            <w:gridSpan w:val="6"/>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公用经费</w:t>
            </w:r>
          </w:p>
        </w:tc>
      </w:tr>
      <w:tr>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科目代码</w:t>
            </w:r>
          </w:p>
        </w:tc>
        <w:tc>
          <w:tcPr>
            <w:tcW w:w="3616"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科目名称</w:t>
            </w:r>
          </w:p>
        </w:tc>
        <w:tc>
          <w:tcPr>
            <w:tcW w:w="2650"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决算数</w:t>
            </w:r>
          </w:p>
        </w:tc>
        <w:tc>
          <w:tcPr>
            <w:tcW w:w="1234"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科目代码</w:t>
            </w:r>
          </w:p>
        </w:tc>
        <w:tc>
          <w:tcPr>
            <w:tcW w:w="2866"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科目名称</w:t>
            </w:r>
          </w:p>
        </w:tc>
        <w:tc>
          <w:tcPr>
            <w:tcW w:w="2367"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决算数</w:t>
            </w:r>
          </w:p>
        </w:tc>
        <w:tc>
          <w:tcPr>
            <w:tcW w:w="1133"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科目代码</w:t>
            </w:r>
          </w:p>
        </w:tc>
        <w:tc>
          <w:tcPr>
            <w:tcW w:w="4467"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科目名称</w:t>
            </w:r>
          </w:p>
        </w:tc>
        <w:tc>
          <w:tcPr>
            <w:tcW w:w="2682"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决算数</w:t>
            </w:r>
          </w:p>
        </w:tc>
      </w:tr>
      <w:tr>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3616"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2650"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1234"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2866"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2367"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1133"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4467"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2682"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b/>
                <w:bCs/>
                <w:color w:val="000000"/>
                <w:sz w:val="22"/>
                <w:szCs w:val="22"/>
                <w:lang w:bidi="ar"/>
              </w:rPr>
              <w:t>301</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b/>
                <w:bCs/>
                <w:color w:val="000000"/>
                <w:sz w:val="22"/>
                <w:szCs w:val="22"/>
              </w:rPr>
            </w:pPr>
            <w:r>
              <w:rPr>
                <w:rFonts w:cs="宋体"/>
                <w:b/>
                <w:bCs/>
                <w:color w:val="000000"/>
                <w:sz w:val="22"/>
                <w:szCs w:val="22"/>
                <w:lang w:bidi="ar"/>
              </w:rPr>
              <w:t>工资福利支出</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7,235,751.80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b/>
                <w:bCs/>
                <w:color w:val="000000"/>
                <w:sz w:val="22"/>
                <w:szCs w:val="22"/>
              </w:rPr>
            </w:pPr>
            <w:r>
              <w:rPr>
                <w:rFonts w:cs="宋体"/>
                <w:b/>
                <w:bCs/>
                <w:color w:val="000000"/>
                <w:sz w:val="22"/>
                <w:szCs w:val="22"/>
                <w:lang w:bidi="ar"/>
              </w:rPr>
              <w:t>302</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b/>
                <w:bCs/>
                <w:color w:val="000000"/>
                <w:sz w:val="22"/>
                <w:szCs w:val="22"/>
              </w:rPr>
            </w:pPr>
            <w:r>
              <w:rPr>
                <w:rFonts w:cs="宋体"/>
                <w:b/>
                <w:bCs/>
                <w:color w:val="000000"/>
                <w:sz w:val="22"/>
                <w:szCs w:val="22"/>
                <w:lang w:bidi="ar"/>
              </w:rPr>
              <w:t>商品和服务支出</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984,014.22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b/>
                <w:bCs/>
                <w:color w:val="000000"/>
                <w:sz w:val="22"/>
                <w:szCs w:val="22"/>
                <w:lang w:bidi="ar"/>
              </w:rPr>
            </w:pPr>
            <w:r>
              <w:rPr>
                <w:rFonts w:cs="宋体"/>
                <w:b/>
                <w:bCs/>
                <w:color w:val="000000"/>
                <w:sz w:val="22"/>
                <w:szCs w:val="22"/>
                <w:lang w:bidi="ar"/>
              </w:rPr>
              <w:t>310</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b/>
                <w:bCs/>
                <w:color w:val="000000"/>
                <w:sz w:val="22"/>
                <w:szCs w:val="22"/>
                <w:lang w:bidi="ar"/>
              </w:rPr>
            </w:pPr>
            <w:r>
              <w:rPr>
                <w:rFonts w:cs="宋体"/>
                <w:b/>
                <w:bCs/>
                <w:color w:val="000000"/>
                <w:sz w:val="22"/>
                <w:szCs w:val="22"/>
                <w:lang w:bidi="ar"/>
              </w:rPr>
              <w:t>资本性支出</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47,460.00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30101</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基本工资</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1,597,998.00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30201</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办公费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431,252.24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31001</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房屋建筑物购建</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30102</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津贴补贴</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1,037,446.00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30202</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印刷费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31002</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办公设备购置</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47,460.00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30103</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奖金</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1,073,981.00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30203</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咨询费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31003</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专用设备购置</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30106</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伙食补助费</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30204</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手续费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31005</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基础设施建设</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30107</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绩效工资</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1,501,858.00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30205</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水费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12,910.80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31006</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大型修缮</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30108</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机关事业单位基本养老保险缴费</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704,064.98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30206</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电费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59,602.04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31007</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信息网络及软件购置更新</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30109</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职业年金缴费</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352,317.60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30207</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邮电费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35,620.00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31008</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物资储备</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30110</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职工基本医疗保险缴费</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383,404.00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30208</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取暖费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31009</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土地补偿</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30111</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公务员医疗补助缴费</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30209</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物业管理费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31010</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安置补助</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30112</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其他社会保障缴费</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18,815.22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30211</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差旅费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42,232.22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31011</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地上附着物和青苗补偿</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30113</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住房公积金</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488,167.00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30212</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因公出国（境）费用</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31012</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拆迁补偿</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30114</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医疗费</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77,700.00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30213</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维修（护）费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31013</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公务用车购置</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30199</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其他工资福利支出</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30214</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租赁费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31019</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其他交通工具购置</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b/>
                <w:bCs/>
                <w:color w:val="000000"/>
                <w:sz w:val="22"/>
                <w:szCs w:val="22"/>
                <w:lang w:bidi="ar"/>
              </w:rPr>
              <w:t>303</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b/>
                <w:bCs/>
                <w:color w:val="000000"/>
                <w:sz w:val="22"/>
                <w:szCs w:val="22"/>
              </w:rPr>
            </w:pPr>
            <w:r>
              <w:rPr>
                <w:rFonts w:cs="宋体"/>
                <w:b/>
                <w:bCs/>
                <w:color w:val="000000"/>
                <w:sz w:val="22"/>
                <w:szCs w:val="22"/>
                <w:lang w:bidi="ar"/>
              </w:rPr>
              <w:t>对个人和家庭的补助</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551,780.00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30215</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会议费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3,300.00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31021</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文物和陈列品购置</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30301</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离休费</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30216</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培训费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9,050.00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31022</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无形资产购置</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30302</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退休费</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30217</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公务接待费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83,499.40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31099</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其他资本性支出</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30303</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退职（役）费</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30218</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专用材料费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b/>
                <w:bCs/>
                <w:color w:val="000000"/>
                <w:sz w:val="22"/>
                <w:szCs w:val="22"/>
                <w:lang w:bidi="ar"/>
              </w:rPr>
            </w:pPr>
            <w:r>
              <w:rPr>
                <w:rFonts w:cs="宋体"/>
                <w:b/>
                <w:bCs/>
                <w:color w:val="000000"/>
                <w:sz w:val="22"/>
                <w:szCs w:val="22"/>
                <w:lang w:bidi="ar"/>
              </w:rPr>
              <w:t>312</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b/>
                <w:bCs/>
                <w:color w:val="000000"/>
                <w:sz w:val="22"/>
                <w:szCs w:val="22"/>
                <w:lang w:bidi="ar"/>
              </w:rPr>
            </w:pPr>
            <w:r>
              <w:rPr>
                <w:rFonts w:cs="宋体"/>
                <w:b/>
                <w:bCs/>
                <w:color w:val="000000"/>
                <w:sz w:val="22"/>
                <w:szCs w:val="22"/>
                <w:lang w:bidi="ar"/>
              </w:rPr>
              <w:t>对企业补助</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30304</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抚恤金</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30224</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被装购置费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31201</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资本金注入</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30305</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生活补助</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494,280.00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30225</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专用燃料费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31203</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政府投资基金股权投资</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30306</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救济费</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30226</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劳务费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31204</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费用补贴</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30307</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医疗费补助</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57,500.00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30227</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委托业务费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31205</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利息补贴</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30308</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助学金</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30228</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工会经费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59,214.22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31206</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其他资本性补助</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30309</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奖励金</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30229</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福利费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31299</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其他对企业补助</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30310</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个人农业生产补贴</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30231</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公务用车运行维护费</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60,000.00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b/>
                <w:bCs/>
                <w:color w:val="000000"/>
                <w:sz w:val="22"/>
                <w:szCs w:val="22"/>
                <w:lang w:bidi="ar"/>
              </w:rPr>
            </w:pPr>
            <w:r>
              <w:rPr>
                <w:rFonts w:cs="宋体"/>
                <w:b/>
                <w:bCs/>
                <w:color w:val="000000"/>
                <w:sz w:val="22"/>
                <w:szCs w:val="22"/>
                <w:lang w:bidi="ar"/>
              </w:rPr>
              <w:t>399</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b/>
                <w:bCs/>
                <w:color w:val="000000"/>
                <w:sz w:val="22"/>
                <w:szCs w:val="22"/>
                <w:lang w:bidi="ar"/>
              </w:rPr>
            </w:pPr>
            <w:r>
              <w:rPr>
                <w:rFonts w:cs="宋体"/>
                <w:b/>
                <w:bCs/>
                <w:color w:val="000000"/>
                <w:sz w:val="22"/>
                <w:szCs w:val="22"/>
                <w:lang w:bidi="ar"/>
              </w:rPr>
              <w:t>其他支出</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30311</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代缴社会保险费</w:t>
            </w:r>
          </w:p>
        </w:tc>
        <w:tc>
          <w:tcPr>
            <w:tcW w:w="2650"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30239</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其他交通费用</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187,333.30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39907</w:t>
            </w:r>
          </w:p>
        </w:tc>
        <w:tc>
          <w:tcPr>
            <w:tcW w:w="4467"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国家赔偿费用支出</w:t>
            </w:r>
          </w:p>
        </w:tc>
        <w:tc>
          <w:tcPr>
            <w:tcW w:w="2682" w:type="dxa"/>
            <w:tcBorders>
              <w:top w:val="nil"/>
              <w:left w:val="nil"/>
              <w:bottom w:val="nil"/>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30399</w:t>
            </w:r>
          </w:p>
        </w:tc>
        <w:tc>
          <w:tcPr>
            <w:tcW w:w="361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其他对个人和家庭的补助</w:t>
            </w:r>
          </w:p>
        </w:tc>
        <w:tc>
          <w:tcPr>
            <w:tcW w:w="2650" w:type="dxa"/>
            <w:tcBorders>
              <w:top w:val="nil"/>
              <w:left w:val="nil"/>
              <w:bottom w:val="nil"/>
              <w:right w:val="single" w:color="000000" w:sz="4" w:space="0"/>
            </w:tcBorders>
            <w:vAlign w:val="center"/>
          </w:tcPr>
          <w:p>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30240</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税金及附加费用</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39908</w:t>
            </w:r>
          </w:p>
        </w:tc>
        <w:tc>
          <w:tcPr>
            <w:tcW w:w="4467" w:type="dxa"/>
            <w:tcBorders>
              <w:top w:val="nil"/>
              <w:left w:val="nil"/>
              <w:bottom w:val="single" w:color="000000" w:sz="4" w:space="0"/>
              <w:right w:val="nil"/>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rPr>
                <w:rFonts w:cs="宋体"/>
                <w:color w:val="000000"/>
                <w:sz w:val="22"/>
                <w:szCs w:val="22"/>
              </w:rPr>
            </w:pPr>
          </w:p>
        </w:tc>
        <w:tc>
          <w:tcPr>
            <w:tcW w:w="3616" w:type="dxa"/>
            <w:tcBorders>
              <w:top w:val="nil"/>
              <w:left w:val="nil"/>
              <w:bottom w:val="single" w:color="000000" w:sz="4" w:space="0"/>
              <w:right w:val="nil"/>
            </w:tcBorders>
            <w:vAlign w:val="center"/>
          </w:tcPr>
          <w:p>
            <w:pPr>
              <w:spacing w:line="340" w:lineRule="exact"/>
              <w:rPr>
                <w:rFonts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30299</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rPr>
            </w:pPr>
            <w:r>
              <w:rPr>
                <w:rFonts w:cs="宋体"/>
                <w:color w:val="000000"/>
                <w:sz w:val="22"/>
                <w:szCs w:val="22"/>
                <w:lang w:bidi="ar"/>
              </w:rPr>
              <w:t xml:space="preserve">  其他商品和服务支出</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39909</w:t>
            </w:r>
          </w:p>
        </w:tc>
        <w:tc>
          <w:tcPr>
            <w:tcW w:w="4467" w:type="dxa"/>
            <w:tcBorders>
              <w:top w:val="nil"/>
              <w:left w:val="nil"/>
              <w:bottom w:val="single" w:color="000000" w:sz="4" w:space="0"/>
              <w:right w:val="nil"/>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rPr>
                <w:rFonts w:cs="宋体"/>
                <w:color w:val="000000"/>
                <w:sz w:val="22"/>
                <w:szCs w:val="22"/>
              </w:rPr>
            </w:pPr>
          </w:p>
        </w:tc>
        <w:tc>
          <w:tcPr>
            <w:tcW w:w="3616" w:type="dxa"/>
            <w:tcBorders>
              <w:top w:val="nil"/>
              <w:left w:val="nil"/>
              <w:bottom w:val="single" w:color="000000" w:sz="4" w:space="0"/>
              <w:right w:val="nil"/>
            </w:tcBorders>
            <w:vAlign w:val="center"/>
          </w:tcPr>
          <w:p>
            <w:pPr>
              <w:spacing w:line="340" w:lineRule="exact"/>
              <w:rPr>
                <w:rFonts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b/>
                <w:bCs/>
                <w:color w:val="000000"/>
                <w:sz w:val="22"/>
                <w:szCs w:val="22"/>
                <w:lang w:bidi="ar"/>
              </w:rPr>
            </w:pPr>
            <w:r>
              <w:rPr>
                <w:rFonts w:cs="宋体"/>
                <w:b/>
                <w:bCs/>
                <w:color w:val="000000"/>
                <w:sz w:val="22"/>
                <w:szCs w:val="22"/>
                <w:lang w:bidi="ar"/>
              </w:rPr>
              <w:t>307</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b/>
                <w:bCs/>
                <w:color w:val="000000"/>
                <w:sz w:val="22"/>
                <w:szCs w:val="22"/>
                <w:lang w:bidi="ar"/>
              </w:rPr>
            </w:pPr>
            <w:r>
              <w:rPr>
                <w:rFonts w:cs="宋体"/>
                <w:b/>
                <w:bCs/>
                <w:color w:val="000000"/>
                <w:sz w:val="22"/>
                <w:szCs w:val="22"/>
                <w:lang w:bidi="ar"/>
              </w:rPr>
              <w:t>债务利息及费用支出</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39910</w:t>
            </w:r>
          </w:p>
        </w:tc>
        <w:tc>
          <w:tcPr>
            <w:tcW w:w="4467" w:type="dxa"/>
            <w:tcBorders>
              <w:top w:val="nil"/>
              <w:left w:val="nil"/>
              <w:bottom w:val="single" w:color="000000" w:sz="4" w:space="0"/>
              <w:right w:val="nil"/>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rPr>
                <w:rFonts w:cs="宋体"/>
                <w:color w:val="000000"/>
                <w:sz w:val="22"/>
                <w:szCs w:val="22"/>
              </w:rPr>
            </w:pPr>
          </w:p>
        </w:tc>
        <w:tc>
          <w:tcPr>
            <w:tcW w:w="3616" w:type="dxa"/>
            <w:tcBorders>
              <w:top w:val="nil"/>
              <w:left w:val="nil"/>
              <w:bottom w:val="single" w:color="000000" w:sz="4" w:space="0"/>
              <w:right w:val="nil"/>
            </w:tcBorders>
            <w:vAlign w:val="center"/>
          </w:tcPr>
          <w:p>
            <w:pPr>
              <w:spacing w:line="340" w:lineRule="exact"/>
              <w:rPr>
                <w:rFonts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30701</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国内债务付息</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39999</w:t>
            </w:r>
          </w:p>
        </w:tc>
        <w:tc>
          <w:tcPr>
            <w:tcW w:w="4467" w:type="dxa"/>
            <w:tcBorders>
              <w:top w:val="nil"/>
              <w:left w:val="nil"/>
              <w:bottom w:val="single" w:color="000000" w:sz="4" w:space="0"/>
              <w:right w:val="nil"/>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rPr>
                <w:rFonts w:cs="宋体"/>
                <w:color w:val="000000"/>
                <w:sz w:val="22"/>
                <w:szCs w:val="22"/>
              </w:rPr>
            </w:pPr>
          </w:p>
        </w:tc>
        <w:tc>
          <w:tcPr>
            <w:tcW w:w="3616" w:type="dxa"/>
            <w:tcBorders>
              <w:top w:val="nil"/>
              <w:left w:val="nil"/>
              <w:bottom w:val="single" w:color="000000" w:sz="4" w:space="0"/>
              <w:right w:val="nil"/>
            </w:tcBorders>
            <w:vAlign w:val="center"/>
          </w:tcPr>
          <w:p>
            <w:pPr>
              <w:spacing w:line="340" w:lineRule="exact"/>
              <w:rPr>
                <w:rFonts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30702</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国外债务付息</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rPr>
                <w:rFonts w:cs="宋体"/>
                <w:color w:val="000000"/>
                <w:sz w:val="22"/>
                <w:szCs w:val="22"/>
              </w:rPr>
            </w:pPr>
          </w:p>
        </w:tc>
        <w:tc>
          <w:tcPr>
            <w:tcW w:w="4467" w:type="dxa"/>
            <w:tcBorders>
              <w:top w:val="nil"/>
              <w:left w:val="nil"/>
              <w:bottom w:val="single" w:color="000000" w:sz="4" w:space="0"/>
              <w:right w:val="nil"/>
            </w:tcBorders>
            <w:vAlign w:val="center"/>
          </w:tcPr>
          <w:p>
            <w:pPr>
              <w:spacing w:line="340" w:lineRule="exact"/>
              <w:rPr>
                <w:rFonts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rPr>
                <w:rFonts w:cs="宋体"/>
                <w:color w:val="000000"/>
                <w:sz w:val="22"/>
                <w:szCs w:val="22"/>
              </w:rPr>
            </w:pPr>
          </w:p>
        </w:tc>
        <w:tc>
          <w:tcPr>
            <w:tcW w:w="3616" w:type="dxa"/>
            <w:tcBorders>
              <w:top w:val="nil"/>
              <w:left w:val="nil"/>
              <w:bottom w:val="single" w:color="000000" w:sz="4" w:space="0"/>
              <w:right w:val="nil"/>
            </w:tcBorders>
            <w:vAlign w:val="center"/>
          </w:tcPr>
          <w:p>
            <w:pPr>
              <w:spacing w:line="340" w:lineRule="exact"/>
              <w:rPr>
                <w:rFonts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30703</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国内债务发行费用</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rPr>
                <w:rFonts w:cs="宋体"/>
                <w:color w:val="000000"/>
                <w:sz w:val="22"/>
                <w:szCs w:val="22"/>
              </w:rPr>
            </w:pPr>
          </w:p>
        </w:tc>
        <w:tc>
          <w:tcPr>
            <w:tcW w:w="4467" w:type="dxa"/>
            <w:tcBorders>
              <w:top w:val="nil"/>
              <w:left w:val="nil"/>
              <w:bottom w:val="single" w:color="000000" w:sz="4" w:space="0"/>
              <w:right w:val="nil"/>
            </w:tcBorders>
            <w:vAlign w:val="center"/>
          </w:tcPr>
          <w:p>
            <w:pPr>
              <w:spacing w:line="340" w:lineRule="exact"/>
              <w:rPr>
                <w:rFonts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pPr>
              <w:spacing w:line="340" w:lineRule="exact"/>
              <w:rPr>
                <w:rFonts w:cs="宋体"/>
                <w:color w:val="000000"/>
                <w:sz w:val="22"/>
                <w:szCs w:val="22"/>
              </w:rPr>
            </w:pPr>
          </w:p>
        </w:tc>
        <w:tc>
          <w:tcPr>
            <w:tcW w:w="3616" w:type="dxa"/>
            <w:tcBorders>
              <w:top w:val="nil"/>
              <w:left w:val="nil"/>
              <w:bottom w:val="single" w:color="000000" w:sz="4" w:space="0"/>
              <w:right w:val="nil"/>
            </w:tcBorders>
            <w:vAlign w:val="center"/>
          </w:tcPr>
          <w:p>
            <w:pPr>
              <w:spacing w:line="340" w:lineRule="exact"/>
              <w:rPr>
                <w:rFonts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vAlign w:val="bottom"/>
          </w:tcPr>
          <w:p>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30704</w:t>
            </w:r>
          </w:p>
        </w:tc>
        <w:tc>
          <w:tcPr>
            <w:tcW w:w="2866" w:type="dxa"/>
            <w:tcBorders>
              <w:top w:val="nil"/>
              <w:left w:val="nil"/>
              <w:bottom w:val="single" w:color="000000" w:sz="4" w:space="0"/>
              <w:right w:val="single" w:color="000000" w:sz="4" w:space="0"/>
            </w:tcBorders>
            <w:vAlign w:val="center"/>
          </w:tcPr>
          <w:p>
            <w:pPr>
              <w:spacing w:line="340" w:lineRule="exact"/>
              <w:textAlignment w:val="center"/>
              <w:rPr>
                <w:rFonts w:cs="宋体"/>
                <w:color w:val="000000"/>
                <w:sz w:val="22"/>
                <w:szCs w:val="22"/>
                <w:lang w:bidi="ar"/>
              </w:rPr>
            </w:pPr>
            <w:r>
              <w:rPr>
                <w:rFonts w:cs="宋体"/>
                <w:color w:val="000000"/>
                <w:sz w:val="22"/>
                <w:szCs w:val="22"/>
                <w:lang w:bidi="ar"/>
              </w:rPr>
              <w:t xml:space="preserve">  国外债务发行费用</w:t>
            </w:r>
          </w:p>
        </w:tc>
        <w:tc>
          <w:tcPr>
            <w:tcW w:w="2367"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pPr>
              <w:spacing w:line="340" w:lineRule="exact"/>
              <w:rPr>
                <w:rFonts w:cs="宋体"/>
                <w:color w:val="000000"/>
                <w:sz w:val="22"/>
                <w:szCs w:val="22"/>
              </w:rPr>
            </w:pPr>
          </w:p>
        </w:tc>
        <w:tc>
          <w:tcPr>
            <w:tcW w:w="4467" w:type="dxa"/>
            <w:tcBorders>
              <w:top w:val="nil"/>
              <w:left w:val="nil"/>
              <w:bottom w:val="single" w:color="000000" w:sz="4" w:space="0"/>
              <w:right w:val="nil"/>
            </w:tcBorders>
            <w:vAlign w:val="center"/>
          </w:tcPr>
          <w:p>
            <w:pPr>
              <w:spacing w:line="340" w:lineRule="exact"/>
              <w:rPr>
                <w:rFonts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right"/>
              <w:rPr>
                <w:rFonts w:hint="default" w:ascii="Times New Roman" w:hAnsi="Times New Roman"/>
                <w:color w:val="000000"/>
                <w:sz w:val="22"/>
                <w:szCs w:val="22"/>
              </w:rPr>
            </w:pPr>
          </w:p>
        </w:tc>
      </w:tr>
      <w:tr>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vAlign w:val="center"/>
          </w:tcPr>
          <w:p>
            <w:pPr>
              <w:spacing w:line="340" w:lineRule="exact"/>
              <w:jc w:val="center"/>
              <w:textAlignment w:val="center"/>
              <w:rPr>
                <w:rFonts w:cs="宋体"/>
                <w:color w:val="000000"/>
                <w:sz w:val="22"/>
                <w:szCs w:val="22"/>
              </w:rPr>
            </w:pPr>
            <w:r>
              <w:rPr>
                <w:rFonts w:cs="宋体"/>
                <w:b/>
                <w:bCs/>
                <w:color w:val="000000"/>
                <w:sz w:val="22"/>
                <w:szCs w:val="22"/>
                <w:lang w:bidi="ar"/>
              </w:rPr>
              <w:t>人员经费合计</w:t>
            </w:r>
          </w:p>
        </w:tc>
        <w:tc>
          <w:tcPr>
            <w:tcW w:w="2650" w:type="dxa"/>
            <w:tcBorders>
              <w:top w:val="single" w:color="000000" w:sz="4" w:space="0"/>
              <w:left w:val="single" w:color="000000" w:sz="4" w:space="0"/>
              <w:bottom w:val="single" w:color="000000" w:sz="4" w:space="0"/>
              <w:right w:val="single" w:color="000000" w:sz="4" w:space="0"/>
            </w:tcBorders>
            <w:vAlign w:val="bottom"/>
          </w:tcPr>
          <w:p>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7,787,531.80 </w:t>
            </w:r>
          </w:p>
        </w:tc>
        <w:tc>
          <w:tcPr>
            <w:tcW w:w="12067" w:type="dxa"/>
            <w:gridSpan w:val="5"/>
            <w:tcBorders>
              <w:top w:val="nil"/>
              <w:left w:val="nil"/>
              <w:bottom w:val="single" w:color="000000" w:sz="4" w:space="0"/>
              <w:right w:val="single" w:color="000000" w:sz="4" w:space="0"/>
            </w:tcBorders>
            <w:vAlign w:val="center"/>
          </w:tcPr>
          <w:p>
            <w:pPr>
              <w:spacing w:line="340" w:lineRule="exact"/>
              <w:jc w:val="center"/>
              <w:textAlignment w:val="center"/>
              <w:rPr>
                <w:rFonts w:cs="宋体"/>
                <w:color w:val="000000"/>
                <w:sz w:val="22"/>
                <w:szCs w:val="22"/>
              </w:rPr>
            </w:pPr>
            <w:r>
              <w:rPr>
                <w:rFonts w:cs="宋体"/>
                <w:b/>
                <w:bCs/>
                <w:color w:val="000000"/>
                <w:sz w:val="22"/>
                <w:szCs w:val="22"/>
                <w:lang w:bidi="ar"/>
              </w:rPr>
              <w:t>公用经费合计</w:t>
            </w:r>
          </w:p>
        </w:tc>
        <w:tc>
          <w:tcPr>
            <w:tcW w:w="2682" w:type="dxa"/>
            <w:tcBorders>
              <w:top w:val="nil"/>
              <w:left w:val="nil"/>
              <w:bottom w:val="single" w:color="000000" w:sz="4" w:space="0"/>
              <w:right w:val="single" w:color="000000" w:sz="4" w:space="0"/>
            </w:tcBorders>
            <w:vAlign w:val="center"/>
          </w:tcPr>
          <w:p>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1,031,474.22 </w:t>
            </w:r>
          </w:p>
        </w:tc>
      </w:tr>
    </w:tbl>
    <w:p>
      <w:pPr>
        <w:rPr>
          <w:rFonts w:cs="宋体"/>
          <w:sz w:val="21"/>
          <w:szCs w:val="21"/>
        </w:rPr>
      </w:pPr>
      <w:r>
        <w:rPr>
          <w:rFonts w:cs="宋体"/>
          <w:sz w:val="21"/>
          <w:szCs w:val="21"/>
        </w:rPr>
        <w:br w:type="page"/>
      </w:r>
    </w:p>
    <w:tbl>
      <w:tblPr>
        <w:tblStyle w:val="8"/>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vAlign w:val="bottom"/>
          </w:tcPr>
          <w:p>
            <w:pPr>
              <w:jc w:val="center"/>
              <w:textAlignment w:val="bottom"/>
              <w:rPr>
                <w:rFonts w:cs="宋体"/>
                <w:color w:val="000000"/>
                <w:sz w:val="30"/>
                <w:szCs w:val="30"/>
              </w:rPr>
            </w:pPr>
            <w:r>
              <w:rPr>
                <w:rFonts w:cs="宋体"/>
                <w:b/>
                <w:bCs/>
                <w:color w:val="000000"/>
                <w:sz w:val="30"/>
                <w:szCs w:val="30"/>
                <w:lang w:bidi="ar"/>
              </w:rPr>
              <w:t>政府性基金预算财政拨款收入支出决算表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vAlign w:val="bottom"/>
          </w:tcPr>
          <w:p>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石柱土家族自治县桥头镇人民政府</w:t>
            </w:r>
          </w:p>
        </w:tc>
        <w:tc>
          <w:tcPr>
            <w:tcW w:w="1156" w:type="dxa"/>
            <w:tcBorders>
              <w:top w:val="nil"/>
              <w:left w:val="nil"/>
              <w:bottom w:val="nil"/>
              <w:right w:val="nil"/>
            </w:tcBorders>
            <w:vAlign w:val="bottom"/>
          </w:tcPr>
          <w:p>
            <w:pPr>
              <w:jc w:val="right"/>
              <w:textAlignment w:val="bottom"/>
              <w:rPr>
                <w:rFonts w:cs="宋体"/>
                <w:color w:val="000000"/>
                <w:sz w:val="20"/>
                <w:szCs w:val="20"/>
              </w:rPr>
            </w:pPr>
            <w:r>
              <w:rPr>
                <w:rFonts w:cs="宋体"/>
                <w:color w:val="000000"/>
                <w:sz w:val="20"/>
                <w:szCs w:val="20"/>
                <w:lang w:bidi="ar"/>
              </w:rPr>
              <w:t>07表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vAlign w:val="bottom"/>
          </w:tcPr>
          <w:p>
            <w:pPr>
              <w:rPr>
                <w:rFonts w:hint="default" w:ascii="Arial" w:hAnsi="Arial" w:cs="Arial"/>
                <w:color w:val="000000"/>
                <w:sz w:val="20"/>
                <w:szCs w:val="20"/>
              </w:rPr>
            </w:pPr>
          </w:p>
        </w:tc>
        <w:tc>
          <w:tcPr>
            <w:tcW w:w="1156" w:type="dxa"/>
            <w:tcBorders>
              <w:top w:val="nil"/>
              <w:left w:val="nil"/>
              <w:bottom w:val="nil"/>
              <w:right w:val="nil"/>
            </w:tcBorders>
            <w:vAlign w:val="bottom"/>
          </w:tcPr>
          <w:p>
            <w:pPr>
              <w:jc w:val="right"/>
              <w:textAlignment w:val="bottom"/>
              <w:rPr>
                <w:rFonts w:cs="宋体"/>
                <w:color w:val="000000"/>
                <w:sz w:val="20"/>
                <w:szCs w:val="20"/>
              </w:rPr>
            </w:pPr>
            <w:r>
              <w:rPr>
                <w:rFonts w:cs="宋体"/>
                <w:color w:val="000000"/>
                <w:sz w:val="20"/>
                <w:szCs w:val="20"/>
                <w:lang w:bidi="ar"/>
              </w:rPr>
              <w:t>单位：元</w:t>
            </w:r>
          </w:p>
        </w:tc>
      </w:tr>
      <w:tr>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528"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528"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378"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494"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784"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666"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684"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750"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700"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733"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583"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334" w:type="dxa"/>
            <w:vMerge w:val="continue"/>
            <w:tcBorders>
              <w:top w:val="nil"/>
              <w:left w:val="nil"/>
              <w:bottom w:val="single" w:color="000000" w:sz="4" w:space="0"/>
              <w:right w:val="single" w:color="000000" w:sz="4" w:space="0"/>
            </w:tcBorders>
            <w:vAlign w:val="center"/>
          </w:tcPr>
          <w:p>
            <w:pPr>
              <w:spacing w:line="400" w:lineRule="exact"/>
              <w:jc w:val="center"/>
              <w:rPr>
                <w:rFonts w:cs="宋体"/>
                <w:b/>
                <w:bCs/>
                <w:color w:val="000000"/>
                <w:sz w:val="22"/>
                <w:szCs w:val="22"/>
              </w:rPr>
            </w:pPr>
          </w:p>
        </w:tc>
        <w:tc>
          <w:tcPr>
            <w:tcW w:w="1466"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528"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378"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494"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784"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666"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684"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750"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700"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733"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583"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334"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466"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c>
          <w:tcPr>
            <w:tcW w:w="1156" w:type="dxa"/>
            <w:vMerge w:val="continue"/>
            <w:tcBorders>
              <w:top w:val="nil"/>
              <w:left w:val="nil"/>
              <w:bottom w:val="single" w:color="000000" w:sz="4" w:space="0"/>
              <w:right w:val="single" w:color="000000" w:sz="4" w:space="0"/>
            </w:tcBorders>
            <w:vAlign w:val="center"/>
          </w:tcPr>
          <w:p>
            <w:pPr>
              <w:spacing w:line="400" w:lineRule="exact"/>
              <w:jc w:val="center"/>
              <w:rPr>
                <w:rFonts w:cs="宋体"/>
                <w:color w:val="000000"/>
                <w:sz w:val="22"/>
                <w:szCs w:val="22"/>
              </w:rPr>
            </w:pPr>
          </w:p>
        </w:tc>
      </w:tr>
      <w:tr>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12</w:t>
            </w:r>
          </w:p>
        </w:tc>
        <w:tc>
          <w:tcPr>
            <w:tcW w:w="1156"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2"/>
                <w:szCs w:val="22"/>
              </w:rPr>
            </w:pPr>
            <w:r>
              <w:rPr>
                <w:rFonts w:cs="宋体"/>
                <w:b/>
                <w:bCs/>
                <w:color w:val="000000"/>
                <w:sz w:val="22"/>
                <w:szCs w:val="22"/>
                <w:lang w:bidi="ar"/>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vAlign w:val="center"/>
          </w:tcPr>
          <w:p>
            <w:pPr>
              <w:spacing w:line="240" w:lineRule="exact"/>
              <w:jc w:val="center"/>
              <w:rPr>
                <w:rFonts w:cs="宋体"/>
                <w:b/>
                <w:bCs/>
                <w:color w:val="000000"/>
                <w:sz w:val="22"/>
                <w:szCs w:val="22"/>
              </w:rPr>
            </w:pPr>
          </w:p>
        </w:tc>
        <w:tc>
          <w:tcPr>
            <w:tcW w:w="316" w:type="dxa"/>
            <w:vMerge w:val="continue"/>
            <w:tcBorders>
              <w:top w:val="nil"/>
              <w:left w:val="nil"/>
              <w:bottom w:val="single" w:color="000000" w:sz="4" w:space="0"/>
              <w:right w:val="single" w:color="000000" w:sz="4" w:space="0"/>
            </w:tcBorders>
            <w:vAlign w:val="center"/>
          </w:tcPr>
          <w:p>
            <w:pPr>
              <w:spacing w:line="240" w:lineRule="exact"/>
              <w:jc w:val="center"/>
              <w:rPr>
                <w:rFonts w:cs="宋体"/>
                <w:b/>
                <w:bCs/>
                <w:color w:val="000000"/>
                <w:sz w:val="22"/>
                <w:szCs w:val="22"/>
              </w:rPr>
            </w:pPr>
          </w:p>
        </w:tc>
        <w:tc>
          <w:tcPr>
            <w:tcW w:w="334" w:type="dxa"/>
            <w:vMerge w:val="continue"/>
            <w:tcBorders>
              <w:top w:val="nil"/>
              <w:left w:val="nil"/>
              <w:bottom w:val="single" w:color="000000" w:sz="4" w:space="0"/>
              <w:right w:val="single" w:color="000000" w:sz="4" w:space="0"/>
            </w:tcBorders>
            <w:vAlign w:val="center"/>
          </w:tcPr>
          <w:p>
            <w:pPr>
              <w:spacing w:line="240" w:lineRule="exact"/>
              <w:jc w:val="center"/>
              <w:rPr>
                <w:rFonts w:cs="宋体"/>
                <w:b/>
                <w:bCs/>
                <w:color w:val="000000"/>
                <w:sz w:val="22"/>
                <w:szCs w:val="22"/>
              </w:rPr>
            </w:pPr>
          </w:p>
        </w:tc>
        <w:tc>
          <w:tcPr>
            <w:tcW w:w="1816" w:type="dxa"/>
            <w:tcBorders>
              <w:top w:val="nil"/>
              <w:left w:val="nil"/>
              <w:bottom w:val="single" w:color="000000" w:sz="4" w:space="0"/>
              <w:right w:val="single" w:color="000000" w:sz="4" w:space="0"/>
            </w:tcBorders>
            <w:vAlign w:val="center"/>
          </w:tcPr>
          <w:p>
            <w:pPr>
              <w:spacing w:line="240" w:lineRule="exact"/>
              <w:jc w:val="center"/>
              <w:textAlignment w:val="center"/>
              <w:rPr>
                <w:rFonts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156,100.00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156,100.00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156,100.00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156,100.00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212</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156,100.00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156,100.00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156,100.00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156,100.00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21208</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156,100.00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156,100.00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156,100.00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156,100.00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2120804</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93,000.00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93,000.00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93,000.00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93,000.00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2120899</w:t>
            </w:r>
          </w:p>
        </w:tc>
        <w:tc>
          <w:tcPr>
            <w:tcW w:w="1816" w:type="dxa"/>
            <w:tcBorders>
              <w:top w:val="nil"/>
              <w:left w:val="nil"/>
              <w:bottom w:val="single" w:color="000000" w:sz="4" w:space="0"/>
              <w:right w:val="single" w:color="000000" w:sz="4" w:space="0"/>
            </w:tcBorders>
            <w:vAlign w:val="center"/>
          </w:tcPr>
          <w:p>
            <w:pPr>
              <w:spacing w:line="240" w:lineRule="exact"/>
              <w:textAlignment w:val="center"/>
              <w:rPr>
                <w:rFonts w:cs="宋体"/>
                <w:color w:val="000000"/>
                <w:sz w:val="20"/>
                <w:szCs w:val="20"/>
              </w:rPr>
            </w:pPr>
            <w:r>
              <w:rPr>
                <w:rFonts w:cs="宋体"/>
                <w:color w:val="000000"/>
                <w:sz w:val="20"/>
                <w:szCs w:val="20"/>
              </w:rPr>
              <w:t>其他国有土地使用权出让收入安排的支出</w:t>
            </w:r>
          </w:p>
        </w:tc>
        <w:tc>
          <w:tcPr>
            <w:tcW w:w="152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63,100.00 </w:t>
            </w:r>
          </w:p>
        </w:tc>
        <w:tc>
          <w:tcPr>
            <w:tcW w:w="16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63,100.00 </w:t>
            </w:r>
          </w:p>
        </w:tc>
        <w:tc>
          <w:tcPr>
            <w:tcW w:w="175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63,100.00 </w:t>
            </w:r>
          </w:p>
        </w:tc>
        <w:tc>
          <w:tcPr>
            <w:tcW w:w="1700"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63,100.00 </w:t>
            </w:r>
          </w:p>
        </w:tc>
        <w:tc>
          <w:tcPr>
            <w:tcW w:w="1583"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1"/>
          <w:szCs w:val="21"/>
        </w:rPr>
        <w:br w:type="page"/>
      </w:r>
    </w:p>
    <w:tbl>
      <w:tblPr>
        <w:tblStyle w:val="8"/>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vAlign w:val="bottom"/>
          </w:tcPr>
          <w:p>
            <w:pPr>
              <w:jc w:val="center"/>
              <w:textAlignment w:val="bottom"/>
              <w:rPr>
                <w:rFonts w:cs="宋体"/>
                <w:color w:val="000000"/>
                <w:sz w:val="30"/>
                <w:szCs w:val="30"/>
              </w:rPr>
            </w:pPr>
            <w:r>
              <w:rPr>
                <w:rFonts w:cs="宋体"/>
                <w:b/>
                <w:bCs/>
                <w:color w:val="000000"/>
                <w:sz w:val="30"/>
                <w:szCs w:val="30"/>
                <w:lang w:bidi="ar"/>
              </w:rPr>
              <w:t>国有资本经营预算财政拨款收入支出决算表</w:t>
            </w:r>
          </w:p>
        </w:tc>
      </w:tr>
      <w:tr>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vAlign w:val="bottom"/>
          </w:tcPr>
          <w:p>
            <w:pPr>
              <w:rPr>
                <w:rFonts w:hint="default" w:ascii="Arial" w:hAnsi="Arial" w:cs="Arial"/>
                <w:color w:val="000000"/>
                <w:sz w:val="20"/>
                <w:szCs w:val="20"/>
              </w:rPr>
            </w:pPr>
            <w:r>
              <w:rPr>
                <w:rFonts w:cs="宋体"/>
                <w:color w:val="000000"/>
                <w:sz w:val="20"/>
                <w:szCs w:val="20"/>
              </w:rPr>
              <w:t>部门：</w:t>
            </w:r>
            <w:r>
              <w:rPr>
                <w:color w:val="000000"/>
                <w:sz w:val="20"/>
              </w:rPr>
              <w:t>石柱土家族自治县桥头镇人民政府</w:t>
            </w:r>
          </w:p>
        </w:tc>
        <w:tc>
          <w:tcPr>
            <w:tcW w:w="2116" w:type="dxa"/>
            <w:tcBorders>
              <w:top w:val="nil"/>
              <w:left w:val="nil"/>
              <w:bottom w:val="nil"/>
              <w:right w:val="nil"/>
            </w:tcBorders>
            <w:vAlign w:val="bottom"/>
          </w:tcPr>
          <w:p>
            <w:pPr>
              <w:jc w:val="right"/>
              <w:textAlignment w:val="bottom"/>
              <w:rPr>
                <w:rFonts w:cs="宋体"/>
                <w:color w:val="000000"/>
                <w:sz w:val="20"/>
                <w:szCs w:val="20"/>
              </w:rPr>
            </w:pPr>
            <w:r>
              <w:rPr>
                <w:rFonts w:cs="宋体"/>
                <w:color w:val="000000"/>
                <w:sz w:val="20"/>
                <w:szCs w:val="20"/>
                <w:lang w:bidi="ar"/>
              </w:rPr>
              <w:t>08表</w:t>
            </w:r>
          </w:p>
        </w:tc>
      </w:tr>
      <w:tr>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vAlign w:val="bottom"/>
          </w:tcPr>
          <w:p>
            <w:pPr>
              <w:rPr>
                <w:rFonts w:hint="default" w:ascii="Arial" w:hAnsi="Arial" w:cs="Arial"/>
                <w:color w:val="000000"/>
                <w:sz w:val="20"/>
                <w:szCs w:val="20"/>
              </w:rPr>
            </w:pPr>
          </w:p>
        </w:tc>
        <w:tc>
          <w:tcPr>
            <w:tcW w:w="2116" w:type="dxa"/>
            <w:tcBorders>
              <w:top w:val="nil"/>
              <w:left w:val="nil"/>
              <w:bottom w:val="nil"/>
              <w:right w:val="nil"/>
            </w:tcBorders>
            <w:vAlign w:val="bottom"/>
          </w:tcPr>
          <w:p>
            <w:pPr>
              <w:jc w:val="right"/>
              <w:textAlignment w:val="bottom"/>
              <w:rPr>
                <w:rFonts w:cs="宋体"/>
                <w:color w:val="000000"/>
                <w:sz w:val="20"/>
                <w:szCs w:val="20"/>
              </w:rPr>
            </w:pPr>
            <w:r>
              <w:rPr>
                <w:rFonts w:cs="宋体"/>
                <w:color w:val="000000"/>
                <w:sz w:val="20"/>
                <w:szCs w:val="20"/>
                <w:lang w:bidi="ar"/>
              </w:rPr>
              <w:t>单位：元</w:t>
            </w:r>
          </w:p>
        </w:tc>
      </w:tr>
      <w:tr>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科目代码</w:t>
            </w:r>
          </w:p>
        </w:tc>
        <w:tc>
          <w:tcPr>
            <w:tcW w:w="2664"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科目名称</w:t>
            </w:r>
          </w:p>
        </w:tc>
        <w:tc>
          <w:tcPr>
            <w:tcW w:w="6686" w:type="dxa"/>
            <w:gridSpan w:val="3"/>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年初结转和结余</w:t>
            </w:r>
          </w:p>
        </w:tc>
        <w:tc>
          <w:tcPr>
            <w:tcW w:w="2482"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本年收入</w:t>
            </w:r>
          </w:p>
        </w:tc>
        <w:tc>
          <w:tcPr>
            <w:tcW w:w="2400"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本年支出</w:t>
            </w:r>
          </w:p>
        </w:tc>
        <w:tc>
          <w:tcPr>
            <w:tcW w:w="6906" w:type="dxa"/>
            <w:gridSpan w:val="4"/>
            <w:tcBorders>
              <w:top w:val="single" w:color="000000" w:sz="4" w:space="0"/>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年末结转和结余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vAlign w:val="center"/>
          </w:tcPr>
          <w:p>
            <w:pPr>
              <w:jc w:val="center"/>
              <w:rPr>
                <w:rFonts w:cs="宋体"/>
                <w:b/>
                <w:bCs/>
                <w:color w:val="000000"/>
                <w:sz w:val="22"/>
                <w:szCs w:val="22"/>
              </w:rPr>
            </w:pPr>
          </w:p>
        </w:tc>
        <w:tc>
          <w:tcPr>
            <w:tcW w:w="2437"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合计</w:t>
            </w:r>
          </w:p>
        </w:tc>
        <w:tc>
          <w:tcPr>
            <w:tcW w:w="2063"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结转</w:t>
            </w:r>
          </w:p>
        </w:tc>
        <w:tc>
          <w:tcPr>
            <w:tcW w:w="2186"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结余</w:t>
            </w:r>
          </w:p>
        </w:tc>
        <w:tc>
          <w:tcPr>
            <w:tcW w:w="2482" w:type="dxa"/>
            <w:vMerge w:val="continue"/>
            <w:tcBorders>
              <w:top w:val="single" w:color="000000" w:sz="4" w:space="0"/>
              <w:left w:val="nil"/>
              <w:bottom w:val="single" w:color="000000" w:sz="4" w:space="0"/>
              <w:right w:val="single" w:color="000000" w:sz="4" w:space="0"/>
            </w:tcBorders>
            <w:vAlign w:val="center"/>
          </w:tcPr>
          <w:p>
            <w:pPr>
              <w:jc w:val="center"/>
              <w:rPr>
                <w:rFonts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vAlign w:val="center"/>
          </w:tcPr>
          <w:p>
            <w:pPr>
              <w:jc w:val="center"/>
              <w:rPr>
                <w:rFonts w:cs="宋体"/>
                <w:b/>
                <w:bCs/>
                <w:color w:val="000000"/>
                <w:sz w:val="22"/>
                <w:szCs w:val="22"/>
              </w:rPr>
            </w:pPr>
          </w:p>
        </w:tc>
        <w:tc>
          <w:tcPr>
            <w:tcW w:w="2307"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合计</w:t>
            </w:r>
          </w:p>
        </w:tc>
        <w:tc>
          <w:tcPr>
            <w:tcW w:w="2287"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结转</w:t>
            </w:r>
          </w:p>
        </w:tc>
        <w:tc>
          <w:tcPr>
            <w:tcW w:w="2312" w:type="dxa"/>
            <w:gridSpan w:val="2"/>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37"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2063"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2186"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307"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2287"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2312" w:type="dxa"/>
            <w:gridSpan w:val="2"/>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r>
      <w:tr>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37"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2063"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2186"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vAlign w:val="center"/>
          </w:tcPr>
          <w:p>
            <w:pPr>
              <w:jc w:val="center"/>
              <w:rPr>
                <w:rFonts w:cs="宋体"/>
                <w:color w:val="000000"/>
                <w:sz w:val="22"/>
                <w:szCs w:val="22"/>
              </w:rPr>
            </w:pPr>
          </w:p>
        </w:tc>
        <w:tc>
          <w:tcPr>
            <w:tcW w:w="2307"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2287" w:type="dxa"/>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c>
          <w:tcPr>
            <w:tcW w:w="2312" w:type="dxa"/>
            <w:gridSpan w:val="2"/>
            <w:vMerge w:val="continue"/>
            <w:tcBorders>
              <w:top w:val="nil"/>
              <w:left w:val="nil"/>
              <w:bottom w:val="single" w:color="000000" w:sz="4" w:space="0"/>
              <w:right w:val="single" w:color="000000" w:sz="4" w:space="0"/>
            </w:tcBorders>
            <w:vAlign w:val="center"/>
          </w:tcPr>
          <w:p>
            <w:pPr>
              <w:jc w:val="center"/>
              <w:rPr>
                <w:rFonts w:cs="宋体"/>
                <w:color w:val="000000"/>
                <w:sz w:val="22"/>
                <w:szCs w:val="22"/>
              </w:rPr>
            </w:pPr>
          </w:p>
        </w:tc>
      </w:tr>
      <w:tr>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类</w:t>
            </w:r>
          </w:p>
        </w:tc>
        <w:tc>
          <w:tcPr>
            <w:tcW w:w="350"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款</w:t>
            </w:r>
          </w:p>
        </w:tc>
        <w:tc>
          <w:tcPr>
            <w:tcW w:w="350" w:type="dxa"/>
            <w:vMerge w:val="restart"/>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项</w:t>
            </w:r>
          </w:p>
        </w:tc>
        <w:tc>
          <w:tcPr>
            <w:tcW w:w="2664" w:type="dxa"/>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栏次</w:t>
            </w:r>
          </w:p>
        </w:tc>
        <w:tc>
          <w:tcPr>
            <w:tcW w:w="243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w:t>
            </w:r>
          </w:p>
        </w:tc>
        <w:tc>
          <w:tcPr>
            <w:tcW w:w="2063"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w:t>
            </w:r>
          </w:p>
        </w:tc>
        <w:tc>
          <w:tcPr>
            <w:tcW w:w="2186"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w:t>
            </w:r>
          </w:p>
        </w:tc>
        <w:tc>
          <w:tcPr>
            <w:tcW w:w="2482"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w:t>
            </w:r>
          </w:p>
        </w:tc>
        <w:tc>
          <w:tcPr>
            <w:tcW w:w="2400"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5</w:t>
            </w:r>
          </w:p>
        </w:tc>
        <w:tc>
          <w:tcPr>
            <w:tcW w:w="230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6</w:t>
            </w:r>
          </w:p>
        </w:tc>
        <w:tc>
          <w:tcPr>
            <w:tcW w:w="2287" w:type="dxa"/>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7</w:t>
            </w:r>
          </w:p>
        </w:tc>
        <w:tc>
          <w:tcPr>
            <w:tcW w:w="2312" w:type="dxa"/>
            <w:gridSpan w:val="2"/>
            <w:tcBorders>
              <w:top w:val="nil"/>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8</w:t>
            </w:r>
          </w:p>
        </w:tc>
      </w:tr>
      <w:tr>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vAlign w:val="center"/>
          </w:tcPr>
          <w:p>
            <w:pPr>
              <w:jc w:val="center"/>
              <w:rPr>
                <w:rFonts w:cs="宋体"/>
                <w:b/>
                <w:bCs/>
                <w:color w:val="000000"/>
                <w:sz w:val="22"/>
                <w:szCs w:val="22"/>
              </w:rPr>
            </w:pPr>
          </w:p>
        </w:tc>
        <w:tc>
          <w:tcPr>
            <w:tcW w:w="350" w:type="dxa"/>
            <w:vMerge w:val="continue"/>
            <w:tcBorders>
              <w:top w:val="nil"/>
              <w:left w:val="nil"/>
              <w:bottom w:val="single" w:color="000000" w:sz="4" w:space="0"/>
              <w:right w:val="single" w:color="000000" w:sz="4" w:space="0"/>
            </w:tcBorders>
            <w:vAlign w:val="center"/>
          </w:tcPr>
          <w:p>
            <w:pPr>
              <w:jc w:val="center"/>
              <w:rPr>
                <w:rFonts w:cs="宋体"/>
                <w:b/>
                <w:bCs/>
                <w:color w:val="000000"/>
                <w:sz w:val="22"/>
                <w:szCs w:val="22"/>
              </w:rPr>
            </w:pPr>
          </w:p>
        </w:tc>
        <w:tc>
          <w:tcPr>
            <w:tcW w:w="350" w:type="dxa"/>
            <w:vMerge w:val="continue"/>
            <w:tcBorders>
              <w:top w:val="nil"/>
              <w:left w:val="nil"/>
              <w:bottom w:val="single" w:color="000000" w:sz="4" w:space="0"/>
              <w:right w:val="single" w:color="000000" w:sz="4" w:space="0"/>
            </w:tcBorders>
            <w:vAlign w:val="center"/>
          </w:tcPr>
          <w:p>
            <w:pPr>
              <w:jc w:val="center"/>
              <w:rPr>
                <w:rFonts w:cs="宋体"/>
                <w:b/>
                <w:bCs/>
                <w:color w:val="000000"/>
                <w:sz w:val="22"/>
                <w:szCs w:val="22"/>
              </w:rPr>
            </w:pPr>
          </w:p>
        </w:tc>
        <w:tc>
          <w:tcPr>
            <w:tcW w:w="2664" w:type="dxa"/>
            <w:tcBorders>
              <w:top w:val="nil"/>
              <w:left w:val="nil"/>
              <w:bottom w:val="single" w:color="000000" w:sz="4" w:space="0"/>
              <w:right w:val="single" w:color="000000" w:sz="4" w:space="0"/>
            </w:tcBorders>
            <w:vAlign w:val="center"/>
          </w:tcPr>
          <w:p>
            <w:pPr>
              <w:jc w:val="center"/>
              <w:textAlignment w:val="center"/>
              <w:rPr>
                <w:rFonts w:cs="宋体"/>
                <w:b/>
                <w:bCs/>
                <w:color w:val="000000"/>
                <w:sz w:val="22"/>
                <w:szCs w:val="22"/>
              </w:rPr>
            </w:pPr>
            <w:r>
              <w:rPr>
                <w:rFonts w:cs="宋体"/>
                <w:b/>
                <w:bCs/>
                <w:color w:val="000000"/>
                <w:sz w:val="22"/>
                <w:szCs w:val="22"/>
                <w:lang w:bidi="ar"/>
              </w:rPr>
              <w:t>合计</w:t>
            </w:r>
          </w:p>
        </w:tc>
        <w:tc>
          <w:tcPr>
            <w:tcW w:w="2437" w:type="dxa"/>
            <w:tcBorders>
              <w:top w:val="nil"/>
              <w:left w:val="nil"/>
              <w:bottom w:val="single" w:color="000000" w:sz="4" w:space="0"/>
              <w:right w:val="single" w:color="000000" w:sz="4" w:space="0"/>
            </w:tcBorders>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vAlign w:val="center"/>
          </w:tcPr>
          <w:p>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vAlign w:val="center"/>
          </w:tcPr>
          <w:p>
            <w:pPr>
              <w:textAlignment w:val="center"/>
              <w:rPr>
                <w:rFonts w:cs="宋体"/>
                <w:color w:val="000000"/>
                <w:sz w:val="22"/>
                <w:szCs w:val="22"/>
              </w:rPr>
            </w:pPr>
          </w:p>
        </w:tc>
        <w:tc>
          <w:tcPr>
            <w:tcW w:w="2664" w:type="dxa"/>
            <w:tcBorders>
              <w:top w:val="nil"/>
              <w:left w:val="nil"/>
              <w:bottom w:val="single" w:color="000000" w:sz="4" w:space="0"/>
              <w:right w:val="single" w:color="000000" w:sz="4" w:space="0"/>
            </w:tcBorders>
            <w:vAlign w:val="center"/>
          </w:tcPr>
          <w:p>
            <w:pPr>
              <w:textAlignment w:val="center"/>
              <w:rPr>
                <w:rFonts w:cs="宋体"/>
                <w:color w:val="000000"/>
                <w:sz w:val="22"/>
                <w:szCs w:val="22"/>
              </w:rPr>
            </w:pPr>
          </w:p>
        </w:tc>
        <w:tc>
          <w:tcPr>
            <w:tcW w:w="2437" w:type="dxa"/>
            <w:tcBorders>
              <w:top w:val="nil"/>
              <w:left w:val="nil"/>
              <w:bottom w:val="single" w:color="000000" w:sz="4" w:space="0"/>
              <w:right w:val="single" w:color="000000" w:sz="4" w:space="0"/>
            </w:tcBorders>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vAlign w:val="center"/>
          </w:tcPr>
          <w:p>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pPr>
        <w:rPr>
          <w:rFonts w:cs="宋体"/>
          <w:sz w:val="21"/>
          <w:szCs w:val="21"/>
        </w:rPr>
      </w:pPr>
      <w:r>
        <w:rPr>
          <w:rFonts w:cs="宋体"/>
          <w:sz w:val="21"/>
          <w:szCs w:val="21"/>
        </w:rPr>
        <w:br w:type="page"/>
      </w:r>
    </w:p>
    <w:tbl>
      <w:tblPr>
        <w:tblStyle w:val="8"/>
        <w:tblW w:w="20051" w:type="dxa"/>
        <w:tblInd w:w="93" w:type="dxa"/>
        <w:tblLayout w:type="fixed"/>
        <w:tblCellMar>
          <w:top w:w="0" w:type="dxa"/>
          <w:left w:w="108" w:type="dxa"/>
          <w:bottom w:w="0" w:type="dxa"/>
          <w:right w:w="108" w:type="dxa"/>
        </w:tblCellMar>
      </w:tblPr>
      <w:tblGrid>
        <w:gridCol w:w="4417"/>
        <w:gridCol w:w="1017"/>
        <w:gridCol w:w="4017"/>
        <w:gridCol w:w="5416"/>
        <w:gridCol w:w="1050"/>
        <w:gridCol w:w="4134"/>
      </w:tblGrid>
      <w:tr>
        <w:tblPrEx>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vAlign w:val="bottom"/>
          </w:tcPr>
          <w:p>
            <w:pPr>
              <w:jc w:val="center"/>
              <w:textAlignment w:val="bottom"/>
              <w:rPr>
                <w:rFonts w:cs="宋体"/>
                <w:color w:val="000000"/>
                <w:sz w:val="44"/>
                <w:szCs w:val="44"/>
              </w:rPr>
            </w:pPr>
            <w:r>
              <w:rPr>
                <w:rFonts w:cs="宋体"/>
                <w:b/>
                <w:bCs/>
                <w:color w:val="000000"/>
                <w:sz w:val="30"/>
                <w:szCs w:val="30"/>
                <w:lang w:bidi="ar"/>
              </w:rPr>
              <w:t>机构运行信息决算表</w:t>
            </w:r>
          </w:p>
        </w:tc>
      </w:tr>
      <w:tr>
        <w:tblPrEx>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vAlign w:val="bottom"/>
          </w:tcPr>
          <w:p>
            <w:pPr>
              <w:rPr>
                <w:rFonts w:hint="default" w:ascii="Arial" w:hAnsi="Arial" w:cs="Arial"/>
                <w:color w:val="000000"/>
                <w:sz w:val="20"/>
                <w:szCs w:val="20"/>
              </w:rPr>
            </w:pPr>
            <w:r>
              <w:rPr>
                <w:rFonts w:cs="宋体"/>
                <w:color w:val="000000"/>
                <w:sz w:val="20"/>
                <w:szCs w:val="20"/>
              </w:rPr>
              <w:t>部门：</w:t>
            </w:r>
            <w:r>
              <w:rPr>
                <w:color w:val="000000"/>
                <w:sz w:val="20"/>
              </w:rPr>
              <w:t>石柱土家族自治县桥头镇人民政府</w:t>
            </w:r>
          </w:p>
        </w:tc>
        <w:tc>
          <w:tcPr>
            <w:tcW w:w="4134" w:type="dxa"/>
            <w:tcBorders>
              <w:top w:val="nil"/>
              <w:left w:val="nil"/>
              <w:bottom w:val="nil"/>
              <w:right w:val="nil"/>
            </w:tcBorders>
            <w:vAlign w:val="bottom"/>
          </w:tcPr>
          <w:p>
            <w:pPr>
              <w:jc w:val="right"/>
              <w:textAlignment w:val="bottom"/>
              <w:rPr>
                <w:rFonts w:cs="宋体"/>
                <w:color w:val="000000"/>
                <w:sz w:val="20"/>
                <w:szCs w:val="20"/>
              </w:rPr>
            </w:pPr>
            <w:r>
              <w:rPr>
                <w:rFonts w:cs="宋体"/>
                <w:color w:val="000000"/>
                <w:sz w:val="20"/>
                <w:szCs w:val="20"/>
                <w:lang w:bidi="ar"/>
              </w:rPr>
              <w:t>09表</w:t>
            </w:r>
          </w:p>
        </w:tc>
      </w:tr>
      <w:tr>
        <w:tblPrEx>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vAlign w:val="bottom"/>
          </w:tcPr>
          <w:p>
            <w:pPr>
              <w:rPr>
                <w:rFonts w:hint="default" w:ascii="Arial" w:hAnsi="Arial" w:cs="Arial"/>
                <w:color w:val="000000"/>
                <w:sz w:val="20"/>
                <w:szCs w:val="20"/>
              </w:rPr>
            </w:pPr>
          </w:p>
        </w:tc>
        <w:tc>
          <w:tcPr>
            <w:tcW w:w="4134" w:type="dxa"/>
            <w:tcBorders>
              <w:top w:val="nil"/>
              <w:left w:val="nil"/>
              <w:bottom w:val="nil"/>
              <w:right w:val="nil"/>
            </w:tcBorders>
            <w:vAlign w:val="bottom"/>
          </w:tcPr>
          <w:p>
            <w:pPr>
              <w:jc w:val="right"/>
              <w:textAlignment w:val="bottom"/>
              <w:rPr>
                <w:rFonts w:cs="宋体"/>
                <w:color w:val="000000"/>
                <w:sz w:val="20"/>
                <w:szCs w:val="20"/>
              </w:rPr>
            </w:pPr>
            <w:r>
              <w:rPr>
                <w:rFonts w:cs="宋体"/>
                <w:color w:val="000000"/>
                <w:sz w:val="20"/>
                <w:szCs w:val="20"/>
                <w:lang w:bidi="ar"/>
              </w:rPr>
              <w:t>单位：元</w:t>
            </w:r>
          </w:p>
        </w:tc>
      </w:tr>
      <w:tr>
        <w:tblPrEx>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项  目</w:t>
            </w:r>
          </w:p>
        </w:tc>
        <w:tc>
          <w:tcPr>
            <w:tcW w:w="1017" w:type="dxa"/>
            <w:tcBorders>
              <w:top w:val="single" w:color="000000" w:sz="4" w:space="0"/>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行次</w:t>
            </w:r>
          </w:p>
        </w:tc>
        <w:tc>
          <w:tcPr>
            <w:tcW w:w="4017" w:type="dxa"/>
            <w:tcBorders>
              <w:top w:val="single" w:color="000000" w:sz="4" w:space="0"/>
              <w:left w:val="nil"/>
              <w:bottom w:val="nil"/>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决算数</w:t>
            </w:r>
          </w:p>
        </w:tc>
        <w:tc>
          <w:tcPr>
            <w:tcW w:w="5416" w:type="dxa"/>
            <w:tcBorders>
              <w:top w:val="single" w:color="000000" w:sz="4" w:space="0"/>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项  目</w:t>
            </w:r>
          </w:p>
        </w:tc>
        <w:tc>
          <w:tcPr>
            <w:tcW w:w="1050" w:type="dxa"/>
            <w:tcBorders>
              <w:top w:val="single" w:color="000000" w:sz="4" w:space="0"/>
              <w:left w:val="nil"/>
              <w:bottom w:val="single" w:color="000000" w:sz="4" w:space="0"/>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行次</w:t>
            </w:r>
          </w:p>
        </w:tc>
        <w:tc>
          <w:tcPr>
            <w:tcW w:w="4134" w:type="dxa"/>
            <w:tcBorders>
              <w:top w:val="single" w:color="000000" w:sz="4" w:space="0"/>
              <w:left w:val="nil"/>
              <w:bottom w:val="nil"/>
              <w:right w:val="single" w:color="000000"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决算数</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bCs/>
                <w:color w:val="000000"/>
                <w:sz w:val="22"/>
                <w:szCs w:val="22"/>
                <w:lang w:bidi="ar"/>
              </w:rPr>
              <w:t>一、“三公”经费支出</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w:t>
            </w:r>
          </w:p>
        </w:tc>
        <w:tc>
          <w:tcPr>
            <w:tcW w:w="40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color w:val="000000"/>
                <w:sz w:val="22"/>
                <w:szCs w:val="22"/>
              </w:rPr>
            </w:pPr>
            <w:r>
              <w:rPr>
                <w:rFonts w:cs="宋体"/>
                <w:b/>
                <w:bCs/>
                <w:color w:val="000000"/>
                <w:sz w:val="22"/>
                <w:szCs w:val="22"/>
                <w:lang w:bidi="ar"/>
              </w:rPr>
              <w:t>五、机关运行经费</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25</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622,221.34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（一）支出合计</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143,499.40 </w:t>
            </w: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（一）行政单位</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26</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622,221.34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1．因公出国（境）费</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（二）参照公务员法管理事业单位</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27</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2．公务用车购置及运行维护费</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60,000.00 </w:t>
            </w: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六、资产信息</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28</w:t>
            </w:r>
          </w:p>
        </w:tc>
        <w:tc>
          <w:tcPr>
            <w:tcW w:w="413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（1）公务用车购置费</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5</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（一）车辆数合计（辆）</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29</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（2）公务用车运行维护费</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6</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60,000.00 </w:t>
            </w: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1．副部（省）级及以上领导用车</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30</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3．公务接待费</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7</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83,499.40 </w:t>
            </w: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2．主要领导干部用车</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31</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（1）国内接待费</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8</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83,499.40 </w:t>
            </w: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3．机要通信用车</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32</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其中：外事接待费</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9</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4．应急保障用车</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33</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（2）国（境）外接待费</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10</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5．执法执勤用车</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34</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（二）相关统计数</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11</w:t>
            </w:r>
          </w:p>
        </w:tc>
        <w:tc>
          <w:tcPr>
            <w:tcW w:w="40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6．特种专业技术用车</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35</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1．因公出国（境）团组数（个）</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12</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7．离退休干部用车</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36</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2．因公出国（境）人次数（人）</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13</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8．其他用车</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37</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3．公务用车购置数（辆）</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14</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（二）单价100万元（含）以上设备（不含车辆）</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38</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4．公务用车保有量（辆）</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15</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w:t>
            </w: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七、政府采购支出信息</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39</w:t>
            </w:r>
          </w:p>
        </w:tc>
        <w:tc>
          <w:tcPr>
            <w:tcW w:w="413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5．国内公务接待批次（个）</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16</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237</w:t>
            </w: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（一）政府采购支出合计</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40</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1,563,378.00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其中：外事接待批次（个）</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17</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1．政府采购货物支出</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41</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1,563,378.00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6．国内公务接待人次（人）</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18</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1,726</w:t>
            </w: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2．政府采购工程支出</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42</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其中：外事接待人次（人）</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19</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3．政府采购服务支出</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43</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7．国（境）外公务接待批次（个）</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20</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（二）政府采购授予中小企业合同金额</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44</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1,563,378.00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8．国（境）外公务接待人次（人）</w:t>
            </w:r>
          </w:p>
        </w:tc>
        <w:tc>
          <w:tcPr>
            <w:tcW w:w="1017"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21</w:t>
            </w:r>
          </w:p>
        </w:tc>
        <w:tc>
          <w:tcPr>
            <w:tcW w:w="4017"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vAlign w:val="center"/>
          </w:tcPr>
          <w:p>
            <w:pPr>
              <w:spacing w:line="400" w:lineRule="exact"/>
              <w:textAlignment w:val="center"/>
              <w:rPr>
                <w:rFonts w:cs="宋体"/>
                <w:b/>
                <w:bCs/>
                <w:color w:val="000000"/>
                <w:sz w:val="22"/>
                <w:szCs w:val="22"/>
              </w:rPr>
            </w:pPr>
            <w:r>
              <w:rPr>
                <w:rFonts w:cs="宋体"/>
                <w:b/>
                <w:bCs/>
                <w:color w:val="000000"/>
                <w:sz w:val="22"/>
                <w:szCs w:val="22"/>
                <w:lang w:bidi="ar"/>
              </w:rPr>
              <w:t xml:space="preserve">        其中：授予小微企业合同金额</w:t>
            </w:r>
          </w:p>
        </w:tc>
        <w:tc>
          <w:tcPr>
            <w:tcW w:w="1050" w:type="dxa"/>
            <w:tcBorders>
              <w:top w:val="nil"/>
              <w:left w:val="nil"/>
              <w:bottom w:val="single" w:color="000000"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45</w:t>
            </w: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1,563,378.00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vAlign w:val="center"/>
          </w:tcPr>
          <w:p>
            <w:pPr>
              <w:spacing w:line="400" w:lineRule="exact"/>
              <w:textAlignment w:val="center"/>
              <w:rPr>
                <w:rFonts w:cs="宋体"/>
                <w:color w:val="000000"/>
                <w:sz w:val="22"/>
                <w:szCs w:val="22"/>
              </w:rPr>
            </w:pPr>
            <w:r>
              <w:rPr>
                <w:rFonts w:cs="宋体"/>
                <w:b/>
                <w:bCs/>
                <w:color w:val="000000"/>
                <w:sz w:val="22"/>
                <w:szCs w:val="22"/>
                <w:lang w:bidi="ar"/>
              </w:rPr>
              <w:t>二、会议费</w:t>
            </w:r>
          </w:p>
        </w:tc>
        <w:tc>
          <w:tcPr>
            <w:tcW w:w="1017" w:type="dxa"/>
            <w:tcBorders>
              <w:top w:val="nil"/>
              <w:left w:val="nil"/>
              <w:bottom w:val="single" w:color="auto" w:sz="4" w:space="0"/>
              <w:right w:val="nil"/>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22</w:t>
            </w:r>
          </w:p>
        </w:tc>
        <w:tc>
          <w:tcPr>
            <w:tcW w:w="4017" w:type="dxa"/>
            <w:tcBorders>
              <w:top w:val="single" w:color="000000" w:sz="4" w:space="0"/>
              <w:left w:val="single" w:color="000000" w:sz="4" w:space="0"/>
              <w:bottom w:val="single" w:color="auto" w:sz="4" w:space="0"/>
              <w:right w:val="single" w:color="000000"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3,300.00</w:t>
            </w:r>
          </w:p>
        </w:tc>
        <w:tc>
          <w:tcPr>
            <w:tcW w:w="5416" w:type="dxa"/>
            <w:tcBorders>
              <w:top w:val="nil"/>
              <w:left w:val="nil"/>
              <w:bottom w:val="single" w:color="auto" w:sz="4" w:space="0"/>
              <w:right w:val="single" w:color="000000" w:sz="4" w:space="0"/>
            </w:tcBorders>
            <w:vAlign w:val="center"/>
          </w:tcPr>
          <w:p>
            <w:pPr>
              <w:spacing w:line="400" w:lineRule="exact"/>
              <w:rPr>
                <w:rFonts w:cs="宋体"/>
                <w:color w:val="000000"/>
                <w:sz w:val="22"/>
                <w:szCs w:val="22"/>
              </w:rPr>
            </w:pPr>
          </w:p>
        </w:tc>
        <w:tc>
          <w:tcPr>
            <w:tcW w:w="1050" w:type="dxa"/>
            <w:tcBorders>
              <w:top w:val="nil"/>
              <w:left w:val="nil"/>
              <w:bottom w:val="single" w:color="auto" w:sz="4" w:space="0"/>
              <w:right w:val="nil"/>
            </w:tcBorders>
            <w:vAlign w:val="center"/>
          </w:tcPr>
          <w:p>
            <w:pPr>
              <w:spacing w:line="400" w:lineRule="exact"/>
              <w:jc w:val="center"/>
              <w:textAlignment w:val="center"/>
              <w:rPr>
                <w:rFonts w:cs="宋体"/>
                <w:color w:val="000000"/>
                <w:sz w:val="22"/>
                <w:szCs w:val="22"/>
              </w:rPr>
            </w:pPr>
          </w:p>
        </w:tc>
        <w:tc>
          <w:tcPr>
            <w:tcW w:w="4134" w:type="dxa"/>
            <w:tcBorders>
              <w:top w:val="single" w:color="000000" w:sz="4" w:space="0"/>
              <w:left w:val="single" w:color="000000" w:sz="4" w:space="0"/>
              <w:bottom w:val="single" w:color="000000" w:sz="4" w:space="0"/>
              <w:right w:val="single" w:color="000000" w:sz="4" w:space="0"/>
            </w:tcBorders>
            <w:vAlign w:val="bottom"/>
          </w:tcPr>
          <w:p>
            <w:pPr>
              <w:spacing w:line="400" w:lineRule="exact"/>
              <w:rPr>
                <w:rFonts w:hint="default" w:ascii="Arial" w:hAnsi="Arial" w:cs="Arial"/>
                <w:color w:val="000000"/>
                <w:sz w:val="20"/>
                <w:szCs w:val="20"/>
              </w:rPr>
            </w:pPr>
          </w:p>
        </w:tc>
      </w:tr>
      <w:tr>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vAlign w:val="center"/>
          </w:tcPr>
          <w:p>
            <w:pPr>
              <w:spacing w:line="400" w:lineRule="exact"/>
              <w:textAlignment w:val="center"/>
              <w:rPr>
                <w:rFonts w:cs="宋体"/>
                <w:color w:val="000000"/>
                <w:sz w:val="22"/>
                <w:szCs w:val="22"/>
              </w:rPr>
            </w:pPr>
            <w:r>
              <w:rPr>
                <w:rFonts w:cs="宋体"/>
                <w:b/>
                <w:bCs/>
                <w:color w:val="000000"/>
                <w:sz w:val="22"/>
                <w:szCs w:val="22"/>
                <w:lang w:bidi="ar"/>
              </w:rPr>
              <w:t>三、培训费</w:t>
            </w:r>
          </w:p>
        </w:tc>
        <w:tc>
          <w:tcPr>
            <w:tcW w:w="10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cs="宋体"/>
                <w:b/>
                <w:bCs/>
                <w:color w:val="000000"/>
                <w:sz w:val="22"/>
                <w:szCs w:val="22"/>
              </w:rPr>
            </w:pPr>
            <w:r>
              <w:rPr>
                <w:rFonts w:cs="宋体"/>
                <w:b/>
                <w:bCs/>
                <w:color w:val="000000"/>
                <w:sz w:val="22"/>
                <w:szCs w:val="22"/>
                <w:lang w:bidi="ar"/>
              </w:rPr>
              <w:t>23</w:t>
            </w:r>
          </w:p>
        </w:tc>
        <w:tc>
          <w:tcPr>
            <w:tcW w:w="4017" w:type="dxa"/>
            <w:tcBorders>
              <w:top w:val="single" w:color="auto" w:sz="4" w:space="0"/>
              <w:left w:val="single" w:color="auto" w:sz="4" w:space="0"/>
              <w:bottom w:val="single" w:color="000000" w:sz="4" w:space="0"/>
              <w:right w:val="single" w:color="auto" w:sz="4" w:space="0"/>
            </w:tcBorders>
            <w:vAlign w:val="bottom"/>
          </w:tcPr>
          <w:p>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463,765.00</w:t>
            </w:r>
          </w:p>
        </w:tc>
        <w:tc>
          <w:tcPr>
            <w:tcW w:w="5416"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cs="宋体"/>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vAlign w:val="bottom"/>
          </w:tcPr>
          <w:p>
            <w:pPr>
              <w:spacing w:line="400" w:lineRule="exact"/>
              <w:rPr>
                <w:rFonts w:hint="default" w:ascii="Arial" w:hAnsi="Arial" w:cs="Arial"/>
                <w:color w:val="000000"/>
                <w:sz w:val="20"/>
                <w:szCs w:val="20"/>
              </w:rPr>
            </w:pPr>
          </w:p>
        </w:tc>
      </w:tr>
      <w:tr>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vAlign w:val="center"/>
          </w:tcPr>
          <w:p>
            <w:pPr>
              <w:spacing w:line="400" w:lineRule="exact"/>
              <w:textAlignment w:val="center"/>
              <w:rPr>
                <w:rFonts w:cs="宋体"/>
                <w:b/>
                <w:color w:val="000000"/>
                <w:kern w:val="2"/>
                <w:sz w:val="22"/>
                <w:szCs w:val="22"/>
              </w:rPr>
            </w:pPr>
            <w:r>
              <w:rPr>
                <w:rFonts w:cs="宋体"/>
                <w:b/>
                <w:color w:val="000000"/>
                <w:sz w:val="22"/>
                <w:szCs w:val="22"/>
                <w:lang w:bidi="ar"/>
              </w:rPr>
              <w:t>四、差旅费</w:t>
            </w:r>
          </w:p>
        </w:tc>
        <w:tc>
          <w:tcPr>
            <w:tcW w:w="10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cs="宋体"/>
                <w:b/>
                <w:bCs/>
                <w:color w:val="000000"/>
                <w:kern w:val="2"/>
                <w:sz w:val="22"/>
                <w:szCs w:val="22"/>
              </w:rPr>
            </w:pPr>
            <w:r>
              <w:rPr>
                <w:rFonts w:cs="宋体"/>
                <w:b/>
                <w:bCs/>
                <w:color w:val="000000"/>
                <w:sz w:val="22"/>
                <w:szCs w:val="22"/>
                <w:lang w:bidi="ar"/>
              </w:rPr>
              <w:t>24</w:t>
            </w:r>
          </w:p>
        </w:tc>
        <w:tc>
          <w:tcPr>
            <w:tcW w:w="4017" w:type="dxa"/>
            <w:tcBorders>
              <w:top w:val="single" w:color="000000" w:sz="4" w:space="0"/>
              <w:left w:val="single" w:color="auto" w:sz="4" w:space="0"/>
              <w:bottom w:val="single" w:color="auto" w:sz="4" w:space="0"/>
              <w:right w:val="single" w:color="auto" w:sz="4" w:space="0"/>
            </w:tcBorders>
            <w:vAlign w:val="bottom"/>
          </w:tcPr>
          <w:p>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42,232.22</w:t>
            </w:r>
          </w:p>
        </w:tc>
        <w:tc>
          <w:tcPr>
            <w:tcW w:w="5416"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cs="宋体"/>
                <w:color w:val="000000"/>
                <w:sz w:val="22"/>
                <w:szCs w:val="22"/>
                <w:lang w:bidi="ar"/>
              </w:rPr>
            </w:pPr>
          </w:p>
        </w:tc>
        <w:tc>
          <w:tcPr>
            <w:tcW w:w="4134" w:type="dxa"/>
            <w:tcBorders>
              <w:top w:val="single" w:color="000000" w:sz="4" w:space="0"/>
              <w:left w:val="single" w:color="auto" w:sz="4" w:space="0"/>
              <w:bottom w:val="single" w:color="000000" w:sz="4" w:space="0"/>
              <w:right w:val="single" w:color="000000" w:sz="4" w:space="0"/>
            </w:tcBorders>
            <w:vAlign w:val="bottom"/>
          </w:tcPr>
          <w:p>
            <w:pPr>
              <w:spacing w:line="400" w:lineRule="exact"/>
              <w:rPr>
                <w:rFonts w:hint="default" w:ascii="Arial" w:hAnsi="Arial" w:cs="Arial"/>
                <w:color w:val="000000"/>
                <w:sz w:val="20"/>
                <w:szCs w:val="20"/>
              </w:rPr>
            </w:pPr>
          </w:p>
        </w:tc>
      </w:tr>
    </w:tbl>
    <w:p>
      <w:pPr>
        <w:rPr>
          <w:rFonts w:cs="宋体"/>
          <w:color w:val="000000"/>
          <w:sz w:val="21"/>
          <w:szCs w:val="21"/>
          <w:lang w:bidi="ar"/>
        </w:rPr>
      </w:pPr>
    </w:p>
    <w:p>
      <w:pPr>
        <w:rPr>
          <w:rFonts w:cs="宋体"/>
          <w:color w:val="000000"/>
          <w:sz w:val="21"/>
          <w:szCs w:val="21"/>
          <w:lang w:bidi="ar"/>
        </w:rPr>
      </w:pPr>
    </w:p>
    <w:p>
      <w:pPr>
        <w:rPr>
          <w:rFonts w:cs="宋体"/>
          <w:color w:val="000000"/>
          <w:sz w:val="21"/>
          <w:szCs w:val="21"/>
          <w:lang w:bidi="ar"/>
        </w:rPr>
      </w:pPr>
    </w:p>
    <w:p>
      <w:pPr>
        <w:rPr>
          <w:rFonts w:cs="宋体"/>
          <w:color w:val="000000"/>
          <w:sz w:val="21"/>
          <w:szCs w:val="21"/>
          <w:lang w:bidi="ar"/>
        </w:rPr>
      </w:pPr>
    </w:p>
    <w:p>
      <w:pPr>
        <w:rPr>
          <w:rFonts w:cs="宋体"/>
          <w:color w:val="000000"/>
          <w:sz w:val="21"/>
          <w:szCs w:val="21"/>
          <w:lang w:bidi="ar"/>
        </w:rPr>
      </w:pPr>
    </w:p>
    <w:p>
      <w:pPr>
        <w:rPr>
          <w:rFonts w:cs="宋体"/>
          <w:color w:val="000000"/>
          <w:sz w:val="21"/>
          <w:szCs w:val="21"/>
          <w:lang w:bidi="ar"/>
        </w:rPr>
      </w:pPr>
    </w:p>
    <w:p>
      <w:pPr>
        <w:rPr>
          <w:rFonts w:cs="宋体"/>
          <w:color w:val="000000"/>
          <w:sz w:val="21"/>
          <w:szCs w:val="21"/>
          <w:lang w:bidi="ar"/>
        </w:rPr>
      </w:pPr>
    </w:p>
    <w:p>
      <w:pPr>
        <w:rPr>
          <w:rFonts w:cs="宋体"/>
          <w:color w:val="000000"/>
          <w:sz w:val="21"/>
          <w:szCs w:val="21"/>
          <w:lang w:bidi="ar"/>
        </w:rPr>
      </w:pPr>
    </w:p>
    <w:p>
      <w:pPr>
        <w:rPr>
          <w:rFonts w:cs="宋体"/>
          <w:color w:val="000000"/>
          <w:sz w:val="21"/>
          <w:szCs w:val="21"/>
          <w:lang w:bidi="ar"/>
        </w:rPr>
      </w:pPr>
    </w:p>
    <w:p>
      <w:pPr>
        <w:pStyle w:val="11"/>
        <w:autoSpaceDE w:val="0"/>
        <w:ind w:firstLine="0" w:firstLineChars="0"/>
        <w:rPr>
          <w:rFonts w:hint="eastAsia"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08BAA"/>
    <w:multiLevelType w:val="singleLevel"/>
    <w:tmpl w:val="04B08BAA"/>
    <w:lvl w:ilvl="0" w:tentative="0">
      <w:start w:val="1"/>
      <w:numFmt w:val="decimal"/>
      <w:suff w:val="nothing"/>
      <w:lvlText w:val="（%1）"/>
      <w:lvlJc w:val="left"/>
    </w:lvl>
  </w:abstractNum>
  <w:abstractNum w:abstractNumId="1">
    <w:nsid w:val="0D411725"/>
    <w:multiLevelType w:val="multilevel"/>
    <w:tmpl w:val="0D411725"/>
    <w:lvl w:ilvl="0" w:tentative="0">
      <w:start w:val="5"/>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5C14AA4"/>
    <w:multiLevelType w:val="multilevel"/>
    <w:tmpl w:val="15C14AA4"/>
    <w:lvl w:ilvl="0" w:tentative="0">
      <w:start w:val="1"/>
      <w:numFmt w:val="decimal"/>
      <w:suff w:val="nothing"/>
      <w:lvlText w:val="（%1）"/>
      <w:lvlJc w:val="left"/>
      <w:pPr>
        <w:ind w:left="1149"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75AC18DF"/>
    <w:multiLevelType w:val="multilevel"/>
    <w:tmpl w:val="75AC18DF"/>
    <w:lvl w:ilvl="0" w:tentative="0">
      <w:start w:val="1"/>
      <w:numFmt w:val="decimal"/>
      <w:suff w:val="nothing"/>
      <w:lvlText w:val="（%1）"/>
      <w:lvlJc w:val="left"/>
      <w:pPr>
        <w:ind w:left="1149"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4">
    <w:nsid w:val="75EB7B36"/>
    <w:multiLevelType w:val="multilevel"/>
    <w:tmpl w:val="75EB7B36"/>
    <w:lvl w:ilvl="0" w:tentative="0">
      <w:start w:val="1"/>
      <w:numFmt w:val="decimal"/>
      <w:suff w:val="nothing"/>
      <w:lvlText w:val="（%1）"/>
      <w:lvlJc w:val="left"/>
      <w:pPr>
        <w:ind w:left="1149" w:hanging="440"/>
      </w:pPr>
      <w:rPr>
        <w:rFonts w:hint="eastAsia"/>
      </w:rPr>
    </w:lvl>
    <w:lvl w:ilvl="1" w:tentative="0">
      <w:start w:val="1"/>
      <w:numFmt w:val="lowerLetter"/>
      <w:lvlText w:val="%2)"/>
      <w:lvlJc w:val="left"/>
      <w:pPr>
        <w:ind w:left="1589" w:hanging="440"/>
      </w:pPr>
    </w:lvl>
    <w:lvl w:ilvl="2" w:tentative="0">
      <w:start w:val="1"/>
      <w:numFmt w:val="lowerRoman"/>
      <w:lvlText w:val="%3."/>
      <w:lvlJc w:val="right"/>
      <w:pPr>
        <w:ind w:left="2029" w:hanging="440"/>
      </w:pPr>
    </w:lvl>
    <w:lvl w:ilvl="3" w:tentative="0">
      <w:start w:val="1"/>
      <w:numFmt w:val="decimal"/>
      <w:lvlText w:val="%4."/>
      <w:lvlJc w:val="left"/>
      <w:pPr>
        <w:ind w:left="2469" w:hanging="440"/>
      </w:pPr>
    </w:lvl>
    <w:lvl w:ilvl="4" w:tentative="0">
      <w:start w:val="1"/>
      <w:numFmt w:val="lowerLetter"/>
      <w:lvlText w:val="%5)"/>
      <w:lvlJc w:val="left"/>
      <w:pPr>
        <w:ind w:left="2909" w:hanging="440"/>
      </w:pPr>
    </w:lvl>
    <w:lvl w:ilvl="5" w:tentative="0">
      <w:start w:val="1"/>
      <w:numFmt w:val="lowerRoman"/>
      <w:lvlText w:val="%6."/>
      <w:lvlJc w:val="right"/>
      <w:pPr>
        <w:ind w:left="3349" w:hanging="440"/>
      </w:pPr>
    </w:lvl>
    <w:lvl w:ilvl="6" w:tentative="0">
      <w:start w:val="1"/>
      <w:numFmt w:val="decimal"/>
      <w:lvlText w:val="%7."/>
      <w:lvlJc w:val="left"/>
      <w:pPr>
        <w:ind w:left="3789" w:hanging="440"/>
      </w:pPr>
    </w:lvl>
    <w:lvl w:ilvl="7" w:tentative="0">
      <w:start w:val="1"/>
      <w:numFmt w:val="lowerLetter"/>
      <w:lvlText w:val="%8)"/>
      <w:lvlJc w:val="left"/>
      <w:pPr>
        <w:ind w:left="4229" w:hanging="440"/>
      </w:pPr>
    </w:lvl>
    <w:lvl w:ilvl="8" w:tentative="0">
      <w:start w:val="1"/>
      <w:numFmt w:val="lowerRoman"/>
      <w:lvlText w:val="%9."/>
      <w:lvlJc w:val="right"/>
      <w:pPr>
        <w:ind w:left="4669" w:hanging="44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zMDk0ZjQ4NTdkODYwYWZlZjU2MzI4NmNlZTA5MTQifQ=="/>
  </w:docVars>
  <w:rsids>
    <w:rsidRoot w:val="00B03CCD"/>
    <w:rsid w:val="00007BD1"/>
    <w:rsid w:val="000366E1"/>
    <w:rsid w:val="000C7652"/>
    <w:rsid w:val="000D7BCC"/>
    <w:rsid w:val="00191F88"/>
    <w:rsid w:val="001E0884"/>
    <w:rsid w:val="002150CE"/>
    <w:rsid w:val="00240A50"/>
    <w:rsid w:val="00331D09"/>
    <w:rsid w:val="003A1F12"/>
    <w:rsid w:val="003A52E2"/>
    <w:rsid w:val="003C20E1"/>
    <w:rsid w:val="00424896"/>
    <w:rsid w:val="004500C7"/>
    <w:rsid w:val="00550ABE"/>
    <w:rsid w:val="005A1DC8"/>
    <w:rsid w:val="005C0A02"/>
    <w:rsid w:val="005C5E96"/>
    <w:rsid w:val="005C711F"/>
    <w:rsid w:val="00656733"/>
    <w:rsid w:val="00671CED"/>
    <w:rsid w:val="006837FB"/>
    <w:rsid w:val="006B2ACA"/>
    <w:rsid w:val="006B7258"/>
    <w:rsid w:val="006F6273"/>
    <w:rsid w:val="007A68CD"/>
    <w:rsid w:val="007B419D"/>
    <w:rsid w:val="007E688F"/>
    <w:rsid w:val="007F0F6D"/>
    <w:rsid w:val="008076EA"/>
    <w:rsid w:val="0088205D"/>
    <w:rsid w:val="00926342"/>
    <w:rsid w:val="009B67B8"/>
    <w:rsid w:val="009C1855"/>
    <w:rsid w:val="00A10F60"/>
    <w:rsid w:val="00A37170"/>
    <w:rsid w:val="00A66EFE"/>
    <w:rsid w:val="00A90AD4"/>
    <w:rsid w:val="00B03CCD"/>
    <w:rsid w:val="00B25B04"/>
    <w:rsid w:val="00BB3633"/>
    <w:rsid w:val="00C07004"/>
    <w:rsid w:val="00C80407"/>
    <w:rsid w:val="00CE265D"/>
    <w:rsid w:val="00D526D7"/>
    <w:rsid w:val="00D86B3E"/>
    <w:rsid w:val="00DB3BA0"/>
    <w:rsid w:val="00DE7820"/>
    <w:rsid w:val="00E01394"/>
    <w:rsid w:val="00F1608E"/>
    <w:rsid w:val="00FC7CF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2DF33AF"/>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7088A"/>
    <w:rsid w:val="2AFA2E94"/>
    <w:rsid w:val="2B167953"/>
    <w:rsid w:val="2B200583"/>
    <w:rsid w:val="2B8209DE"/>
    <w:rsid w:val="2C6762A3"/>
    <w:rsid w:val="2D5F4C37"/>
    <w:rsid w:val="2FE029D7"/>
    <w:rsid w:val="2FF06E00"/>
    <w:rsid w:val="315F0B22"/>
    <w:rsid w:val="31BE24D6"/>
    <w:rsid w:val="31D84415"/>
    <w:rsid w:val="32285F6F"/>
    <w:rsid w:val="32770556"/>
    <w:rsid w:val="329C0913"/>
    <w:rsid w:val="32F11A70"/>
    <w:rsid w:val="3337290D"/>
    <w:rsid w:val="352930DB"/>
    <w:rsid w:val="35573069"/>
    <w:rsid w:val="358C217E"/>
    <w:rsid w:val="359E7284"/>
    <w:rsid w:val="359F188C"/>
    <w:rsid w:val="365B1C8B"/>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3D64C3D"/>
    <w:rsid w:val="440950D1"/>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0C1524C"/>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6643AE"/>
    <w:rsid w:val="71C34D91"/>
    <w:rsid w:val="71ED38AA"/>
    <w:rsid w:val="72811CA9"/>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1B3D70"/>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beforeLines="0" w:after="120" w:afterLines="0"/>
      <w:jc w:val="left"/>
    </w:pPr>
    <w:rPr>
      <w:rFonts w:hint="eastAsia" w:ascii="宋体" w:hAnsi="宋体" w:cs="宋体"/>
      <w:kern w:val="0"/>
      <w:sz w:val="24"/>
      <w:szCs w:val="24"/>
      <w:lang w:val="en-US" w:eastAsia="zh-CN" w:bidi="ar"/>
    </w:rPr>
  </w:style>
  <w:style w:type="paragraph" w:customStyle="1" w:styleId="3">
    <w:name w:val="默认"/>
    <w:basedOn w:val="1"/>
    <w:unhideWhenUsed/>
    <w:uiPriority w:val="0"/>
    <w:rPr>
      <w:rFonts w:hint="default" w:ascii="Helvetica" w:hAnsi="Helvetica"/>
      <w:color w:val="000000"/>
      <w:sz w:val="22"/>
      <w:szCs w:val="22"/>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styleId="12">
    <w:name w:val="List Paragraph"/>
    <w:basedOn w:val="1"/>
    <w:unhideWhenUsed/>
    <w:qFormat/>
    <w:uiPriority w:val="99"/>
    <w:pPr>
      <w:ind w:firstLine="420" w:firstLineChars="200"/>
    </w:p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18786</Words>
  <Characters>34470</Characters>
  <Lines>4634</Lines>
  <Paragraphs>4387</Paragraphs>
  <TotalTime>0</TotalTime>
  <ScaleCrop>false</ScaleCrop>
  <LinksUpToDate>false</LinksUpToDate>
  <CharactersWithSpaces>37489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2025-10-09T08:41:00Z</dcterms:created>
  <dc:creator>Administrator</dc:creator>
  <cp:lastModifiedBy>Administrator</cp:lastModifiedBy>
  <dcterms:modified xsi:type="dcterms:W3CDTF">2025-10-14T02:37:42Z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1A4B9D78B57C4F95A56C4F7A2F841A76</vt:lpwstr>
  </property>
</Properties>
</file>