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石柱土家族自治县人民政府南宾街道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44"/>
          <w:szCs w:val="44"/>
        </w:rPr>
        <w:t>综合行政执法大队</w:t>
      </w:r>
      <w:r>
        <w:rPr>
          <w:rFonts w:hint="default" w:ascii="Times New Roman" w:hAnsi="Times New Roman" w:eastAsia="方正小标宋_GBK" w:cs="Times New Roman"/>
          <w:b w:val="0"/>
          <w:bCs w:val="0"/>
          <w:sz w:val="44"/>
          <w:szCs w:val="44"/>
          <w:shd w:val="clear" w:color="auto" w:fill="FFFFFF"/>
        </w:rPr>
        <w:t>202</w:t>
      </w:r>
      <w:r>
        <w:rPr>
          <w:rFonts w:hint="default" w:ascii="Times New Roman" w:hAnsi="Times New Roman" w:eastAsia="方正小标宋_GBK" w:cs="Times New Roman"/>
          <w:b w:val="0"/>
          <w:bCs w:val="0"/>
          <w:sz w:val="44"/>
          <w:szCs w:val="44"/>
          <w:shd w:val="clear" w:color="auto" w:fill="FFFFFF"/>
          <w:lang w:val="en-US" w:eastAsia="zh-CN"/>
        </w:rPr>
        <w:t>4</w:t>
      </w:r>
      <w:r>
        <w:rPr>
          <w:rFonts w:hint="default" w:ascii="Times New Roman" w:hAnsi="Times New Roman" w:eastAsia="方正小标宋_GBK" w:cs="Times New Roman"/>
          <w:b w:val="0"/>
          <w:bCs w:val="0"/>
          <w:sz w:val="44"/>
          <w:szCs w:val="44"/>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keepNext w:val="0"/>
        <w:keepLines w:val="0"/>
        <w:pageBreakBefore w:val="0"/>
        <w:tabs>
          <w:tab w:val="left" w:pos="5340"/>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宗旨：开展综合行政执法。</w:t>
      </w:r>
    </w:p>
    <w:p>
      <w:pPr>
        <w:keepNext w:val="0"/>
        <w:keepLines w:val="0"/>
        <w:pageBreakBefore w:val="0"/>
        <w:tabs>
          <w:tab w:val="left" w:pos="5340"/>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主要职责：贯彻落实综合行政执法相关法律法规及政策。根据法律法规规定、市政府赋权，以街道办事处名义统一行使权以及与其行政处罚权有关的行政检查、行政强制措施。根据县级相关</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委托，以委托行政机关名义实施委托范围内的行政处罚权。负责联合县级有关行政主管</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开展行政执法工作。负责依据有关法律、法规和规章，参与起草本辖区实行综合行政执法领域相关方面的工作计划，并具体实施。负责镇党委、人民政府交办的其他工作任务。</w:t>
      </w:r>
    </w:p>
    <w:p>
      <w:pPr>
        <w:keepNext w:val="0"/>
        <w:keepLines w:val="0"/>
        <w:pageBreakBefore w:val="0"/>
        <w:tabs>
          <w:tab w:val="left" w:pos="5340"/>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sz w:val="32"/>
          <w:szCs w:val="32"/>
        </w:rPr>
        <w:t>除法律法规规定外，市政府赋权及县级相关</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 xml:space="preserve">委托的行政处罚权以赋权文件、委托协议为准。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kern w:val="0"/>
          <w:sz w:val="32"/>
          <w:szCs w:val="32"/>
        </w:rPr>
        <w:t>设置</w:t>
      </w:r>
      <w:r>
        <w:rPr>
          <w:rFonts w:hint="default" w:ascii="Times New Roman" w:hAnsi="Times New Roman" w:eastAsia="方正仿宋_GBK" w:cs="Times New Roman"/>
          <w:b w:val="0"/>
          <w:bCs w:val="0"/>
          <w:color w:val="auto"/>
          <w:kern w:val="2"/>
          <w:sz w:val="32"/>
          <w:szCs w:val="32"/>
          <w:lang w:val="en-US" w:eastAsia="zh-CN"/>
        </w:rPr>
        <w:t>综合行政执法大队</w:t>
      </w:r>
      <w:r>
        <w:rPr>
          <w:rFonts w:hint="default" w:ascii="Times New Roman" w:hAnsi="Times New Roman" w:eastAsia="方正仿宋_GBK" w:cs="Times New Roman"/>
          <w:b w:val="0"/>
          <w:bCs w:val="0"/>
          <w:kern w:val="0"/>
          <w:sz w:val="32"/>
          <w:szCs w:val="32"/>
        </w:rPr>
        <w:t>1个财政全额拨款公益一类副科级事业单位</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color w:val="auto"/>
          <w:kern w:val="2"/>
          <w:sz w:val="32"/>
          <w:szCs w:val="32"/>
          <w:lang w:val="en-US" w:eastAsia="zh-CN"/>
        </w:rPr>
        <w:t>人员编制15人，实有11人，上年实有人数9人，人员因调入2人，今年实有人数增加2人。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宋体"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均为219.13万元。收、支与2023年度相比，增加39.67万元，增长22.1%，主要原因是2024年本单位人员调入2人，人员经费与公用经费增加，本年</w:t>
      </w:r>
      <w:r>
        <w:rPr>
          <w:rFonts w:hint="default" w:ascii="Times New Roman" w:hAnsi="Times New Roman" w:eastAsia="方正仿宋_GBK" w:cs="Times New Roman"/>
          <w:b w:val="0"/>
          <w:bCs w:val="0"/>
          <w:sz w:val="32"/>
          <w:szCs w:val="32"/>
          <w:shd w:val="clear" w:color="auto" w:fill="FFFFFF"/>
        </w:rPr>
        <w:t>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2024年度收入合计219.13万元，与2023年度相比，增加39.67万元，增长22.1%，主要原因是</w:t>
      </w:r>
      <w:r>
        <w:rPr>
          <w:rFonts w:hint="default" w:ascii="Times New Roman" w:hAnsi="Times New Roman" w:eastAsia="方正仿宋_GBK" w:cs="Times New Roman"/>
          <w:b w:val="0"/>
          <w:bCs w:val="0"/>
          <w:sz w:val="32"/>
          <w:szCs w:val="32"/>
          <w:shd w:val="clear" w:color="auto" w:fill="FFFFFF"/>
          <w:lang w:eastAsia="zh-CN"/>
        </w:rPr>
        <w:t>2024年本单位人员调入2人，人员经费与公用经费增加，本年收入</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其中：财政拨款收入219.13万元，占100.0%；事业收入0.00万元，占0.0%；经营收入0.00万元，占0.0%；其他收入0.00万元，占0.0%。此外，使用非财政拨款结余（含专用结余）0.00万元，年初结转和结余0.00万元。</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2024年度支出合计219.13万元，与2023年度相比，增加39.67万元，增长22.1%，主要原因是</w:t>
      </w:r>
      <w:r>
        <w:rPr>
          <w:rFonts w:hint="default" w:ascii="Times New Roman" w:hAnsi="Times New Roman" w:eastAsia="方正仿宋_GBK" w:cs="Times New Roman"/>
          <w:b w:val="0"/>
          <w:bCs w:val="0"/>
          <w:sz w:val="32"/>
          <w:szCs w:val="32"/>
          <w:shd w:val="clear" w:color="auto" w:fill="FFFFFF"/>
          <w:lang w:eastAsia="zh-CN"/>
        </w:rPr>
        <w:t>2024年本单位人员调入2人，人员经费与公用经费增加，本年支出</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其中：基本支出219.13万元，占100.0%；项目支出0.00万元，占0.0%；经营支出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2024年度财政拨款收、支总计均为219.13万元。与2023年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相比，财政拨款收、支总计各增加39.67万元，增长22.1%。主要原因</w:t>
      </w:r>
      <w:r>
        <w:rPr>
          <w:rFonts w:hint="default" w:ascii="Times New Roman" w:hAnsi="Times New Roman" w:eastAsia="方正仿宋_GBK" w:cs="Times New Roman"/>
          <w:b w:val="0"/>
          <w:bCs w:val="0"/>
          <w:sz w:val="32"/>
          <w:szCs w:val="32"/>
          <w:shd w:val="clear" w:color="auto" w:fill="FFFFFF"/>
          <w:lang w:eastAsia="zh-CN"/>
        </w:rPr>
        <w:t>2024年本单位人员调入2人，人员经费与公用经费增加，本年</w:t>
      </w:r>
      <w:r>
        <w:rPr>
          <w:rFonts w:hint="default" w:ascii="Times New Roman" w:hAnsi="Times New Roman" w:eastAsia="方正仿宋_GBK" w:cs="Times New Roman"/>
          <w:b w:val="0"/>
          <w:bCs w:val="0"/>
          <w:sz w:val="32"/>
          <w:szCs w:val="32"/>
          <w:shd w:val="clear" w:color="auto" w:fill="FFFFFF"/>
        </w:rPr>
        <w:t>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2024年度一般公共预算财政拨款收入219.13万元，与2023年度相比，增加39.67万元，增长22.1%。主要原因是</w:t>
      </w:r>
      <w:r>
        <w:rPr>
          <w:rFonts w:hint="default" w:ascii="Times New Roman" w:hAnsi="Times New Roman" w:eastAsia="方正仿宋_GBK" w:cs="Times New Roman"/>
          <w:b w:val="0"/>
          <w:bCs w:val="0"/>
          <w:sz w:val="32"/>
          <w:szCs w:val="32"/>
          <w:shd w:val="clear" w:color="auto" w:fill="FFFFFF"/>
          <w:lang w:eastAsia="zh-CN"/>
        </w:rPr>
        <w:t>2024年本单位人员调入2人，人员经费与公用经费增加，本年收入</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较年初预算数增加53.45万元，增长32.3%。主要原因是</w:t>
      </w:r>
      <w:r>
        <w:rPr>
          <w:rFonts w:hint="default" w:ascii="Times New Roman" w:hAnsi="Times New Roman" w:eastAsia="方正仿宋_GBK" w:cs="Times New Roman"/>
          <w:b w:val="0"/>
          <w:bCs w:val="0"/>
          <w:sz w:val="32"/>
          <w:szCs w:val="32"/>
          <w:shd w:val="clear" w:color="auto" w:fill="FFFFFF"/>
          <w:lang w:eastAsia="zh-CN"/>
        </w:rPr>
        <w:t>本单位人员调入2人，</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年中追加超额绩效工资</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、其他津补贴等收入。</w:t>
      </w:r>
      <w:r>
        <w:rPr>
          <w:rFonts w:hint="default" w:ascii="Times New Roman" w:hAnsi="Times New Roman" w:eastAsia="方正仿宋_GBK" w:cs="Times New Roman"/>
          <w:b w:val="0"/>
          <w:bCs w:val="0"/>
          <w:sz w:val="32"/>
          <w:szCs w:val="32"/>
          <w:shd w:val="clear" w:color="auto" w:fill="FFFFFF"/>
        </w:rPr>
        <w:t>此外，年初财政拨款结转和结余0.00万元。</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2024年度一般公共预算财政拨款支出219.13万元，与2023年度相比，增加39.67万元，增长22.1%。主要原因是</w:t>
      </w:r>
      <w:r>
        <w:rPr>
          <w:rFonts w:hint="default" w:ascii="Times New Roman" w:hAnsi="Times New Roman" w:eastAsia="方正仿宋_GBK" w:cs="Times New Roman"/>
          <w:b w:val="0"/>
          <w:bCs w:val="0"/>
          <w:sz w:val="32"/>
          <w:szCs w:val="32"/>
          <w:shd w:val="clear" w:color="auto" w:fill="FFFFFF"/>
          <w:lang w:eastAsia="zh-CN"/>
        </w:rPr>
        <w:t>2024年本单位人员调入2人，人员经费与公用经费增加，本年支出</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较年初预算数增加53.45万元，增长32.3%。主要原因是</w:t>
      </w:r>
      <w:r>
        <w:rPr>
          <w:rFonts w:hint="default" w:ascii="Times New Roman" w:hAnsi="Times New Roman" w:eastAsia="方正仿宋_GBK" w:cs="Times New Roman"/>
          <w:b w:val="0"/>
          <w:bCs w:val="0"/>
          <w:sz w:val="32"/>
          <w:szCs w:val="32"/>
          <w:shd w:val="clear" w:color="auto" w:fill="FFFFFF"/>
          <w:lang w:eastAsia="zh-CN"/>
        </w:rPr>
        <w:t>本单位人员调入2人，</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年中追加超额绩效工资</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、其他津补贴等支出。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（1）一般公共服务支出176.09万元，占80.4%，较年初预算数增加43.30万元，增长32.6%，主要原因是</w:t>
      </w:r>
      <w:r>
        <w:rPr>
          <w:rFonts w:hint="default" w:ascii="Times New Roman" w:hAnsi="Times New Roman" w:eastAsia="方正仿宋_GBK" w:cs="Times New Roman"/>
          <w:b w:val="0"/>
          <w:bCs w:val="0"/>
          <w:sz w:val="32"/>
          <w:szCs w:val="32"/>
          <w:shd w:val="clear" w:color="auto" w:fill="FFFFFF"/>
          <w:lang w:eastAsia="zh-CN"/>
        </w:rPr>
        <w:t>本单位人员调入2人</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年中追加超额绩效工资</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、其他津补贴、基本工资(事业统发)等。</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就业支出26.50万元，占12.1%，较年初预算数增加10.15万元，增长62.1%，主要原因是</w:t>
      </w:r>
      <w:r>
        <w:rPr>
          <w:rFonts w:hint="default" w:ascii="Times New Roman" w:hAnsi="Times New Roman" w:eastAsia="方正仿宋_GBK" w:cs="Times New Roman"/>
          <w:b w:val="0"/>
          <w:bCs w:val="0"/>
          <w:sz w:val="32"/>
          <w:szCs w:val="32"/>
          <w:shd w:val="clear" w:color="auto" w:fill="FFFFFF"/>
          <w:lang w:eastAsia="zh-CN"/>
        </w:rPr>
        <w:t>本单位人员调入2人，</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w:t>
      </w:r>
      <w:r>
        <w:rPr>
          <w:rFonts w:hint="default" w:ascii="Times New Roman" w:hAnsi="Times New Roman" w:eastAsia="方正仿宋_GBK" w:cs="Times New Roman"/>
          <w:b w:val="0"/>
          <w:bCs w:val="0"/>
          <w:sz w:val="32"/>
          <w:szCs w:val="32"/>
          <w:shd w:val="clear" w:color="auto" w:fill="FFFFFF"/>
          <w:lang w:eastAsia="zh-CN"/>
        </w:rPr>
        <w:t>基本养老保险、职业年金。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）卫生健康支出8.36万元，占3.8%，较年初预算数无增减</w:t>
      </w:r>
      <w:r>
        <w:rPr>
          <w:rFonts w:hint="default" w:ascii="Times New Roman" w:hAnsi="Times New Roman" w:eastAsia="方正仿宋_GBK" w:cs="Times New Roman"/>
          <w:b w:val="0"/>
          <w:bCs w:val="0"/>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8.18万元，占3.7%，较年初预算数无增减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2024年度一般公共财政拨款基本支出219.13万元。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人员经费187.77万元，与2023年度相比，增加39.64万元，增长26.8%，主要原因是</w:t>
      </w:r>
      <w:r>
        <w:rPr>
          <w:rFonts w:hint="default" w:ascii="Times New Roman" w:hAnsi="Times New Roman" w:eastAsia="方正仿宋_GBK" w:cs="Times New Roman"/>
          <w:b w:val="0"/>
          <w:bCs w:val="0"/>
          <w:sz w:val="32"/>
          <w:szCs w:val="32"/>
          <w:shd w:val="clear" w:color="auto" w:fill="FFFFFF"/>
          <w:lang w:eastAsia="zh-CN"/>
        </w:rPr>
        <w:t>本单位人员调入2人，</w:t>
      </w:r>
      <w:r>
        <w:rPr>
          <w:rFonts w:hint="default" w:ascii="Times New Roman" w:hAnsi="Times New Roman" w:eastAsia="方正仿宋_GBK" w:cs="Times New Roman"/>
          <w:b w:val="0"/>
          <w:bCs w:val="0"/>
          <w:sz w:val="32"/>
          <w:szCs w:val="32"/>
          <w:shd w:val="clear" w:color="auto" w:fill="FFFFFF"/>
        </w:rPr>
        <w:t>人员经费</w:t>
      </w:r>
      <w:r>
        <w:rPr>
          <w:rFonts w:hint="default" w:ascii="Times New Roman" w:hAnsi="Times New Roman" w:eastAsia="方正仿宋_GBK" w:cs="Times New Roman"/>
          <w:b w:val="0"/>
          <w:bCs w:val="0"/>
          <w:sz w:val="32"/>
          <w:szCs w:val="32"/>
          <w:shd w:val="clear" w:color="auto" w:fill="FFFFFF"/>
          <w:lang w:eastAsia="zh-CN"/>
        </w:rPr>
        <w:t>增加。</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i w:val="0"/>
          <w:iCs w:val="0"/>
          <w:caps w:val="0"/>
          <w:color w:val="333333"/>
          <w:spacing w:val="0"/>
          <w:sz w:val="32"/>
          <w:szCs w:val="32"/>
          <w:shd w:val="clear" w:color="auto" w:fill="FFFFFF"/>
        </w:rPr>
        <w:t>基本工资、津补贴、奖金、绩效、社会保障缴费等</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公用经费31.36万元，与2023年度相比，增加0.03万元，增长0.1%，主要原因是</w:t>
      </w:r>
      <w:r>
        <w:rPr>
          <w:rFonts w:hint="default" w:ascii="Times New Roman" w:hAnsi="Times New Roman" w:eastAsia="方正仿宋_GBK" w:cs="Times New Roman"/>
          <w:b w:val="0"/>
          <w:bCs w:val="0"/>
          <w:sz w:val="32"/>
          <w:szCs w:val="32"/>
          <w:shd w:val="clear" w:color="auto" w:fill="FFFFFF"/>
          <w:lang w:eastAsia="zh-CN"/>
        </w:rPr>
        <w:t>人员职级晋升，工资调标，工会经费增加。</w:t>
      </w:r>
      <w:r>
        <w:rPr>
          <w:rFonts w:hint="default" w:ascii="Times New Roman" w:hAnsi="Times New Roman" w:eastAsia="方正仿宋_GBK" w:cs="Times New Roman"/>
          <w:b w:val="0"/>
          <w:bCs w:val="0"/>
          <w:sz w:val="32"/>
          <w:szCs w:val="32"/>
          <w:shd w:val="clear" w:color="auto" w:fill="FFFFFF"/>
        </w:rPr>
        <w:t>公用经费用途主要包括办公费、印刷费、咨询费、劳务费、差旅费、邮电</w:t>
      </w:r>
      <w:r>
        <w:rPr>
          <w:rFonts w:hint="default" w:ascii="Times New Roman" w:hAnsi="Times New Roman" w:eastAsia="方正仿宋_GBK" w:cs="Times New Roman"/>
          <w:b w:val="0"/>
          <w:bCs w:val="0"/>
          <w:i w:val="0"/>
          <w:iCs w:val="0"/>
          <w:caps w:val="0"/>
          <w:color w:val="333333"/>
          <w:spacing w:val="0"/>
          <w:sz w:val="32"/>
          <w:szCs w:val="32"/>
          <w:shd w:val="clear" w:color="auto" w:fill="FFFFFF"/>
        </w:rPr>
        <w:t>费、水费、电费、其他交通费用、其他商品和服务支出</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、工会经费等。</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年度政府性基金预算财政拨款年初结转结余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年度国有资本经营预算财政拨本年支出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万元，基本支出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万元，项目支出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因公出国（境）费用0.00万元，费用支出较年初预算数无增减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车运行维护费0.00万元，主要用于</w:t>
      </w:r>
      <w:r>
        <w:rPr>
          <w:rFonts w:hint="default" w:ascii="Times New Roman" w:hAnsi="Times New Roman" w:eastAsia="方正仿宋_GBK" w:cs="Times New Roman"/>
          <w:b w:val="0"/>
          <w:bCs w:val="0"/>
          <w:i w:val="0"/>
          <w:iCs w:val="0"/>
          <w:caps w:val="0"/>
          <w:color w:val="333333"/>
          <w:spacing w:val="0"/>
          <w:sz w:val="32"/>
          <w:szCs w:val="32"/>
          <w:shd w:val="clear" w:color="auto" w:fill="FFFFFF"/>
        </w:rPr>
        <w:t>公务用车过桥过路费、维修、公车保险缴纳、燃油等支出。</w:t>
      </w:r>
      <w:r>
        <w:rPr>
          <w:rFonts w:hint="default" w:ascii="Times New Roman" w:hAnsi="Times New Roman" w:eastAsia="方正仿宋_GBK" w:cs="Times New Roman"/>
          <w:b w:val="0"/>
          <w:bCs w:val="0"/>
          <w:sz w:val="32"/>
          <w:szCs w:val="32"/>
          <w:shd w:val="clear" w:color="auto" w:fill="FFFFFF"/>
        </w:rPr>
        <w:t>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公务接待费0.00万元，主要用于接待</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农林</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水部门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检查、项目验收等工作开展时因超过饭点产生的用餐费用。</w:t>
      </w:r>
      <w:r>
        <w:rPr>
          <w:rFonts w:hint="default" w:ascii="Times New Roman" w:hAnsi="Times New Roman" w:eastAsia="方正仿宋_GBK" w:cs="Times New Roman"/>
          <w:b w:val="0"/>
          <w:bCs w:val="0"/>
          <w:sz w:val="32"/>
          <w:szCs w:val="32"/>
          <w:shd w:val="clear" w:color="auto" w:fill="FFFFFF"/>
        </w:rPr>
        <w:t>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人均接待费0元，车均购置费0万元，车均维护费0万元。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yellow"/>
        </w:rPr>
      </w:pPr>
      <w:r>
        <w:rPr>
          <w:rFonts w:hint="default" w:ascii="Times New Roman" w:hAnsi="Times New Roman" w:eastAsia="方正仿宋_GBK" w:cs="Times New Roman"/>
          <w:b w:val="0"/>
          <w:bCs w:val="0"/>
          <w:sz w:val="32"/>
          <w:szCs w:val="32"/>
          <w:shd w:val="clear" w:color="auto" w:fill="FFFFFF"/>
        </w:rPr>
        <w:t>本年度会议费支出0.00万元，与2023年度相比，减少0.10万元，下降100.0%，主要原因是</w:t>
      </w:r>
      <w:r>
        <w:rPr>
          <w:rFonts w:hint="default" w:ascii="Times New Roman" w:hAnsi="Times New Roman" w:eastAsia="方正仿宋_GBK" w:cs="Times New Roman"/>
          <w:b w:val="0"/>
          <w:bCs w:val="0"/>
          <w:sz w:val="32"/>
          <w:szCs w:val="32"/>
          <w:shd w:val="clear" w:color="auto" w:fill="FFFFFF"/>
          <w:lang w:val="en-US" w:eastAsia="zh-CN"/>
        </w:rPr>
        <w:t>认真政府过“紧日子”规定，厉行节约，同时加强机运行管理，减少会议费。</w:t>
      </w:r>
      <w:r>
        <w:rPr>
          <w:rFonts w:hint="default" w:ascii="Times New Roman" w:hAnsi="Times New Roman" w:eastAsia="方正仿宋_GBK" w:cs="Times New Roman"/>
          <w:b w:val="0"/>
          <w:bCs w:val="0"/>
          <w:sz w:val="32"/>
          <w:szCs w:val="32"/>
          <w:shd w:val="clear" w:color="auto" w:fill="FFFFFF"/>
        </w:rPr>
        <w:t>本年度培训费支出0.19万元，与2023年度相比，减少0.05万元，下降20.8%，主要原因是认真政府过“紧日子”规定，厉行节约，同时加强机运行管理，减少培训费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本年度差旅费支出9.00万元，与2023年度相比，减少1.16万元，下降11.4%，主要原因是认真政府过“紧日子”规定，厉行节约，同时加强机运行管理，减少差旅费</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32"/>
          <w:szCs w:val="32"/>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w:t>
      </w:r>
      <w:r>
        <w:rPr>
          <w:rFonts w:hint="default" w:ascii="Times New Roman" w:hAnsi="Times New Roman" w:eastAsia="方正仿宋_GBK" w:cs="Times New Roman"/>
          <w:b w:val="0"/>
          <w:bCs w:val="0"/>
          <w:i w:val="0"/>
          <w:iCs w:val="0"/>
          <w:caps w:val="0"/>
          <w:color w:val="333333"/>
          <w:spacing w:val="0"/>
          <w:sz w:val="32"/>
          <w:szCs w:val="32"/>
          <w:shd w:val="clear" w:color="auto" w:fill="FFFFFF"/>
        </w:rPr>
        <w:t>本</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单位</w:t>
      </w:r>
      <w:r>
        <w:rPr>
          <w:rFonts w:hint="default" w:ascii="Times New Roman" w:hAnsi="Times New Roman" w:eastAsia="方正仿宋_GBK" w:cs="Times New Roman"/>
          <w:b w:val="0"/>
          <w:bCs w:val="0"/>
          <w:i w:val="0"/>
          <w:iCs w:val="0"/>
          <w:caps w:val="0"/>
          <w:color w:val="333333"/>
          <w:spacing w:val="0"/>
          <w:sz w:val="32"/>
          <w:szCs w:val="32"/>
          <w:shd w:val="clear" w:color="auto" w:fill="FFFFFF"/>
        </w:rPr>
        <w:t>机关运行经费支出0.00万元，机关运行经费较上年决算数增加0.00万元，增长0%，与上年持平。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按照</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截至202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因街道资产纳入本级统一管理，我单位资产未纳入</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决算报表。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年度本单位政府采购支出总额</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0.00万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%，其中：授予小微企业合同金额0.00万元，占政府采购支出总额的0 %。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年度我单位未发生政府采购事项，无相关经费支出</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lang w:eastAsia="zh-CN"/>
        </w:rPr>
        <w:t>五、</w:t>
      </w:r>
      <w:r>
        <w:rPr>
          <w:rStyle w:val="8"/>
          <w:rFonts w:hint="default" w:ascii="Times New Roman" w:hAnsi="Times New Roman" w:eastAsia="黑体" w:cs="Times New Roman"/>
          <w:b w:val="0"/>
          <w:bCs w:val="0"/>
          <w:sz w:val="32"/>
          <w:szCs w:val="32"/>
          <w:shd w:val="clear" w:color="auto" w:fill="FFFFFF"/>
        </w:rPr>
        <w:t>预算绩效管理情况说明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根据预算绩效管理要求，本单位无预算项目。</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（二）单位绩效评价情况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我单位未组织开展绩效评价。</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市财政局未委托第三方对我单位开展绩效评价。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 xml:space="preserve"> 六、专业名词解释</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lang w:val="en-US" w:eastAsia="zh-CN" w:bidi="ar-SA"/>
        </w:rPr>
        <w:t> （一）财政拨款收入：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lang w:val="en-US" w:eastAsia="zh-CN" w:bidi="ar-SA"/>
        </w:rPr>
        <w:t> （二）事业收入：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（十五）商品和服务支出（支出经济分类科目类</w:t>
      </w:r>
      <w:bookmarkStart w:id="0" w:name="_GoBack"/>
      <w:bookmarkEnd w:id="0"/>
      <w:r>
        <w:rPr>
          <w:rStyle w:val="8"/>
          <w:rFonts w:hint="default" w:ascii="Times New Roman" w:hAnsi="Times New Roman" w:eastAsia="楷体" w:cs="Times New Roman"/>
          <w:b w:val="0"/>
          <w:bCs w:val="0"/>
          <w:sz w:val="32"/>
          <w:szCs w:val="32"/>
          <w:shd w:val="clear" w:color="auto" w:fill="FFFFFF"/>
        </w:rPr>
        <w:t>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 （十六）对个人和家庭的补助（支出经济分类科目类级）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Style w:val="8"/>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 xml:space="preserve">  </w:t>
      </w:r>
      <w:r>
        <w:rPr>
          <w:rStyle w:val="8"/>
          <w:rFonts w:hint="default" w:ascii="Times New Roman" w:hAnsi="Times New Roman" w:eastAsia="黑体" w:cs="Times New Roman"/>
          <w:b w:val="0"/>
          <w:bCs w:val="0"/>
          <w:sz w:val="32"/>
          <w:szCs w:val="32"/>
          <w:shd w:val="clear" w:color="auto" w:fill="FFFFFF"/>
        </w:rPr>
        <w:t>七、决算公开联系方式及信息反馈渠道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8"/>
          <w:rFonts w:hint="default" w:ascii="Times New Roman" w:hAnsi="Times New Roman" w:eastAsia="方正仿宋_GBK" w:cs="Times New Roman"/>
          <w:b w:val="0"/>
          <w:bCs w:val="0"/>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  本单位决算公开信息反馈和联系方式：023-73332218</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sz w:val="20"/>
                <w:szCs w:val="20"/>
              </w:rPr>
              <w:t>：</w:t>
            </w:r>
            <w:r>
              <w:rPr>
                <w:sz w:val="20"/>
                <w:u w:color="auto"/>
              </w:rPr>
              <w:t>石柱土家族自治县人民政府南宾街道综合行政执法大队</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1,760,878.46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265,031.07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83,633.76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81,768.96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2,191,312.25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2,191,312.25</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单位</w:t>
            </w:r>
            <w:r>
              <w:rPr>
                <w:rFonts w:cs="宋体"/>
                <w:sz w:val="20"/>
                <w:szCs w:val="20"/>
              </w:rPr>
              <w:t>：</w:t>
            </w:r>
            <w:r>
              <w:rPr>
                <w:sz w:val="20"/>
                <w:u w:color="auto"/>
              </w:rPr>
              <w:t>石柱土家族自治县人民政府南宾街道综合行政执法大队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2,191,312.25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2,191,312.25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1,760,878.46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1,760,878.46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176,551.36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176,551.36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88,479.71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88,479.71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64,733.76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64,733.76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81,768.96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81,768.96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 xml:space="preserve">石柱土家族自治县人民政府南宾街道综合行政执法大队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2,191,312.25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2,191,312.25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1,760,878.46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1,760,878.46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1,760,878.46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265,031.07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176,551.36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176,551.36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88,479.71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88,479.71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83,633.76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64,733.76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64,733.76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81,768.96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81,768.96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81,768.96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1,760,878.46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1,760,878.46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265,031.07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265,031.07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83,633.76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83,633.76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81,768.96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81,768.96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2,191,312.25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2,191,312.25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2,191,312.25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2,191,312.25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2,191,312.25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1,760,878.46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1,760,878.46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1,760,878.46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1,760,878.46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1,760,878.46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265,031.07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176,551.36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176,551.36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176,551.36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176,551.36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88,479.71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88,479.71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88,479.71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88,479.71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83,633.76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64,733.76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64,733.76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64,733.76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64,733.76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81,768.96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81,768.96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81,768.96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81,768.96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81,768.96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1,877,684.09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313,628.16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495,608.00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68,185.00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874,599.00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2,954.80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176,551.36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88,479.71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68,140.80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5,451.26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90,045.20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81,768.96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18,628.16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1,877,684.09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313,628.16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石柱土家族自治县人民政府南宾街道综合行政执法大队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石柱土家族自治县人民政府南宾街道综合行政执法大队</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1,920.00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90,045.20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5B5422"/>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004BB"/>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ABFF56D"/>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7D5EE0"/>
    <w:rsid w:val="55EF4EA6"/>
    <w:rsid w:val="56530F5D"/>
    <w:rsid w:val="56EE372E"/>
    <w:rsid w:val="57B73497"/>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68E1FF3"/>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67F5B"/>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3</TotalTime>
  <ScaleCrop>false</ScaleCrop>
  <LinksUpToDate>false</LinksUpToDate>
  <CharactersWithSpaces>21460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2025-10-15T11:34:59Z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