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石柱土家族自治县马武镇产业发展服务中心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基本情况</w:t>
      </w:r>
    </w:p>
    <w:p>
      <w:pPr>
        <w:pStyle w:val="5"/>
        <w:keepNext w:val="0"/>
        <w:keepLines w:val="0"/>
        <w:pageBreakBefore w:val="0"/>
        <w:shd w:val="clear" w:color="auto" w:fill="FFFFFF"/>
        <w:kinsoku/>
        <w:wordWrap/>
        <w:overflowPunct/>
        <w:topLinePunct w:val="0"/>
        <w:autoSpaceDN/>
        <w:bidi w:val="0"/>
        <w:adjustRightInd/>
        <w:spacing w:line="594" w:lineRule="exact"/>
        <w:ind w:firstLine="420"/>
        <w:textAlignment w:val="auto"/>
        <w:rPr>
          <w:rStyle w:val="8"/>
          <w:rFonts w:ascii="楷体" w:hAnsi="楷体" w:eastAsia="楷体" w:cs="楷体"/>
          <w:b w:val="0"/>
          <w:bCs/>
          <w:sz w:val="32"/>
          <w:szCs w:val="32"/>
          <w:shd w:val="clear" w:color="auto" w:fill="FFFFFF"/>
        </w:rPr>
      </w:pPr>
      <w:r>
        <w:rPr>
          <w:rStyle w:val="8"/>
          <w:rFonts w:ascii="楷体" w:hAnsi="楷体" w:eastAsia="楷体" w:cs="楷体"/>
          <w:b w:val="0"/>
          <w:bCs/>
          <w:sz w:val="32"/>
          <w:szCs w:val="32"/>
          <w:shd w:val="clear" w:color="auto" w:fill="FFFFFF"/>
        </w:rPr>
        <w:t>（一）职能职责</w:t>
      </w:r>
    </w:p>
    <w:p>
      <w:pPr>
        <w:pStyle w:val="5"/>
        <w:keepNext w:val="0"/>
        <w:keepLines w:val="0"/>
        <w:pageBreakBefore w:val="0"/>
        <w:shd w:val="clear" w:color="auto" w:fill="FFFFFF"/>
        <w:kinsoku/>
        <w:wordWrap/>
        <w:overflowPunct/>
        <w:topLinePunct w:val="0"/>
        <w:autoSpaceDN/>
        <w:bidi w:val="0"/>
        <w:adjustRightInd/>
        <w:spacing w:line="594" w:lineRule="exact"/>
        <w:ind w:firstLine="420"/>
        <w:textAlignment w:val="auto"/>
        <w:rPr>
          <w:rFonts w:hint="default" w:ascii="Times New Roman" w:hAnsi="Times New Roman" w:eastAsia="方正仿宋_GBK" w:cs="Times New Roman"/>
          <w:b w:val="0"/>
          <w:bCs/>
          <w:sz w:val="32"/>
          <w:szCs w:val="32"/>
        </w:rPr>
      </w:pPr>
      <w:r>
        <w:rPr>
          <w:rFonts w:hint="default" w:ascii="Times New Roman" w:hAnsi="Times New Roman" w:eastAsia="楷体_GB2312" w:cs="Times New Roman"/>
          <w:b w:val="0"/>
          <w:bCs/>
          <w:sz w:val="32"/>
          <w:szCs w:val="32"/>
        </w:rPr>
        <w:t>主要职责任务：</w:t>
      </w:r>
      <w:r>
        <w:rPr>
          <w:rFonts w:hint="default" w:ascii="Times New Roman" w:hAnsi="Times New Roman" w:eastAsia="方正仿宋_GBK" w:cs="Times New Roman"/>
          <w:b w:val="0"/>
          <w:bCs/>
          <w:sz w:val="32"/>
        </w:rPr>
        <w:t>主要承担农技、农机、林业、水利水保、水产、畜牧兽医等方面的重大技术推广、信息服务等工作；承担灾害防治、水利工程管理</w:t>
      </w:r>
      <w:r>
        <w:rPr>
          <w:rFonts w:hint="default" w:ascii="Times New Roman" w:hAnsi="Times New Roman" w:eastAsia="方正仿宋_GBK" w:cs="Times New Roman"/>
          <w:b w:val="0"/>
          <w:bCs/>
          <w:sz w:val="32"/>
          <w:szCs w:val="32"/>
        </w:rPr>
        <w:t>等方面技术服务工作。</w:t>
      </w:r>
    </w:p>
    <w:p>
      <w:pPr>
        <w:keepNext w:val="0"/>
        <w:keepLines w:val="0"/>
        <w:pageBreakBefore w:val="0"/>
        <w:widowControl w:val="0"/>
        <w:kinsoku/>
        <w:wordWrap/>
        <w:overflowPunct/>
        <w:topLinePunct w:val="0"/>
        <w:autoSpaceDN/>
        <w:bidi w:val="0"/>
        <w:adjustRightInd/>
        <w:spacing w:line="594" w:lineRule="exact"/>
        <w:ind w:firstLine="627" w:firstLineChars="196"/>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具体职责任务：</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（1）承担农业技术、农业机械化推广服务，引导农业产业结构调整，指导推进农业产业化经营工作。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（2）承担林业技术推广、林业发展、护林防火和退耕还林及资源环境保护工作。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（3）承担水利水保、水利工程、防汛抗旱、供水、大中型水利水电工程移民后期扶持和农田水利基本建设等技术服务工作；承担水利科技推广工作。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（4）承担畜牧兽医技术推广和技术服务，引导畜牧产业发展等工作。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（5）承担动物疫病防疫、动物疫情调查、动物疫病监测、动物疫情报告、畜禽圈舍消毒、参与重大动物疫情控制及扑灭等工作。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（6）承担植物有害生物巡查、发现报告和协助除治等工作。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（7）承担水产和渔业服务工作。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（8）承担农业信息服务、农产品质量安全监测等工作。</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（9）承担农村能源建设服务、农业面源污染监测防控服务工作。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（10）指导服务农村土地流转工作。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（11）承担扶贫开发技术服务工作。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（12）承办镇党委、镇政府交办的其他工作任务。</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line="594" w:lineRule="exact"/>
        <w:ind w:left="0"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（二）机构设置</w:t>
      </w:r>
    </w:p>
    <w:p>
      <w:pPr>
        <w:pStyle w:val="5"/>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sz w:val="32"/>
          <w:szCs w:val="32"/>
          <w:lang w:val="en-US" w:eastAsia="zh-CN" w:bidi="ar-SA"/>
        </w:rPr>
      </w:pPr>
      <w:r>
        <w:rPr>
          <w:rFonts w:hint="eastAsia" w:ascii="Times New Roman" w:hAnsi="Times New Roman" w:eastAsia="方正仿宋_GBK" w:cs="Times New Roman"/>
          <w:b w:val="0"/>
          <w:bCs/>
          <w:sz w:val="32"/>
          <w:szCs w:val="32"/>
          <w:lang w:val="en-US" w:eastAsia="zh-CN" w:bidi="ar-SA"/>
        </w:rPr>
        <w:t>石柱土家族自治县马武镇农业服务中心是隶属于马武镇人民政府的财政全额拨款公益一类副科级事业单位。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964" w:firstLineChars="3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收、支与2023年度相比，减少10.73万元，下降4.5%</w:t>
      </w:r>
      <w:r>
        <w:rPr>
          <w:rFonts w:ascii="方正仿宋_GBK" w:hAnsi="方正仿宋_GBK" w:eastAsia="方正仿宋_GBK" w:cs="方正仿宋_GBK"/>
          <w:sz w:val="32"/>
          <w:szCs w:val="32"/>
          <w:shd w:val="clear" w:color="auto" w:fill="FFFFFF"/>
        </w:rPr>
        <w:t>，主要原因是2024年，本单位因遴选到县级部门减少1人，导致本年收入减少</w:t>
      </w:r>
      <w:r>
        <w:rPr>
          <w:rFonts w:hint="eastAsia" w:ascii="方正仿宋_GBK" w:hAnsi="方正仿宋_GBK" w:eastAsia="方正仿宋_GBK" w:cs="方正仿宋_GBK"/>
          <w:sz w:val="32"/>
          <w:szCs w:val="32"/>
          <w:shd w:val="clear" w:color="auto" w:fill="FFFFFF"/>
          <w:lang w:val="en-US" w:eastAsia="zh-CN"/>
        </w:rPr>
        <w:t>10.73万元。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与2023年度相比，减少10.73万元，下降4.5%</w:t>
      </w:r>
      <w:r>
        <w:rPr>
          <w:rFonts w:ascii="方正仿宋_GBK" w:hAnsi="方正仿宋_GBK" w:eastAsia="方正仿宋_GBK" w:cs="方正仿宋_GBK"/>
          <w:sz w:val="32"/>
          <w:szCs w:val="32"/>
          <w:shd w:val="clear" w:color="auto" w:fill="FFFFFF"/>
        </w:rPr>
        <w:t>，主要原因是2024年，本单位因遴选到县级部门减少1人，导致本年收入减少</w:t>
      </w:r>
      <w:r>
        <w:rPr>
          <w:rFonts w:hint="eastAsia" w:ascii="方正仿宋_GBK" w:hAnsi="方正仿宋_GBK" w:eastAsia="方正仿宋_GBK" w:cs="方正仿宋_GBK"/>
          <w:sz w:val="32"/>
          <w:szCs w:val="32"/>
          <w:shd w:val="clear" w:color="auto" w:fill="FFFFFF"/>
          <w:lang w:val="en-US" w:eastAsia="zh-CN"/>
        </w:rPr>
        <w:t>10.73万元。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与2023年度相比，减少10.73万元，下降4.5%</w:t>
      </w:r>
      <w:r>
        <w:rPr>
          <w:rFonts w:ascii="方正仿宋_GBK" w:hAnsi="方正仿宋_GBK" w:eastAsia="方正仿宋_GBK" w:cs="方正仿宋_GBK"/>
          <w:sz w:val="32"/>
          <w:szCs w:val="32"/>
          <w:shd w:val="clear" w:color="auto" w:fill="FFFFFF"/>
        </w:rPr>
        <w:t>，主要原因是2024年，本单位因遴选到县级部门减少1人，导致本年收入减少</w:t>
      </w:r>
      <w:r>
        <w:rPr>
          <w:rFonts w:hint="eastAsia" w:ascii="方正仿宋_GBK" w:hAnsi="方正仿宋_GBK" w:eastAsia="方正仿宋_GBK" w:cs="方正仿宋_GBK"/>
          <w:sz w:val="32"/>
          <w:szCs w:val="32"/>
          <w:shd w:val="clear" w:color="auto" w:fill="FFFFFF"/>
          <w:lang w:val="en-US" w:eastAsia="zh-CN"/>
        </w:rPr>
        <w:t>10.73万元。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财政拨款收、支总计各减少10.73万元，下降4.5%</w:t>
      </w:r>
      <w:r>
        <w:rPr>
          <w:rFonts w:ascii="方正仿宋_GBK" w:hAnsi="方正仿宋_GBK" w:eastAsia="方正仿宋_GBK" w:cs="方正仿宋_GBK"/>
          <w:sz w:val="32"/>
          <w:szCs w:val="32"/>
          <w:shd w:val="clear" w:color="auto" w:fill="FFFFFF"/>
        </w:rPr>
        <w:t>。主要原因是2024年，本单位因遴选到县级部门减少1人，导致本年收入减少</w:t>
      </w:r>
      <w:r>
        <w:rPr>
          <w:rFonts w:hint="eastAsia" w:ascii="方正仿宋_GBK" w:hAnsi="方正仿宋_GBK" w:eastAsia="方正仿宋_GBK" w:cs="方正仿宋_GBK"/>
          <w:sz w:val="32"/>
          <w:szCs w:val="32"/>
          <w:shd w:val="clear" w:color="auto" w:fill="FFFFFF"/>
          <w:lang w:val="en-US" w:eastAsia="zh-CN"/>
        </w:rPr>
        <w:t>10.73万元。</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与2023年度相比，减少10.73万元，下降4.5%</w:t>
      </w:r>
      <w:r>
        <w:rPr>
          <w:rFonts w:ascii="方正仿宋_GBK" w:hAnsi="方正仿宋_GBK" w:eastAsia="方正仿宋_GBK" w:cs="方正仿宋_GBK"/>
          <w:sz w:val="32"/>
          <w:szCs w:val="32"/>
          <w:shd w:val="clear" w:color="auto" w:fill="FFFFFF"/>
        </w:rPr>
        <w:t>。主要原因是2024年，本单位因遴选到县级部门减少1人，导致本年收入减少</w:t>
      </w:r>
      <w:r>
        <w:rPr>
          <w:rFonts w:hint="eastAsia" w:ascii="方正仿宋_GBK" w:hAnsi="方正仿宋_GBK" w:eastAsia="方正仿宋_GBK" w:cs="方正仿宋_GBK"/>
          <w:sz w:val="32"/>
          <w:szCs w:val="32"/>
          <w:shd w:val="clear" w:color="auto" w:fill="FFFFFF"/>
          <w:lang w:val="en-US" w:eastAsia="zh-CN"/>
        </w:rPr>
        <w:t>10.73万元。</w:t>
      </w:r>
      <w:r>
        <w:rPr>
          <w:rFonts w:hint="default" w:ascii="Times New Roman" w:hAnsi="Times New Roman" w:eastAsia="方正仿宋_GBK"/>
          <w:sz w:val="32"/>
          <w:szCs w:val="32"/>
          <w:shd w:val="clear" w:color="auto" w:fill="FFFFFF"/>
        </w:rPr>
        <w:t>较年初预算数增加15.05万元，增长7.0%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是基本工资、绩效工资、保险费用增加。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与2023年度相比，减少10.73万元，下降4.5%</w:t>
      </w:r>
      <w:r>
        <w:rPr>
          <w:rFonts w:ascii="方正仿宋_GBK" w:hAnsi="方正仿宋_GBK" w:eastAsia="方正仿宋_GBK" w:cs="方正仿宋_GBK"/>
          <w:sz w:val="32"/>
          <w:szCs w:val="32"/>
          <w:shd w:val="clear" w:color="auto" w:fill="FFFFFF"/>
        </w:rPr>
        <w:t>。主要原因是本单位因遴选到县级部门减少1人，导致本年收入减少</w:t>
      </w:r>
      <w:r>
        <w:rPr>
          <w:rFonts w:hint="eastAsia" w:ascii="方正仿宋_GBK" w:hAnsi="方正仿宋_GBK" w:eastAsia="方正仿宋_GBK" w:cs="方正仿宋_GBK"/>
          <w:sz w:val="32"/>
          <w:szCs w:val="32"/>
          <w:shd w:val="clear" w:color="auto" w:fill="FFFFFF"/>
          <w:lang w:val="en-US" w:eastAsia="zh-CN"/>
        </w:rPr>
        <w:t>10.73万元。</w:t>
      </w:r>
      <w:r>
        <w:rPr>
          <w:rFonts w:hint="default" w:ascii="Times New Roman" w:hAnsi="Times New Roman" w:eastAsia="方正仿宋_GBK"/>
          <w:sz w:val="32"/>
          <w:szCs w:val="32"/>
          <w:shd w:val="clear" w:color="auto" w:fill="FFFFFF"/>
        </w:rPr>
        <w:t>较年初预算数增加15.05万元，增长7.0%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基本工资、绩效工资、保险费用增加。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51.59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较年初预算数增加9.24万元，增长21.8%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是工资调标，导致保险增加。</w:t>
      </w:r>
    </w:p>
    <w:p>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较年初预算数增加0.31万元，增长2.5%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工资调标，导致医疗保险增加</w:t>
      </w:r>
    </w:p>
    <w:p>
      <w:pPr>
        <w:pStyle w:val="5"/>
        <w:numPr>
          <w:ilvl w:val="0"/>
          <w:numId w:val="1"/>
        </w:numPr>
        <w:snapToGrid w:val="0"/>
        <w:spacing w:before="0" w:beforeAutospacing="0" w:after="0" w:afterAutospacing="0" w:line="596" w:lineRule="exact"/>
        <w:ind w:left="0" w:leftChars="0"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154.62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较年初预算数增加5.11万元，增长3.4%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工资调标。</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较年初预算数增加0.40万元，增长4.1%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工资调标，导致住房公积金增加。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229.31</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203.67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与2023年度相比，减少10.92万元，下降5.1%</w:t>
      </w:r>
      <w:r>
        <w:rPr>
          <w:rFonts w:ascii="方正仿宋_GBK" w:hAnsi="方正仿宋_GBK" w:eastAsia="方正仿宋_GBK" w:cs="方正仿宋_GBK"/>
          <w:sz w:val="32"/>
          <w:szCs w:val="32"/>
          <w:shd w:val="clear" w:color="auto" w:fill="FFFFFF"/>
        </w:rPr>
        <w:t>，主要原因是本单位因遴选到县级部门减少1人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b w:val="0"/>
          <w:bCs/>
          <w:kern w:val="0"/>
          <w:sz w:val="32"/>
          <w:szCs w:val="32"/>
          <w:shd w:val="clear" w:color="auto" w:fill="FFFFFF"/>
        </w:rPr>
        <w:t>基本工资、其他津补贴、绩效工资、其他社会保障缴费、住房公积金等。</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与2023年度相比，增加0.17万元，增长0.7%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日常办公费用增加。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b w:val="0"/>
          <w:bCs/>
          <w:kern w:val="0"/>
          <w:sz w:val="32"/>
          <w:szCs w:val="32"/>
          <w:shd w:val="clear" w:color="auto" w:fill="FFFFFF"/>
        </w:rPr>
        <w:t>办公费、印刷费、邮电费、差旅费等。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我单位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val="en-US" w:eastAsia="zh-CN"/>
        </w:rPr>
        <w:t>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与2023年度相比，减少5.63万元，下降100.0%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2024年下半年未发生差旅费。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numPr>
          <w:ilvl w:val="0"/>
          <w:numId w:val="2"/>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政府采购支出情况说明</w:t>
      </w:r>
    </w:p>
    <w:p>
      <w:pPr>
        <w:pStyle w:val="9"/>
        <w:keepNext w:val="0"/>
        <w:keepLines w:val="0"/>
        <w:pageBreakBefore w:val="0"/>
        <w:widowControl/>
        <w:numPr>
          <w:numId w:val="0"/>
        </w:numPr>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numPr>
          <w:numId w:val="0"/>
        </w:numPr>
        <w:kinsoku/>
        <w:wordWrap/>
        <w:overflowPunct/>
        <w:topLinePunct w:val="0"/>
        <w:autoSpaceDE w:val="0"/>
        <w:autoSpaceDN/>
        <w:bidi w:val="0"/>
        <w:adjustRightInd/>
        <w:snapToGrid/>
        <w:spacing w:line="596" w:lineRule="exact"/>
        <w:ind w:firstLine="640" w:firstLineChars="200"/>
        <w:textAlignment w:val="auto"/>
        <w:rPr>
          <w:rStyle w:val="8"/>
          <w:rFonts w:hint="default" w:ascii="黑体" w:hAnsi="黑体" w:eastAsia="黑体" w:cs="黑体"/>
          <w:sz w:val="32"/>
          <w:szCs w:val="32"/>
          <w:shd w:val="clear" w:color="auto" w:fill="FFFFFF"/>
        </w:rPr>
      </w:pPr>
      <w:r>
        <w:rPr>
          <w:rFonts w:hint="eastAsia" w:ascii="方正仿宋_GBK" w:hAnsi="方正仿宋_GBK" w:eastAsia="方正仿宋_GBK" w:cs="方正仿宋_GBK"/>
          <w:b/>
          <w:bCs/>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0"/>
        <w:keepNext w:val="0"/>
        <w:keepLines w:val="0"/>
        <w:pageBreakBefore w:val="0"/>
        <w:kinsoku/>
        <w:wordWrap/>
        <w:overflowPunct/>
        <w:topLinePunct w:val="0"/>
        <w:autoSpaceDE w:val="0"/>
        <w:autoSpaceDN/>
        <w:bidi w:val="0"/>
        <w:adjustRightInd/>
        <w:spacing w:before="0" w:beforeAutospacing="0" w:line="594" w:lineRule="exact"/>
        <w:ind w:firstLine="640" w:firstLineChars="200"/>
        <w:textAlignment w:val="auto"/>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b w:val="0"/>
          <w:bCs/>
          <w:kern w:val="0"/>
          <w:sz w:val="32"/>
          <w:szCs w:val="32"/>
          <w:shd w:val="clear" w:fill="FFFFFF"/>
        </w:rPr>
        <w:t>石柱土家族自治县马武镇综合行政执法大队是隶属于马武镇人民政府的财政全额拨款公益一类副科级事业单位，无项目类支出。</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keepNext w:val="0"/>
        <w:keepLines w:val="0"/>
        <w:pageBreakBefore w:val="0"/>
        <w:kinsoku/>
        <w:wordWrap/>
        <w:overflowPunct/>
        <w:topLinePunct w:val="0"/>
        <w:autoSpaceDE w:val="0"/>
        <w:autoSpaceDN/>
        <w:bidi w:val="0"/>
        <w:adjustRightInd/>
        <w:spacing w:line="594" w:lineRule="exact"/>
        <w:ind w:firstLine="960" w:firstLineChars="3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5"/>
        <w:keepNext w:val="0"/>
        <w:keepLines w:val="0"/>
        <w:pageBreakBefore w:val="0"/>
        <w:shd w:val="clear" w:color="auto" w:fill="FFFFFF"/>
        <w:kinsoku/>
        <w:wordWrap/>
        <w:overflowPunct/>
        <w:topLinePunct w:val="0"/>
        <w:autoSpaceDN/>
        <w:bidi w:val="0"/>
        <w:adjustRightInd/>
        <w:spacing w:line="594" w:lineRule="exac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adjustRightInd/>
        <w:spacing w:line="594"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9"/>
        <w:keepNext w:val="0"/>
        <w:keepLines w:val="0"/>
        <w:pageBreakBefore w:val="0"/>
        <w:kinsoku/>
        <w:wordWrap/>
        <w:overflowPunct/>
        <w:topLinePunct w:val="0"/>
        <w:autoSpaceDE w:val="0"/>
        <w:autoSpaceDN/>
        <w:bidi w:val="0"/>
        <w:adjustRightInd/>
        <w:spacing w:line="594" w:lineRule="exact"/>
        <w:ind w:firstLine="0" w:firstLineChars="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73301010</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bookmarkStart w:id="0" w:name="_GoBack"/>
            <w:bookmarkEnd w:id="0"/>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石柱土家族自治县马武镇产业发展服务中心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515,858.88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129,144.86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1,546,186.16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101,867.56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2,293,057.46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2,293,057.46</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石柱土家族自治县马武镇产业发展服务中心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2,293,057.46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2,293,057.46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192,105.92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192,105.92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96,052.96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96,052.96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80,644.86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80,644.86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101,867.56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101,867.56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石柱土家族自治县马武镇产业发展服务中心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2,293,057.46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2,293,057.46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515,858.88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192,105.92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192,105.92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96,052.96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96,052.96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129,144.86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80,644.86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80,644.86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101,867.56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101,867.56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101,867.56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石柱土家族自治县马武镇产业发展服务中心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515,858.88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515,858.88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129,144.86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129,144.86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1,546,186.16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1,546,186.16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101,867.56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101,867.56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2,293,057.46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2,293,057.46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2,293,057.46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2,293,057.46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2,293,057.46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515,858.88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192,105.92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192,105.92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192,105.92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192,105.92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96,052.96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96,052.96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96,052.96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96,052.96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129,144.86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80,644.86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80,644.86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80,644.86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80,644.86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101,867.56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101,867.56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101,867.56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101,867.56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101,867.56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石柱土家族自治县马武镇产业发展服务中心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1,781,537.70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256,319.76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382,446.00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130,556.85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117,357.00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775,876.50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192,105.92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3,855.18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96,052.96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84,889.80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9,941.96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101,867.56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18,550.99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62,424.08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33,782.66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2,036,737.70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256,319.76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石柱土家族自治县马武镇产业发展服务中心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石柱土家族自治县马武镇产业发展服务中心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69068"/>
    <w:multiLevelType w:val="singleLevel"/>
    <w:tmpl w:val="C0D69068"/>
    <w:lvl w:ilvl="0" w:tentative="0">
      <w:start w:val="4"/>
      <w:numFmt w:val="chineseCounting"/>
      <w:suff w:val="nothing"/>
      <w:lvlText w:val="（%1）"/>
      <w:lvlJc w:val="left"/>
      <w:rPr>
        <w:rFonts w:hint="eastAsia"/>
      </w:rPr>
    </w:lvl>
  </w:abstractNum>
  <w:abstractNum w:abstractNumId="1">
    <w:nsid w:val="0B66895E"/>
    <w:multiLevelType w:val="singleLevel"/>
    <w:tmpl w:val="0B66895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2I3OGU1Mzc4ZDlhMWJjN2RjY2U5ZjIwYzFiMjAifQ=="/>
  </w:docVars>
  <w:rsids>
    <w:rsidRoot w:val="00B03CCD"/>
    <w:rsid w:val="000D7BCC"/>
    <w:rsid w:val="00550ABE"/>
    <w:rsid w:val="007B419D"/>
    <w:rsid w:val="009B67B8"/>
    <w:rsid w:val="00B03CCD"/>
    <w:rsid w:val="01474EBF"/>
    <w:rsid w:val="01B8038A"/>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AC27222"/>
    <w:rsid w:val="0B9335CE"/>
    <w:rsid w:val="0BA10C97"/>
    <w:rsid w:val="0C554661"/>
    <w:rsid w:val="0C7927C4"/>
    <w:rsid w:val="0C9B098C"/>
    <w:rsid w:val="0CE80A8F"/>
    <w:rsid w:val="0D472B48"/>
    <w:rsid w:val="0D673E11"/>
    <w:rsid w:val="0DB50EFE"/>
    <w:rsid w:val="0DDA54E4"/>
    <w:rsid w:val="0E3A5F83"/>
    <w:rsid w:val="0E9478E1"/>
    <w:rsid w:val="0ED52438"/>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DD6DE3"/>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671F43"/>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343D2F"/>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02C87"/>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16"/>
    <w:basedOn w:val="7"/>
    <w:qFormat/>
    <w:uiPriority w:val="0"/>
    <w:rPr>
      <w:rFonts w:hint="default" w:ascii="Times New Roman" w:hAnsi="Times New Roman" w:cs="Times New Roman"/>
      <w:b/>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DELL</cp:lastModifiedBy>
  <dcterms:modified xsi:type="dcterms:W3CDTF">2025-10-13T13:05:14Z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BB46EABDBB2749749395447164B066B3_12</vt:lpwstr>
  </property>
</Properties>
</file>