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石柱土家族自治县龙潭乡新时代文明实践服务中心</w:t>
      </w:r>
      <w:r>
        <w:rPr>
          <w:rFonts w:hint="default" w:ascii="Times New Roman" w:hAnsi="Times New Roman" w:eastAsia="方正小标宋_GBK" w:cs="Times New Roman"/>
          <w:sz w:val="36"/>
          <w:szCs w:val="36"/>
          <w:shd w:val="clear" w:color="auto" w:fill="FFFFFF"/>
        </w:rPr>
        <w:t>202</w:t>
      </w:r>
      <w:r>
        <w:rPr>
          <w:rFonts w:hint="default" w:ascii="Times New Roman" w:hAnsi="Times New Roman" w:eastAsia="方正小标宋_GBK" w:cs="Times New Roman"/>
          <w:sz w:val="36"/>
          <w:szCs w:val="36"/>
          <w:shd w:val="clear" w:color="auto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  <w:t>年度决算说明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一、部门基本情况</w:t>
      </w:r>
    </w:p>
    <w:p>
      <w:pPr>
        <w:pStyle w:val="5"/>
        <w:shd w:val="clear" w:color="auto" w:fill="FFFFFF"/>
        <w:ind w:firstLine="420"/>
        <w:rPr>
          <w:rStyle w:val="8"/>
          <w:rFonts w:ascii="楷体" w:hAnsi="楷体" w:eastAsia="楷体" w:cs="楷体"/>
          <w:sz w:val="32"/>
          <w:szCs w:val="32"/>
          <w:shd w:val="clear" w:color="auto" w:fill="FFFFFF"/>
        </w:rPr>
      </w:pPr>
      <w:r>
        <w:rPr>
          <w:rStyle w:val="8"/>
          <w:rFonts w:ascii="楷体" w:hAnsi="楷体" w:eastAsia="楷体" w:cs="楷体"/>
          <w:sz w:val="32"/>
          <w:szCs w:val="32"/>
          <w:shd w:val="clear" w:color="auto" w:fill="FFFFFF"/>
        </w:rPr>
        <w:t>（一）职能职责</w:t>
      </w:r>
    </w:p>
    <w:p>
      <w:pPr>
        <w:keepNext/>
        <w:keepLines/>
        <w:suppressLineNumbers/>
        <w:topLinePunct/>
        <w:spacing w:beforeLines="0" w:afterLines="0" w:line="520" w:lineRule="exact"/>
        <w:ind w:firstLine="560"/>
        <w:rPr>
          <w:rFonts w:hint="default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 w:bidi="ar-SA"/>
        </w:rPr>
        <w:t>（1）承担开展文化娱乐和体育活动等方面工作，指导各村（居）开展文体活动。（2）承担普及科学文化知识，传递经济、科技、文化信息，为当地经济建设服务。</w:t>
      </w:r>
    </w:p>
    <w:p>
      <w:pPr>
        <w:keepNext/>
        <w:keepLines/>
        <w:suppressLineNumbers/>
        <w:topLinePunct/>
        <w:spacing w:beforeLines="0" w:afterLines="0" w:line="520" w:lineRule="exact"/>
        <w:ind w:firstLine="560"/>
        <w:rPr>
          <w:rFonts w:hint="default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 w:bidi="ar-SA"/>
        </w:rPr>
        <w:t>（4）承担广播、电视、电影方面的服务工作。</w:t>
      </w:r>
    </w:p>
    <w:p>
      <w:pPr>
        <w:keepNext/>
        <w:keepLines/>
        <w:suppressLineNumbers/>
        <w:topLinePunct/>
        <w:spacing w:beforeLines="0" w:afterLines="0" w:line="520" w:lineRule="exact"/>
        <w:ind w:firstLine="560"/>
        <w:rPr>
          <w:rFonts w:hint="default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 w:bidi="ar-SA"/>
        </w:rPr>
        <w:t>（5）承担综合文化场地的开放和服务工作。</w:t>
      </w:r>
    </w:p>
    <w:p>
      <w:pPr>
        <w:keepNext/>
        <w:keepLines/>
        <w:suppressLineNumbers/>
        <w:topLinePunct/>
        <w:spacing w:beforeLines="0" w:afterLines="0" w:line="520" w:lineRule="exact"/>
        <w:ind w:firstLine="560"/>
        <w:rPr>
          <w:rFonts w:hint="default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 w:bidi="ar-SA"/>
        </w:rPr>
        <w:t>（6）承担辖区内文物、非物质文化遗产的挖掘、保护等工作。</w:t>
      </w:r>
    </w:p>
    <w:p>
      <w:pPr>
        <w:keepNext/>
        <w:keepLines/>
        <w:suppressLineNumbers/>
        <w:topLinePunct/>
        <w:spacing w:beforeLines="0" w:afterLines="0" w:line="520" w:lineRule="exact"/>
        <w:ind w:firstLine="560"/>
        <w:rPr>
          <w:rFonts w:hint="default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 w:bidi="ar-SA"/>
        </w:rPr>
        <w:t>（7）承担乡村旅游服务工作。</w:t>
      </w:r>
    </w:p>
    <w:p>
      <w:pPr>
        <w:keepNext/>
        <w:keepLines/>
        <w:suppressLineNumbers/>
        <w:topLinePunct/>
        <w:spacing w:beforeLines="0" w:afterLines="0" w:line="520" w:lineRule="exact"/>
        <w:ind w:firstLine="560"/>
        <w:rPr>
          <w:rStyle w:val="8"/>
          <w:rFonts w:hint="default" w:ascii="楷体" w:hAnsi="楷体" w:eastAsia="楷体" w:cs="楷体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 w:bidi="ar-SA"/>
        </w:rPr>
        <w:t>（8）承办乡党委、乡政府交办的其他工作任务。</w:t>
      </w:r>
    </w:p>
    <w:p>
      <w:pPr>
        <w:pStyle w:val="5"/>
        <w:shd w:val="clear" w:color="auto" w:fill="FFFFFF"/>
        <w:ind w:firstLine="420"/>
        <w:rPr>
          <w:rFonts w:hint="default" w:ascii="楷体" w:hAnsi="楷体" w:eastAsia="楷体" w:cs="楷体"/>
          <w:sz w:val="32"/>
          <w:szCs w:val="32"/>
        </w:rPr>
      </w:pPr>
      <w:r>
        <w:rPr>
          <w:rStyle w:val="8"/>
          <w:rFonts w:ascii="楷体" w:hAnsi="楷体" w:eastAsia="楷体" w:cs="楷体"/>
          <w:sz w:val="32"/>
          <w:szCs w:val="32"/>
          <w:shd w:val="clear" w:color="auto" w:fill="FFFFFF"/>
        </w:rPr>
        <w:t>（二）机构设置</w:t>
      </w:r>
    </w:p>
    <w:p>
      <w:pPr>
        <w:keepNext/>
        <w:keepLines/>
        <w:suppressLineNumbers/>
        <w:topLinePunct/>
        <w:spacing w:beforeLines="0" w:afterLines="0" w:line="520" w:lineRule="exact"/>
        <w:ind w:firstLine="560"/>
        <w:rPr>
          <w:rFonts w:hint="default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 w:bidi="ar-SA"/>
        </w:rPr>
        <w:t>设置龙潭乡新时代文明实践服务中心，属于财政拨款公益一类副科级事业单位。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二、部门决算</w:t>
      </w:r>
      <w:r>
        <w:rPr>
          <w:rStyle w:val="8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收支</w:t>
      </w: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情况说明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（一）收入支出决算总体情况说明</w:t>
      </w:r>
    </w:p>
    <w:p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年度收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、支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总计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24.05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收、支与2023年度相比，增加2.16万元，增长9.9%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2024年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机构改革，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9月有人员调入，收支增加。</w:t>
      </w:r>
    </w:p>
    <w:p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1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年度收入合计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24.05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与2023年度相比，增加2.16万元，增长9.9%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2024年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机构改革，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9月有人员调入，收入增加。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24.05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；事业收入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；其他收入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使用非财政拨款结余（含专用结余）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万元，年初结转和结余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2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年度支出合计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24.05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与2023年度相比，增加2.16万元，增长9.9%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2024年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机构改革，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9月有人员调入，支出增加。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24.05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；项目支出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；经营支出</w:t>
      </w:r>
      <w:r>
        <w:rPr>
          <w:rFonts w:hint="default" w:ascii="Times New Roman" w:hAnsi="Times New Roman" w:eastAsia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。此外，结余分配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Style w:val="8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（二）财政拨款收入支出决算总体情况说明</w:t>
      </w:r>
    </w:p>
    <w:p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年度财政拨款收、支总计均为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24.05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万元。与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度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相比，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财政拨款收、支总计各增加2.16万元，增长9.9%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2024年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机构改革，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9月有人员调入，收支增加。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（三）一般公共预算财政拨款收入支出决算情况说明</w:t>
      </w:r>
    </w:p>
    <w:p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24.05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与2023年度相比，增加2.16万元，增长9.9%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2024年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机构改革，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9月有人员调入，收入增加。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较年初预算数增加4.33万元，增长22.0%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机构改革，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9月有人员调入。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此外，年初财政拨款结转和结余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24.05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与2023年度相比，增加2.16万元，增长9.9%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2024年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机构改革，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9月有人员调入。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较年初预算数增加4.33万元，增长22.0%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2024年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机构改革，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9月有人员调入。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一般公共预算财政拨款支出主要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用途如下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：</w:t>
      </w:r>
    </w:p>
    <w:p>
      <w:pPr>
        <w:pStyle w:val="5"/>
        <w:numPr>
          <w:ilvl w:val="0"/>
          <w:numId w:val="1"/>
        </w:numPr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文化旅游体育与传媒支出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18.81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78.2%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较年初预算数增加3.34万元，增长21.6%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2024年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机构改革，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9月有人员调入。</w:t>
      </w:r>
    </w:p>
    <w:p>
      <w:pPr>
        <w:pStyle w:val="5"/>
        <w:numPr>
          <w:ilvl w:val="0"/>
          <w:numId w:val="1"/>
        </w:numPr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社会保障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和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就业支出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3.12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13.0%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较年初预算数增加0.99万元，增长46.5%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2024年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机构改革，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9月有人员调入。</w:t>
      </w:r>
    </w:p>
    <w:p>
      <w:pPr>
        <w:pStyle w:val="5"/>
        <w:numPr>
          <w:numId w:val="0"/>
        </w:numPr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）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卫生健康支出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1.05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新调入人员该项支出在原单位支出。</w:t>
      </w:r>
    </w:p>
    <w:p>
      <w:pPr>
        <w:spacing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</w:t>
      </w:r>
      <w:r>
        <w:rPr>
          <w:rFonts w:ascii="方正仿宋_GBK" w:hAnsi="方正仿宋_GBK" w:eastAsia="方正仿宋_GBK" w:cs="方正仿宋_GBK"/>
          <w:sz w:val="32"/>
          <w:szCs w:val="32"/>
        </w:rPr>
        <w:t>住房保障支出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1.06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新调入人员该项支出在原单位支出。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  <w:lang w:eastAsia="zh-CN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年度年末一般公共预算财政拨款结转和结余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（四）一般公共预算财政拨款基本支出决算情况说明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年度一般公共财政拨款基本支出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24.05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0" w:firstLineChars="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人员经费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21.87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与2023年度相比，增加2.14万元，增长10.9%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机构改革，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9月有人员调入。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人员经费用途主要包括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基本工资、津贴补贴、绩效工资、社会保障缴费、医疗补助。</w:t>
      </w:r>
    </w:p>
    <w:p>
      <w:pPr>
        <w:pStyle w:val="9"/>
        <w:autoSpaceDE w:val="0"/>
        <w:ind w:firstLine="643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公用经费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2.18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与2023年度相比，增加0.02万元，增长0.9%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人员增加。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公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用经费用途主要包括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办公费、印刷费、咨询费、电费、邮电费、差旅费、会议费、培训费、劳务费、公务接待费、工会经费、公务用车运行维护费、其他交通费、其他商品服务支出。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（五）政府性基金预算收支决算情况说明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本部门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2024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年度无政府性基金预算财政拨款收支。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（六）国有资本经营预算财政拨款支出决算情况说明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本部门2024年度无国有资本经营预算财政拨款支出。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三、</w:t>
      </w:r>
      <w:r>
        <w:rPr>
          <w:rStyle w:val="8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财政拨款</w:t>
      </w: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“三公”经费情况说明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（一）“三公”经费支出总体情况说明</w:t>
      </w:r>
    </w:p>
    <w:p>
      <w:pPr>
        <w:pStyle w:val="9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pacing w:line="520" w:lineRule="exact"/>
        <w:ind w:firstLine="643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年度“三公”经费支出共计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从2022年开始政府本级同6个事业单位分开核算，三公经费均在政府本级核算。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（二）“三公”经费分项支出情况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年度本部门因公出国（境）费用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较上年支出数无增减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从2022年开始政府本级同6个事业单位分开核算，三公经费均在政府本级核算。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用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车购置费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万元，费用支出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从2022年开始政府本级同6个事业单位分开核算，三公经费均在政府本级核算。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用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车运行维护费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万元，费用支出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较上年支出数无增减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从2022年开始政府本级同6个事业单位分开核算，三公经费均在政府本级核算。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万元，费用支出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较上年支出数无增减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从2022年开始政府本级同6个事业单位分开核算，三公经费均在政府本级核算。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（三）“三公”经费实物量情况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年度本部门因公出国（境）共计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个团组，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人；公务用车购置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辆，公务车保有量为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辆；国内公务接待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人，其中：国内外事接待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人；国（境）外公务接待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年本部门人均接待费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元，车均购置费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万元，车均维护费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四、其他需要说明的事项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jc w:val="both"/>
        <w:textAlignment w:val="auto"/>
        <w:rPr>
          <w:rFonts w:hint="default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  <w:t>（一）财政拨款会议费、培训费和差旅费情况说明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yellow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本年度会议费支出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本年度培训费支出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与2023年度相比，无变化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本年度差旅费支出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与2023年度相比，无变化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从2022年开始政府本级同6个事业单位分开核算，以上费用均在政府本级核算。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（二）机关运行经费情况说明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yellow"/>
          <w:lang w:eastAsia="zh-CN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年度本部门机关运行经费支出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万元，机关运行经费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较上年支出数无增减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（三）国有资产占用情况说明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截至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日，本部门共有车辆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辆，其中，副部（省）级及以上领导用车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辆、主要负责人用车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辆、机要通信用车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辆、应急保障用车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辆、执法执勤用车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辆，特种专业技术用车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辆，离退休干部用车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辆。单价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万元（含）以上专用设备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台（套）。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（四）政府采购支出情况说明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年度本部门政府采购支出总额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万元，其中：政府采购货物支出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万元、政府采购工程支出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万元、政府采购服务支出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万元。授予中小企业合同金额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</w:rPr>
        <w:t>万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元，占政府采购支出总额的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，其中：授予小微企业合同金额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万元，占政府采购支出总额的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0 %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</w:p>
    <w:tbl>
      <w:tblPr>
        <w:tblStyle w:val="6"/>
        <w:tblW w:w="1920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7"/>
        <w:gridCol w:w="850"/>
        <w:gridCol w:w="4436"/>
        <w:gridCol w:w="4433"/>
        <w:gridCol w:w="767"/>
        <w:gridCol w:w="43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2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863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石柱土家族自治县龙潭乡新时代文明实践服务中心</w:t>
            </w: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863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</w:t>
            </w:r>
          </w:p>
        </w:tc>
        <w:tc>
          <w:tcPr>
            <w:tcW w:w="95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240,492.96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六、经营收入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七、附属单位上缴收入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188,106.06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八、其他收入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31,233.60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10,518.90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10,634.40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240,492.96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240,492.96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使用非财政拨款结余（含专用结余）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结余分配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240,492.96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240,492.96</w:t>
            </w:r>
          </w:p>
        </w:tc>
      </w:tr>
    </w:tbl>
    <w:p>
      <w:pPr>
        <w:pStyle w:val="9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  <w:sectPr>
          <w:headerReference r:id="rId3" w:type="default"/>
          <w:footerReference r:id="rId4" w:type="default"/>
          <w:pgSz w:w="23811" w:h="16838" w:orient="landscape"/>
          <w:pgMar w:top="567" w:right="454" w:bottom="567" w:left="1037" w:header="0" w:footer="283" w:gutter="0"/>
          <w:pgNumType w:fmt="numberInDash"/>
          <w:cols w:space="720" w:num="1"/>
          <w:docGrid w:type="lines" w:linePitch="312" w:charSpace="0"/>
        </w:sectPr>
      </w:pPr>
    </w:p>
    <w:p>
      <w:pPr>
        <w:pStyle w:val="9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6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500"/>
        <w:gridCol w:w="484"/>
        <w:gridCol w:w="4166"/>
        <w:gridCol w:w="2403"/>
        <w:gridCol w:w="2403"/>
        <w:gridCol w:w="2403"/>
        <w:gridCol w:w="2403"/>
        <w:gridCol w:w="2403"/>
        <w:gridCol w:w="2403"/>
        <w:gridCol w:w="24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部门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石柱土家族自治县龙潭乡新时代文明实践服务中心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02表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16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6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4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240,492.96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240,492.96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文化旅游体育与传媒支出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188,106.06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188,106.06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20701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文化和旅游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188,106.06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188,106.06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2070109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群众文化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188,106.06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188,106.06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31,233.60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31,233.60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31,233.60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31,233.60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20,822.40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20,822.40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10,411.20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10,411.20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10,518.90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10,518.90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10,518.90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10,518.90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8,418.90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8,418.90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2,100.00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2,100.00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10,634.40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10,634.40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10,634.40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10,634.40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10,634.40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10,634.40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67"/>
        <w:gridCol w:w="600"/>
        <w:gridCol w:w="4316"/>
        <w:gridCol w:w="2737"/>
        <w:gridCol w:w="2737"/>
        <w:gridCol w:w="2737"/>
        <w:gridCol w:w="2737"/>
        <w:gridCol w:w="2737"/>
        <w:gridCol w:w="27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 xml:space="preserve">石柱土家族自治县龙潭乡新时代文明实践服务中心 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3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对附属单位补助支出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240,492.96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240,492.96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207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文化旅游体育与传媒支出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188,106.06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188,106.06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20701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文化和旅游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188,106.06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188,106.06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2070109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群众文化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188,106.06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188,106.06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31,233.60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31,233.60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31,233.60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31,233.60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20,822.40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20,822.40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10,411.20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10,411.20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10,518.90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10,518.90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10,518.90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10,518.90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8,418.90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8,418.90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2,100.00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2,100.00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10,634.40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10,634.40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10,634.40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10,634.40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10,634.40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10,634.40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39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石柱土家族自治县龙潭乡新时代文明实践服务中心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     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国有资本经营预算财政拨款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240,492.96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188,106.06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188,106.06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31,233.60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31,233.60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10,518.90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10,518.90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10,634.40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10,634.40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240,492.96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240,492.96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240,492.96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240,492.96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240,492.96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240,492.96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石柱土家族自治县龙潭乡新时代文明实践服务中心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240,492.96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240,492.96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240,492.96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240,492.96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文化旅游体育与传媒支出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188,106.06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188,106.06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188,106.06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188,106.06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20701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文化和旅游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188,106.06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188,106.06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188,106.06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188,106.06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2070109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群众文化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188,106.06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188,106.06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188,106.06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188,106.06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31,233.60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31,233.60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31,233.60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31,233.60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31,233.60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31,233.60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31,233.60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31,233.60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20,822.40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20,822.40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20,822.40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20,822.40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10,411.20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10,411.20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10,411.20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10,411.20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10,518.90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10,518.90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10,518.90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10,518.90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10,518.90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10,518.90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10,518.90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10,518.90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8,418.90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8,418.90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8,418.90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8,418.90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2,100.00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2,100.00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2,100.00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2,100.00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10,634.40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10,634.40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10,634.40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10,634.40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10,634.40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10,634.40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10,634.40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10,634.40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10,634.40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10,634.40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10,634.40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10,634.40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3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一般公共预算财政拨款基本支出决算明细表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石柱土家族自治县龙潭乡新时代文明实践服务中心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218,720.56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21,772.40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57,603.00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19,300.00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房屋建筑物购建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16,890.00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90,721.00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20,822.40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10,411.20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8,832.00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706.56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10,634.40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2,100.00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1,772.40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经常性赠与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218,720.56 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21,772.40 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政府性基金预算财政拨款收入支出决算表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石柱土家族自治县龙潭乡新时代文明实践服务中心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br w:type="page"/>
      </w:r>
    </w:p>
    <w:tbl>
      <w:tblPr>
        <w:tblStyle w:val="6"/>
        <w:tblW w:w="221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国有资本经营预算财政拨款收入支出决算表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石柱土家族自治县龙潭乡新时代文明实践服务中心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00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7"/>
        <w:gridCol w:w="1017"/>
        <w:gridCol w:w="4017"/>
        <w:gridCol w:w="5416"/>
        <w:gridCol w:w="1050"/>
        <w:gridCol w:w="4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机构运行信息决算表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91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石柱土家族自治县龙潭乡新时代文明实践服务中心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917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01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5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13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一、“三公”经费支出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五、机关运行经费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（一）支出合计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（一）行政单位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（二）参照公务员法管理事业单位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2．公务用车购置及运行维护费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六、资产信息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（1）公务用车购置费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（一）车辆数合计（辆）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（2）公务用车运行维护费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1．副部（省）级及以上领导用车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2．主要领导干部用车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（1）国内接待费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3．机要通信用车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其中：外事接待费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4．应急保障用车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（2）国（境）外接待费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5．执法执勤用车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（二）相关统计数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6．特种专业技术用车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1．因公出国（境）团组数（个）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7．离退休干部用车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2．因公出国（境）人次数（人）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8．其他用车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3．公务用车购置数（辆）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（二）单价100万元（含）以上设备（不含车辆）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4．公务用车保有量（辆）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七、政府采购支出信息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5．国内公务接待批次（个）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（一）政府采购支出合计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其中：外事接待批次（个）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1．政府采购货物支出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6．国内公务接待人次（人）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2．政府采购工程支出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其中：外事接待人次（人）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3．政府采购服务支出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7．国（境）外公务接待批次（个）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（二）政府采购授予中小企业合同金额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8．国（境）外公务接待人次（人）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其中：授予小微企业合同金额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二、会议费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三、培训费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0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四、差旅费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pStyle w:val="9"/>
        <w:autoSpaceDE w:val="0"/>
        <w:ind w:firstLine="0" w:firstLineChars="0"/>
        <w:rPr>
          <w:rFonts w:hint="default" w:ascii="宋体" w:hAnsi="宋体" w:eastAsia="宋体" w:cs="宋体"/>
          <w:sz w:val="21"/>
          <w:szCs w:val="21"/>
        </w:rPr>
      </w:pPr>
    </w:p>
    <w:sectPr>
      <w:pgSz w:w="23811" w:h="16838" w:orient="landscape"/>
      <w:pgMar w:top="567" w:right="454" w:bottom="567" w:left="1037" w:header="0" w:footer="283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7" name="文本框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zSVju0AAAAAUBAAAPAAAAAAAAAAEA&#10;IAAAACIAAABkcnMvZG93bnJldi54bWxQSwECFAAUAAAACACHTuJAsPgxiRcCAAAZBAAADgAAAAAA&#10;AAABACAAAAAfAQAAZHJzL2Uyb0RvYy54bWxQSwUGAAAAAAYABgBZAQAAq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126" name="文本框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A1UVNgAAAAKAQAA&#10;DwAAAAAAAAABACAAAAAiAAAAZHJzL2Rvd25yZXYueG1sUEsBAhQAFAAAAAgAh07iQG8zbR0ZAgAA&#10;GAQAAA4AAAAAAAAAAQAgAAAAJ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FC4482"/>
    <w:multiLevelType w:val="singleLevel"/>
    <w:tmpl w:val="96FC448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YWQ1YTE0ZDA0NjgxYzlhMjZlMDExNTFmMWI3MmEifQ=="/>
  </w:docVars>
  <w:rsids>
    <w:rsidRoot w:val="00B03CCD"/>
    <w:rsid w:val="000D7BCC"/>
    <w:rsid w:val="00550ABE"/>
    <w:rsid w:val="007B419D"/>
    <w:rsid w:val="009B67B8"/>
    <w:rsid w:val="00B03CCD"/>
    <w:rsid w:val="01474EBF"/>
    <w:rsid w:val="01F3521E"/>
    <w:rsid w:val="03E3214F"/>
    <w:rsid w:val="04446191"/>
    <w:rsid w:val="044C50BA"/>
    <w:rsid w:val="0536621F"/>
    <w:rsid w:val="05E71467"/>
    <w:rsid w:val="06A2550B"/>
    <w:rsid w:val="06F80EE2"/>
    <w:rsid w:val="07001CCA"/>
    <w:rsid w:val="075321D2"/>
    <w:rsid w:val="075678DB"/>
    <w:rsid w:val="07932335"/>
    <w:rsid w:val="08051BCA"/>
    <w:rsid w:val="080A21BB"/>
    <w:rsid w:val="08BA052C"/>
    <w:rsid w:val="08DB07BA"/>
    <w:rsid w:val="098305D0"/>
    <w:rsid w:val="09B72B6E"/>
    <w:rsid w:val="0A0C7F04"/>
    <w:rsid w:val="0A227275"/>
    <w:rsid w:val="0A5C4B69"/>
    <w:rsid w:val="0B9335CE"/>
    <w:rsid w:val="0BA10C97"/>
    <w:rsid w:val="0C554661"/>
    <w:rsid w:val="0C7927C4"/>
    <w:rsid w:val="0C9B098C"/>
    <w:rsid w:val="0CE80A8F"/>
    <w:rsid w:val="0D472B48"/>
    <w:rsid w:val="0D673E11"/>
    <w:rsid w:val="0DB50EFE"/>
    <w:rsid w:val="0DDA54E4"/>
    <w:rsid w:val="0E3A5F83"/>
    <w:rsid w:val="0E9478E1"/>
    <w:rsid w:val="0F836721"/>
    <w:rsid w:val="103645A3"/>
    <w:rsid w:val="107B59E5"/>
    <w:rsid w:val="10AA219D"/>
    <w:rsid w:val="11003CB0"/>
    <w:rsid w:val="11124E18"/>
    <w:rsid w:val="111445C7"/>
    <w:rsid w:val="1158083A"/>
    <w:rsid w:val="11F03528"/>
    <w:rsid w:val="12C921C4"/>
    <w:rsid w:val="12DA353E"/>
    <w:rsid w:val="13850DCB"/>
    <w:rsid w:val="13871C70"/>
    <w:rsid w:val="13A71CB4"/>
    <w:rsid w:val="13AF1D43"/>
    <w:rsid w:val="13CE1647"/>
    <w:rsid w:val="14200702"/>
    <w:rsid w:val="144F3F11"/>
    <w:rsid w:val="1580711B"/>
    <w:rsid w:val="16D80EBF"/>
    <w:rsid w:val="189B0D0B"/>
    <w:rsid w:val="18E03A42"/>
    <w:rsid w:val="19313430"/>
    <w:rsid w:val="194A1770"/>
    <w:rsid w:val="19B906A4"/>
    <w:rsid w:val="19BC4734"/>
    <w:rsid w:val="1A1F744B"/>
    <w:rsid w:val="1AB10093"/>
    <w:rsid w:val="1B501DE7"/>
    <w:rsid w:val="1B6F15B6"/>
    <w:rsid w:val="1BAA2EDC"/>
    <w:rsid w:val="1CE157EE"/>
    <w:rsid w:val="1D014A01"/>
    <w:rsid w:val="1D022362"/>
    <w:rsid w:val="1D091B60"/>
    <w:rsid w:val="1D794AE5"/>
    <w:rsid w:val="1DD26311"/>
    <w:rsid w:val="1DE57DAF"/>
    <w:rsid w:val="1EF67CA4"/>
    <w:rsid w:val="1F213FD9"/>
    <w:rsid w:val="1FCD26AF"/>
    <w:rsid w:val="20642787"/>
    <w:rsid w:val="20C83310"/>
    <w:rsid w:val="20EC77A3"/>
    <w:rsid w:val="21556F04"/>
    <w:rsid w:val="22403BD3"/>
    <w:rsid w:val="24B92327"/>
    <w:rsid w:val="2533755C"/>
    <w:rsid w:val="26396DF4"/>
    <w:rsid w:val="266B763B"/>
    <w:rsid w:val="27167136"/>
    <w:rsid w:val="27B23302"/>
    <w:rsid w:val="27D424D7"/>
    <w:rsid w:val="285722C3"/>
    <w:rsid w:val="28DC1FF8"/>
    <w:rsid w:val="29310A5F"/>
    <w:rsid w:val="29C37A35"/>
    <w:rsid w:val="2A076083"/>
    <w:rsid w:val="2A306CA5"/>
    <w:rsid w:val="2A73162E"/>
    <w:rsid w:val="2AFA2E94"/>
    <w:rsid w:val="2B167953"/>
    <w:rsid w:val="2B200583"/>
    <w:rsid w:val="2B8209DE"/>
    <w:rsid w:val="2C6762A3"/>
    <w:rsid w:val="2D5F4C37"/>
    <w:rsid w:val="2FE029D7"/>
    <w:rsid w:val="2FF06E00"/>
    <w:rsid w:val="315F0B22"/>
    <w:rsid w:val="31BE24D6"/>
    <w:rsid w:val="31D84415"/>
    <w:rsid w:val="32285F6F"/>
    <w:rsid w:val="32770556"/>
    <w:rsid w:val="329C0913"/>
    <w:rsid w:val="3337290D"/>
    <w:rsid w:val="352930DB"/>
    <w:rsid w:val="35573069"/>
    <w:rsid w:val="358C217E"/>
    <w:rsid w:val="359E7284"/>
    <w:rsid w:val="359F188C"/>
    <w:rsid w:val="36C9128A"/>
    <w:rsid w:val="37841E99"/>
    <w:rsid w:val="379C594F"/>
    <w:rsid w:val="37BF1123"/>
    <w:rsid w:val="37C85E36"/>
    <w:rsid w:val="38BE4696"/>
    <w:rsid w:val="39B82A39"/>
    <w:rsid w:val="39F33306"/>
    <w:rsid w:val="3B1705E5"/>
    <w:rsid w:val="3B18334B"/>
    <w:rsid w:val="3B36794F"/>
    <w:rsid w:val="3B544954"/>
    <w:rsid w:val="3B793FF0"/>
    <w:rsid w:val="3B97076E"/>
    <w:rsid w:val="3C5A5928"/>
    <w:rsid w:val="3C6A5B02"/>
    <w:rsid w:val="3D2757A1"/>
    <w:rsid w:val="3D3D4FC4"/>
    <w:rsid w:val="3DDF3AB1"/>
    <w:rsid w:val="3DE60B7E"/>
    <w:rsid w:val="3E1D0952"/>
    <w:rsid w:val="3E42660A"/>
    <w:rsid w:val="3E7555B1"/>
    <w:rsid w:val="3EA72472"/>
    <w:rsid w:val="3EDE1208"/>
    <w:rsid w:val="3F0527E5"/>
    <w:rsid w:val="3F16459E"/>
    <w:rsid w:val="4004000C"/>
    <w:rsid w:val="411B6CE5"/>
    <w:rsid w:val="412070D7"/>
    <w:rsid w:val="41314E40"/>
    <w:rsid w:val="415C674B"/>
    <w:rsid w:val="426C1EA8"/>
    <w:rsid w:val="42E86A87"/>
    <w:rsid w:val="43136432"/>
    <w:rsid w:val="443A3B12"/>
    <w:rsid w:val="44487B36"/>
    <w:rsid w:val="44EF6BE8"/>
    <w:rsid w:val="45A30364"/>
    <w:rsid w:val="465B470D"/>
    <w:rsid w:val="469D6AD4"/>
    <w:rsid w:val="47674801"/>
    <w:rsid w:val="48225EF7"/>
    <w:rsid w:val="48A36D47"/>
    <w:rsid w:val="495C4A24"/>
    <w:rsid w:val="49A21DF3"/>
    <w:rsid w:val="49C811E4"/>
    <w:rsid w:val="4A216E30"/>
    <w:rsid w:val="4B7951CB"/>
    <w:rsid w:val="4B7C315C"/>
    <w:rsid w:val="4B9300D7"/>
    <w:rsid w:val="4BAB7F90"/>
    <w:rsid w:val="4BD53EDA"/>
    <w:rsid w:val="4BE11807"/>
    <w:rsid w:val="4C484CE5"/>
    <w:rsid w:val="4DAC4ACA"/>
    <w:rsid w:val="4DD06F63"/>
    <w:rsid w:val="4E043596"/>
    <w:rsid w:val="4EA8523F"/>
    <w:rsid w:val="4F186D58"/>
    <w:rsid w:val="4F224836"/>
    <w:rsid w:val="51760217"/>
    <w:rsid w:val="51E36677"/>
    <w:rsid w:val="522F6E0C"/>
    <w:rsid w:val="52463BA1"/>
    <w:rsid w:val="529F078E"/>
    <w:rsid w:val="53C0244D"/>
    <w:rsid w:val="53DD4D4E"/>
    <w:rsid w:val="53E578CE"/>
    <w:rsid w:val="53EA10F5"/>
    <w:rsid w:val="543B029D"/>
    <w:rsid w:val="54977029"/>
    <w:rsid w:val="554E5773"/>
    <w:rsid w:val="555A3CBC"/>
    <w:rsid w:val="55EF4EA6"/>
    <w:rsid w:val="56530F5D"/>
    <w:rsid w:val="56EE372E"/>
    <w:rsid w:val="5842572D"/>
    <w:rsid w:val="598A28E2"/>
    <w:rsid w:val="5C1336B7"/>
    <w:rsid w:val="5C263CE4"/>
    <w:rsid w:val="5C5D2777"/>
    <w:rsid w:val="5C722D7F"/>
    <w:rsid w:val="5D290C69"/>
    <w:rsid w:val="5EFA176D"/>
    <w:rsid w:val="5F0247F9"/>
    <w:rsid w:val="5F2D4A41"/>
    <w:rsid w:val="601C34ED"/>
    <w:rsid w:val="60A511FB"/>
    <w:rsid w:val="61025A59"/>
    <w:rsid w:val="613D5BBC"/>
    <w:rsid w:val="61536C39"/>
    <w:rsid w:val="616D60F9"/>
    <w:rsid w:val="62944DD7"/>
    <w:rsid w:val="63497036"/>
    <w:rsid w:val="63C1619B"/>
    <w:rsid w:val="63C25DC5"/>
    <w:rsid w:val="63C62057"/>
    <w:rsid w:val="63C73832"/>
    <w:rsid w:val="64192A39"/>
    <w:rsid w:val="64FB113D"/>
    <w:rsid w:val="6544377C"/>
    <w:rsid w:val="655F5939"/>
    <w:rsid w:val="656152C6"/>
    <w:rsid w:val="6587477F"/>
    <w:rsid w:val="658C3A08"/>
    <w:rsid w:val="65C031CA"/>
    <w:rsid w:val="65CE6852"/>
    <w:rsid w:val="65F004F9"/>
    <w:rsid w:val="66267C04"/>
    <w:rsid w:val="663F505A"/>
    <w:rsid w:val="667F2393"/>
    <w:rsid w:val="66EE5541"/>
    <w:rsid w:val="67086152"/>
    <w:rsid w:val="687E45FE"/>
    <w:rsid w:val="68BE43E7"/>
    <w:rsid w:val="692172FD"/>
    <w:rsid w:val="6A3829EE"/>
    <w:rsid w:val="6A924CB7"/>
    <w:rsid w:val="6AE0292E"/>
    <w:rsid w:val="6B474EF5"/>
    <w:rsid w:val="6BC27679"/>
    <w:rsid w:val="6BC54EFE"/>
    <w:rsid w:val="6C560CAE"/>
    <w:rsid w:val="6CD15296"/>
    <w:rsid w:val="6D903FF5"/>
    <w:rsid w:val="6DA955B8"/>
    <w:rsid w:val="6DE346AB"/>
    <w:rsid w:val="6FFB2E76"/>
    <w:rsid w:val="70AB70D6"/>
    <w:rsid w:val="70DE5507"/>
    <w:rsid w:val="71C34D91"/>
    <w:rsid w:val="71ED38AA"/>
    <w:rsid w:val="72DB435C"/>
    <w:rsid w:val="7344633B"/>
    <w:rsid w:val="73C67BAF"/>
    <w:rsid w:val="74ED1B1B"/>
    <w:rsid w:val="750837F0"/>
    <w:rsid w:val="762A73EF"/>
    <w:rsid w:val="7631412E"/>
    <w:rsid w:val="764F62AB"/>
    <w:rsid w:val="765C45EC"/>
    <w:rsid w:val="768A7619"/>
    <w:rsid w:val="7714640F"/>
    <w:rsid w:val="77EA362A"/>
    <w:rsid w:val="7875383E"/>
    <w:rsid w:val="796D60A4"/>
    <w:rsid w:val="79A031D5"/>
    <w:rsid w:val="79A52681"/>
    <w:rsid w:val="7A1525F7"/>
    <w:rsid w:val="7A3E6CB6"/>
    <w:rsid w:val="7A56411B"/>
    <w:rsid w:val="7A99799F"/>
    <w:rsid w:val="7B420052"/>
    <w:rsid w:val="7B7D43A1"/>
    <w:rsid w:val="7BD06A28"/>
    <w:rsid w:val="7C1E4CD7"/>
    <w:rsid w:val="7C3A7C0B"/>
    <w:rsid w:val="7C5248E4"/>
    <w:rsid w:val="7C566698"/>
    <w:rsid w:val="7CE56AF6"/>
    <w:rsid w:val="7CF02E5B"/>
    <w:rsid w:val="7D213FB2"/>
    <w:rsid w:val="7FF7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styleId="8">
    <w:name w:val="Strong"/>
    <w:qFormat/>
    <w:uiPriority w:val="0"/>
    <w:rPr>
      <w:b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7711</Words>
  <Characters>21008</Characters>
  <Lines>161</Lines>
  <Paragraphs>45</Paragraphs>
  <TotalTime>1</TotalTime>
  <ScaleCrop>false</ScaleCrop>
  <LinksUpToDate>false</LinksUpToDate>
  <CharactersWithSpaces>21460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2024-07-11T02:00:00Z</dcterms:created>
  <dc:creator>Administrator</dc:creator>
  <cp:lastModifiedBy>Administrator</cp:lastModifiedBy>
  <dcterms:modified xsi:type="dcterms:W3CDTF">2025-10-13T07:14:14Z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BB46EABDBB2749749395447164B066B3_12</vt:lpwstr>
  </property>
</Properties>
</file>