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石柱土家族自治县龙潭乡人民政府（本级）</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w:t>
      </w:r>
      <w:bookmarkStart w:id="0" w:name="_GoBack"/>
      <w:bookmarkEnd w:id="0"/>
      <w:r>
        <w:rPr>
          <w:rStyle w:val="8"/>
          <w:rFonts w:ascii="黑体" w:hAnsi="黑体" w:eastAsia="黑体" w:cs="黑体"/>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1.综合办事机构</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主要承担党的建设、纪检、宣传、统战、人大、政协、法制、机构编制、组织人事、改革、民宗侨台、群团、武装、党务公开、新时代文明实践等职责。负责机关党的建设和群团工作。负责乡便民服务中心和村</w:t>
      </w:r>
      <w:r>
        <w:rPr>
          <w:rFonts w:hint="eastAsia" w:ascii="Times New Roman" w:hAnsi="Times New Roman" w:eastAsia="方正仿宋_GBK"/>
          <w:bCs/>
          <w:sz w:val="32"/>
          <w:szCs w:val="32"/>
          <w:lang w:val="zh-CN"/>
        </w:rPr>
        <w:t>党群服务中心</w:t>
      </w:r>
      <w:r>
        <w:rPr>
          <w:rFonts w:hint="eastAsia" w:ascii="Times New Roman" w:hAnsi="Times New Roman" w:eastAsia="方正仿宋_GBK"/>
          <w:sz w:val="32"/>
          <w:szCs w:val="32"/>
        </w:rPr>
        <w:t>的指导监督和管理工作。负责乡党委、人民政府交办的其他工作任务。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务管理工作。负责乡风文明工作。负责殡葬管理、老龄事业、区划地名管理等工作。负责留守儿童和妇女、老人等特殊群体关爱服务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开展社会平安群防群治工作。负责组织、指导、协调、检查、督促辖区各基层组织和企事业单位的社会治安综合治理等工作。负责乡党委、人民政府交办的其他工作任务。</w:t>
      </w:r>
    </w:p>
    <w:p>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keepNext w:val="0"/>
        <w:keepLines w:val="0"/>
        <w:pageBreakBefore w:val="0"/>
        <w:widowControl/>
        <w:kinsoku/>
        <w:wordWrap/>
        <w:overflowPunct/>
        <w:topLinePunct w:val="0"/>
        <w:autoSpaceDN/>
        <w:bidi w:val="0"/>
        <w:adjustRightInd/>
        <w:snapToGrid w:val="0"/>
        <w:spacing w:line="52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设置</w:t>
      </w:r>
      <w:r>
        <w:rPr>
          <w:rFonts w:hint="eastAsia" w:ascii="方正楷体_GBK" w:hAnsi="Times New Roman" w:eastAsia="方正楷体_GBK"/>
          <w:sz w:val="32"/>
          <w:szCs w:val="32"/>
        </w:rPr>
        <w:t>基层治理综合指挥室</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楷体_GBK" w:hAnsi="Times New Roman" w:eastAsia="方正楷体_GBK"/>
          <w:sz w:val="32"/>
          <w:szCs w:val="32"/>
        </w:rPr>
        <w:t>党的建设办公室</w:t>
      </w:r>
      <w:r>
        <w:rPr>
          <w:rFonts w:hint="eastAsia" w:ascii="方正楷体_GBK" w:hAnsi="Times New Roman" w:eastAsia="方正楷体_GBK"/>
          <w:sz w:val="32"/>
          <w:szCs w:val="32"/>
          <w:lang w:eastAsia="zh-CN"/>
        </w:rPr>
        <w:t>、</w:t>
      </w:r>
      <w:r>
        <w:rPr>
          <w:rFonts w:hint="eastAsia" w:ascii="方正仿宋_GBK" w:hAnsi="方正仿宋_GBK" w:eastAsia="方正仿宋_GBK" w:cs="方正仿宋_GBK"/>
          <w:sz w:val="32"/>
          <w:szCs w:val="32"/>
          <w:shd w:val="clear" w:color="auto" w:fill="FFFFFF"/>
          <w:lang w:val="en-US" w:eastAsia="zh-CN" w:bidi="ar-SA"/>
        </w:rPr>
        <w:t>经济发展办公室</w:t>
      </w:r>
      <w:r>
        <w:rPr>
          <w:rFonts w:hint="eastAsia" w:ascii="方正楷体_GBK" w:hAnsi="Times New Roman" w:eastAsia="方正楷体_GBK"/>
          <w:sz w:val="32"/>
          <w:szCs w:val="32"/>
        </w:rPr>
        <w:t>民生服务办公室</w:t>
      </w:r>
      <w:r>
        <w:rPr>
          <w:rFonts w:hint="eastAsia" w:ascii="方正仿宋_GBK" w:hAnsi="方正仿宋_GBK" w:eastAsia="方正仿宋_GBK" w:cs="方正仿宋_GBK"/>
          <w:sz w:val="32"/>
          <w:szCs w:val="32"/>
          <w:shd w:val="clear" w:color="auto" w:fill="FFFFFF"/>
          <w:lang w:val="en-US" w:eastAsia="zh-CN" w:bidi="ar-SA"/>
        </w:rPr>
        <w:t>、</w:t>
      </w:r>
      <w:r>
        <w:rPr>
          <w:rFonts w:hint="eastAsia" w:ascii="方正楷体_GBK" w:hAnsi="Times New Roman" w:eastAsia="方正楷体_GBK"/>
          <w:sz w:val="32"/>
          <w:szCs w:val="32"/>
        </w:rPr>
        <w:t>平安法治办公室</w:t>
      </w:r>
      <w:r>
        <w:rPr>
          <w:rFonts w:hint="eastAsia" w:ascii="方正仿宋_GBK" w:hAnsi="方正仿宋_GBK" w:eastAsia="方正仿宋_GBK" w:cs="方正仿宋_GBK"/>
          <w:sz w:val="32"/>
          <w:szCs w:val="32"/>
          <w:shd w:val="clear" w:color="auto" w:fill="FFFFFF"/>
          <w:lang w:val="en-US" w:eastAsia="zh-CN" w:bidi="ar-SA"/>
        </w:rPr>
        <w:t>。按照有关规定设置了乡纪委、武装部办公室。按章程设置了工会、团委、妇联等群团办公室。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，加上机构改革，人员调动，</w:t>
      </w:r>
      <w:r>
        <w:rPr>
          <w:rFonts w:hint="eastAsia" w:ascii="方正仿宋_GBK" w:hAnsi="方正仿宋_GBK" w:eastAsia="方正仿宋_GBK" w:cs="方正仿宋_GBK"/>
          <w:sz w:val="32"/>
          <w:szCs w:val="32"/>
          <w:shd w:val="clear" w:color="auto" w:fill="FFFFFF"/>
          <w:lang w:val="en-US" w:eastAsia="zh-CN"/>
        </w:rPr>
        <w:t>财政收支减少。</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财政收入减少。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财政支出减少。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456.94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901.50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1358.44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财政拨款收、支总计各减少36.61万元，下降2.6%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1357.84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与2023年度相比，减少36.49万元，下降2.6%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r>
        <w:rPr>
          <w:rFonts w:hint="default" w:ascii="Times New Roman" w:hAnsi="Times New Roman" w:eastAsia="方正仿宋_GBK"/>
          <w:sz w:val="32"/>
          <w:szCs w:val="32"/>
          <w:shd w:val="clear" w:color="auto" w:fill="FFFFFF"/>
        </w:rPr>
        <w:t>较年初预算数增加645.40万元，增长90.6%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年中追加人员预算和项目预算。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1357.84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与2023年度相比，减少36.49万元，下降2.6%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w:t>
      </w:r>
      <w:r>
        <w:rPr>
          <w:rFonts w:hint="eastAsia" w:ascii="方正仿宋_GBK" w:hAnsi="方正仿宋_GBK" w:eastAsia="方正仿宋_GBK" w:cs="方正仿宋_GBK"/>
          <w:sz w:val="32"/>
          <w:szCs w:val="32"/>
          <w:shd w:val="clear" w:color="auto" w:fill="FFFFFF"/>
          <w:lang w:val="en-US" w:eastAsia="zh-CN"/>
        </w:rPr>
        <w:t>退休减少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财政收支减少。</w:t>
      </w:r>
      <w:r>
        <w:rPr>
          <w:rFonts w:hint="default" w:ascii="Times New Roman" w:hAnsi="Times New Roman" w:eastAsia="方正仿宋_GBK"/>
          <w:sz w:val="32"/>
          <w:szCs w:val="32"/>
          <w:shd w:val="clear" w:color="auto" w:fill="FFFFFF"/>
        </w:rPr>
        <w:t>较年初预算数增加645.40万元，增长90.6%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年中追加人员预算和项目预算。</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689.29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较年初预算数增加285.04万元，增长70.5%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社会综合治理、村集体经济发展等项目开展，支出增加。</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较年初预算数增加16.88万元，增长22.6%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增加了</w:t>
      </w:r>
      <w:r>
        <w:rPr>
          <w:rFonts w:hint="eastAsia" w:ascii="方正仿宋_GBK" w:hAnsi="方正仿宋_GBK" w:eastAsia="方正仿宋_GBK" w:cs="方正仿宋_GBK"/>
          <w:color w:val="auto"/>
          <w:sz w:val="32"/>
          <w:szCs w:val="32"/>
          <w:shd w:val="clear" w:color="auto" w:fill="FFFFFF"/>
          <w:lang w:eastAsia="zh-CN"/>
        </w:rPr>
        <w:t>养老服务中心建设支出。</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27.07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较年初预算数增加0.62万元，增长2.3%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人员工资调整，医疗卫生支出增加。</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新增生态环境保护宣传及水体、固体废弃物环保开支。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2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14.04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追加农村垃圾收运和市政管理资金。</w:t>
      </w:r>
    </w:p>
    <w:p>
      <w:pPr>
        <w:keepNext w:val="0"/>
        <w:keepLines w:val="0"/>
        <w:widowControl/>
        <w:suppressLineNumbers w:val="0"/>
        <w:ind w:firstLine="640" w:firstLineChars="200"/>
        <w:jc w:val="left"/>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505.78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较年初预算数增加257.41万元，增长103.6%</w:t>
      </w:r>
      <w:r>
        <w:rPr>
          <w:rFonts w:ascii="方正仿宋_GBK" w:hAnsi="方正仿宋_GBK" w:eastAsia="方正仿宋_GBK" w:cs="方正仿宋_GBK"/>
          <w:sz w:val="32"/>
          <w:szCs w:val="32"/>
          <w:shd w:val="clear" w:color="auto" w:fill="FFFFFF"/>
        </w:rPr>
        <w:t>，主要原因是是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sz w:val="32"/>
          <w:szCs w:val="32"/>
          <w:shd w:val="clear" w:color="auto" w:fill="FFFFFF"/>
          <w:lang w:val="en-US" w:eastAsia="zh-CN"/>
        </w:rPr>
        <w:t>巩固脱贫攻坚成果衔接乡村振</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421.47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较年初预算数增加246.77万元，增长141.3%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sz w:val="32"/>
          <w:szCs w:val="32"/>
          <w:shd w:val="clear" w:color="auto" w:fill="FFFFFF"/>
          <w:lang w:val="en-US" w:eastAsia="zh-CN"/>
        </w:rPr>
        <w:t>巩固脱贫攻坚成果衔接乡村振兴</w:t>
      </w:r>
      <w:r>
        <w:rPr>
          <w:rFonts w:hint="eastAsia" w:ascii="方正仿宋_GBK" w:hAnsi="方正仿宋_GBK" w:eastAsia="方正仿宋_GBK" w:cs="方正仿宋_GBK"/>
          <w:sz w:val="32"/>
          <w:szCs w:val="32"/>
          <w:shd w:val="clear" w:color="auto" w:fill="FFFFFF"/>
        </w:rPr>
        <w:t>以及产业结构调整和农村人行便道工程的实施。</w:t>
      </w:r>
      <w:r>
        <w:rPr>
          <w:rFonts w:hint="eastAsia" w:ascii="方正仿宋_GBK" w:hAnsi="方正仿宋_GBK" w:eastAsia="方正仿宋_GBK" w:cs="方正仿宋_GBK"/>
          <w:sz w:val="32"/>
          <w:szCs w:val="32"/>
          <w:shd w:val="clear" w:color="auto" w:fill="FFFFFF"/>
          <w:lang w:val="en-US" w:eastAsia="zh-CN"/>
        </w:rPr>
        <w:t xml:space="preserve">  </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73.66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较年初预算数增加73.66万元，增长100.0%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石门坎-万宝村通畅工程</w:t>
      </w:r>
      <w:r>
        <w:rPr>
          <w:rFonts w:hint="eastAsia" w:ascii="方正仿宋_GBK" w:hAnsi="方正仿宋_GBK" w:eastAsia="方正仿宋_GBK" w:cs="方正仿宋_GBK"/>
          <w:sz w:val="32"/>
          <w:szCs w:val="32"/>
          <w:shd w:val="clear" w:color="auto" w:fill="FFFFFF"/>
          <w:lang w:eastAsia="zh-CN"/>
        </w:rPr>
        <w:t>建设。</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29.84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较年初预算数增加0.82万元，增长2.8%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人员工资调整，住房保障支出增加。</w:t>
      </w:r>
    </w:p>
    <w:p>
      <w:pPr>
        <w:keepNext w:val="0"/>
        <w:keepLines w:val="0"/>
        <w:pageBreakBefore w:val="0"/>
        <w:widowControl/>
        <w:kinsoku/>
        <w:wordWrap/>
        <w:overflowPunct/>
        <w:topLinePunct w:val="0"/>
        <w:autoSpaceDN/>
        <w:bidi w:val="0"/>
        <w:adjustRightInd/>
        <w:spacing w:line="520"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5.80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较年初预算数增加2.57万元，增长79.6%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追加自然灾害救灾资金。</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456.94</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397.20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与2023年度相比，减少27.63万元，下降6.5%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当年退休人员增加，人员经费减少。</w:t>
      </w:r>
      <w:r>
        <w:rPr>
          <w:rFonts w:hint="default" w:ascii="Times New Roman" w:hAnsi="Times New Roman" w:eastAsia="方正仿宋_GBK" w:cs="Times New Roman"/>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基本工资、津贴补贴、奖金、社会保障缴费、住房公积金等</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59.74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减少了农村基础设施建设投入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与2023年度相比，减少0.12万元，下降16.7%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减少了农村基础设施建设投入</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11.79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较年初预算数减少0.51万元，下降4.2%</w:t>
      </w:r>
      <w:r>
        <w:rPr>
          <w:rFonts w:ascii="方正仿宋_GBK" w:hAnsi="方正仿宋_GBK" w:eastAsia="方正仿宋_GBK" w:cs="方正仿宋_GBK"/>
          <w:sz w:val="32"/>
          <w:szCs w:val="32"/>
          <w:shd w:val="clear" w:color="auto" w:fill="FFFFFF"/>
        </w:rPr>
        <w:t>，主要原因是主要原因是</w:t>
      </w:r>
      <w:r>
        <w:rPr>
          <w:rFonts w:hint="eastAsia" w:ascii="方正仿宋_GBK" w:hAnsi="方正仿宋_GBK" w:eastAsia="方正仿宋_GBK" w:cs="方正仿宋_GBK"/>
          <w:color w:val="auto"/>
          <w:sz w:val="32"/>
          <w:szCs w:val="32"/>
          <w:shd w:val="clear" w:color="auto" w:fill="FFFFFF"/>
          <w:lang w:eastAsia="zh-CN"/>
        </w:rPr>
        <w:t>厉行节约，控制开支。</w:t>
      </w:r>
      <w:r>
        <w:rPr>
          <w:rFonts w:hint="default" w:ascii="Times New Roman" w:hAnsi="Times New Roman" w:eastAsia="方正仿宋_GBK"/>
          <w:sz w:val="32"/>
          <w:szCs w:val="32"/>
          <w:shd w:val="clear" w:color="auto" w:fill="FFFFFF"/>
        </w:rPr>
        <w:t>较上年支出数减少24.99万元，下降67.9%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上年有公车购置支出，今年没有。</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6.00</w:t>
      </w:r>
      <w:r>
        <w:rPr>
          <w:rFonts w:ascii="方正仿宋_GBK" w:hAnsi="方正仿宋_GBK" w:eastAsia="方正仿宋_GBK" w:cs="方正仿宋_GBK"/>
          <w:sz w:val="32"/>
          <w:szCs w:val="32"/>
          <w:shd w:val="clear" w:color="auto" w:fill="FFFFFF"/>
        </w:rPr>
        <w:t>万元，用于主要用于</w:t>
      </w:r>
      <w:r>
        <w:rPr>
          <w:rFonts w:hint="eastAsia" w:ascii="方正仿宋_GBK" w:hAnsi="方正仿宋_GBK" w:eastAsia="方正仿宋_GBK" w:cs="方正仿宋_GBK"/>
          <w:sz w:val="32"/>
          <w:szCs w:val="32"/>
          <w:shd w:val="clear" w:color="auto" w:fill="FFFFFF"/>
        </w:rPr>
        <w:t>工作所需公务车辆的燃料费、维修费、过桥过路费、保险费等。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严格按照预算金额进行支出。</w:t>
      </w:r>
      <w:r>
        <w:rPr>
          <w:rFonts w:hint="default" w:ascii="Times New Roman" w:hAnsi="Times New Roman" w:eastAsia="方正仿宋_GBK"/>
          <w:color w:val="auto"/>
          <w:sz w:val="32"/>
          <w:szCs w:val="32"/>
          <w:shd w:val="clear" w:color="auto" w:fill="FFFFFF"/>
        </w:rPr>
        <w:t>较上年支出数无增减</w:t>
      </w:r>
      <w:r>
        <w:rPr>
          <w:rFonts w:hint="eastAsia" w:ascii="方正仿宋_GBK" w:hAnsi="方正仿宋_GBK" w:eastAsia="方正仿宋_GBK" w:cs="方正仿宋_GBK"/>
          <w:color w:val="auto"/>
          <w:sz w:val="32"/>
          <w:szCs w:val="32"/>
          <w:shd w:val="clear" w:color="auto" w:fill="FFFFFF"/>
          <w:lang w:eastAsia="zh-CN"/>
        </w:rPr>
        <w:t>。</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5.79</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rPr>
        <w:t>接待到我单位调研工作，检查指导工作发生的接待支出。</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较年初预算数减少0.51万元，下降8.1%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认真贯彻落实中央八项规定精神，按照只减不增的要求从严控制“三公”经费。</w:t>
      </w:r>
      <w:r>
        <w:rPr>
          <w:rFonts w:hint="default" w:ascii="Times New Roman" w:hAnsi="Times New Roman" w:eastAsia="方正仿宋_GBK"/>
          <w:color w:val="auto"/>
          <w:sz w:val="32"/>
          <w:szCs w:val="32"/>
          <w:shd w:val="clear" w:color="auto" w:fill="FFFFFF"/>
        </w:rPr>
        <w:t>较上年支出数减少0.03万元，下降0.5%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厉行节约，严格控制</w:t>
      </w:r>
      <w:r>
        <w:rPr>
          <w:rFonts w:hint="eastAsia" w:ascii="方正仿宋_GBK" w:hAnsi="方正仿宋_GBK" w:eastAsia="方正仿宋_GBK" w:cs="方正仿宋_GBK"/>
          <w:color w:val="auto"/>
          <w:sz w:val="32"/>
          <w:szCs w:val="32"/>
          <w:shd w:val="clear" w:color="auto" w:fill="FFFFFF"/>
        </w:rPr>
        <w:t>“三公”经费。</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129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739</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78.28</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31.63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与2023年度相比，增加11.26万元，增长55.3%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出差及走访入户相关工作增加，差旅费增加。</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59.74</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办公费、水电费、邮电费以及工会经费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较上年支出数增加0.16万元，增长0.3%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今年冬季温度较低，取暖用电费有所增加。</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0.44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0.0 %</w:t>
      </w:r>
      <w:r>
        <w:rPr>
          <w:rFonts w:ascii="方正仿宋_GBK" w:hAnsi="方正仿宋_GBK" w:eastAsia="方正仿宋_GBK" w:cs="方正仿宋_GBK"/>
          <w:sz w:val="32"/>
          <w:szCs w:val="32"/>
          <w:shd w:val="clear" w:color="auto" w:fill="FFFFFF"/>
        </w:rPr>
        <w:t>。</w:t>
      </w:r>
    </w:p>
    <w:tbl>
      <w:tblPr>
        <w:tblStyle w:val="6"/>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石柱土家族自治县龙潭乡人民政府本级</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6,892,911.91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916,737.60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270,710.80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146,400.00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4,214,658.24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736,555.00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298,386.80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13,584,360.35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13,584,360.35</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石柱土家族自治县龙潭乡人民政府本级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13,584,360.35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13,584,360.35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6,892,911.91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6,892,911.91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6,030,792.91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6,030,792.91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916,737.60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916,737.60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石柱土家族自治县龙潭乡人民政府本级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13,584,360.35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4,569,368.45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9,014,991.90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6,892,911.91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3,604,058.66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6,030,792.91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3,288,853.25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2,741,939.66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770,059.00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916,737.60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205,320.00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711,417.60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363,878.40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181,939.20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270,710.80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215,010.80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4,214,658.24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237,261.69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144,309.19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其他林业和草原支出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2,296,883.05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262,099.00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2,034,784.05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1,500,513.50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736,555.00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298,386.80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应急救援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6,892,911.91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6,892,911.91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916,737.60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916,737.60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270,710.80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270,710.80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4,214,658.24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4,214,658.24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736,555.00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736,555.00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298,386.80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13,584,360.35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13,578,360.35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13,578,360.35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4,569,368.45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9,008,991.90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13,578,360.35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4,569,368.45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9,008,991.90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6,892,911.91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3,604,058.66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6,892,911.91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3,604,058.66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6,030,792.91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2,741,939.66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6,030,792.91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2,741,939.66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3,288,853.25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2,741,939.66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770,059.00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2012304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民族工作专项</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770,059.00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916,737.60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916,737.60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205,320.00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711,417.60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363,878.40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181,939.20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54,300.00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270,710.80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215,010.80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140,400.00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4,214,658.24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237,261.69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21,600.00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9,080.00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144,309.19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其他林业和草原支出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2,296,883.05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262,099.00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2,034,784.05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1,500,513.50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1,500,513.50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736,555.00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298,386.80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298,386.80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应急救援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3,786,363.51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593,004.94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880,738.00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141,351.00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797,919.00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994,901.00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363,878.40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181,939.20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226,078.20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6,822.91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298,386.80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35,700.00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185,600.00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165,600.00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29,403.94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171,400.00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3,971,963.51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石柱土家族自治县龙潭乡人民政府本级</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117,850.00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597,404.94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57,850.00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739</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316,263.00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953351"/>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6D15D5"/>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934984"/>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9B2F63"/>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186968"/>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68427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2</TotalTime>
  <ScaleCrop>false</ScaleCrop>
  <LinksUpToDate>false</LinksUpToDate>
  <CharactersWithSpaces>21460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2025-10-14T01:56:30Z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