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重庆市石柱土家族自治县龙潭乡人民政府</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1.综合办事机构</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主要承担党的建设、纪检、宣传、统战、人大、政协、法制、机构编制、组织人事、改革、民宗侨台、群团、武装、党务公开、新时代文明实践等职责。负责机关党的建设和群团工作。负责乡便民服务中心和村</w:t>
      </w:r>
      <w:r>
        <w:rPr>
          <w:rFonts w:hint="eastAsia" w:ascii="Times New Roman" w:hAnsi="Times New Roman" w:eastAsia="方正仿宋_GBK"/>
          <w:bCs/>
          <w:sz w:val="32"/>
          <w:szCs w:val="32"/>
          <w:lang w:val="zh-CN"/>
        </w:rPr>
        <w:t>党群服务中心</w:t>
      </w:r>
      <w:r>
        <w:rPr>
          <w:rFonts w:hint="eastAsia" w:ascii="Times New Roman" w:hAnsi="Times New Roman" w:eastAsia="方正仿宋_GBK"/>
          <w:sz w:val="32"/>
          <w:szCs w:val="32"/>
        </w:rPr>
        <w:t>的指导监督和管理工作。负责乡党委、人民政府交办的其他工作任务。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2、事业单位</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（1）产业发展服务中心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宗旨：为农业农村工作提供服务。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主要职责任务：主要承担农技、农机、林业、水利水保、水产、畜牧兽医等方面的重大技术推广、信息服务等工作；承担灾害防治、水利工程管理等方面技术服务工作。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（1）承担农业技术、农业机械化推广服务，引导农业产业结构调整，指导推进农业产业化经营工作。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（2）承担林业技术推广、林业发展、护林防火和退耕还林及资源环境保护工作。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（3）承担水利水保、水利工程、防汛抗旱、供水、大中型水利水电工程移民后期扶持和农田水利基本建设等技术服务工作；承担水利科技推广工作。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（4）承担畜牧兽医技术推广和技术服务，引导畜牧产业发展等工作。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（5）承担动物疫病防疫、动物疫情调查、动物疫病监测、动物疫情报告、畜禽圈舍消毒、参与重大动物疫情控制及扑灭等工作。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（6）承担植物有害生物巡查、发现报告和协助除治等工作。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（7）承担水产和渔业服务工作。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（8）承担农业信息服务、农产品质量安全监测等工作。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（9）承担农村能源建设服务、农业面源污染监测防控服务工作。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（10）指导服务农村土地流转工作。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（11）承担扶贫开发技术服务工作。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（12）承办乡党委、乡政府交办的其他工作任务。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（2）新时代文明实践服务中心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宗旨：为文化、宣传、体育等工作服务。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主要职责任务：主要承担文化、宣传、广播电视、体育、乡村旅游、科技培训等方面服务工作。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（1）承担开展文化娱乐和体育活动等方面工作，指导各村（居）开展文体活动。</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（2）承担普及科学文化知识，传递经济、科技、文化信息，为当地经济建设服务。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（4）承担广播、电视、电影方面的服务工作。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（5）承担综合文化场地的开放和服务工作。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（6）承担辖区内文物、非物质文化遗产的挖掘、保护等工作。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（7）承担乡村旅游服务工作。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（8）承办乡党委、乡政府交办的其他工作任务。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（3）便民服务中心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宗旨：为劳动就业、社会保障等工作服务。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主要职责任务：承担劳动就业、社会保障等服务工作。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（1）承担养老保险、失业保险、城乡居民医疗保险等社会保险服务工作。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（2）承担辖区内失业人员就业培训、职业介绍、就业创业指导、就业再就业小额贷款推荐审核等服务工作。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（3）承担辖区内农村富余劳动力及外来务工人员的就业管理服务工作。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（4）承担辖区内劳动保障咨询、调解和维权工作。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（5）承担辖区内退休人员、工伤人员及享受供养亲属抚恤金人员的社会化服务工作。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（6）负责村（居）劳动就业和社会保障服务站和社会保障工作者的业务指导工作。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（7）参与辖区内定点医疗机构的督促检查工作。</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（8）逐步开展面向农村社会缺乏供养保障的其他老年人、残疾人和未成年人提供生活服务。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（9）承办乡党委、乡政府交办的其他工作任务。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（4）综合行政执法大队</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宗旨：依法执法，确保执法公平、公正。</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主要职责任务：根据授权或委托，承担辖区范围内集中行使农林水利、规划建设、市政管理、环境保护、卫生健康、文化旅游、民政管理等领域的行政执法权。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（1）贯彻落实综合行政执法工作的有关规定；依据有关法律、法规和规章，参与起草本辖区实行综合行政执法领域相关方面的工作计划，并具体实施。</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（2）根据授权或委托，承担辖区范围内集中行使农林水利、规划建设、市政管理、环境保护、卫生健康、文化旅游、民政管理等领域的行政执法权。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（3）承担市县授权或委托的其他行政执法权。</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（4）承办乡党委、乡政府交办的其他工作任务。</w:t>
      </w:r>
    </w:p>
    <w:p>
      <w:pPr>
        <w:pStyle w:val="6"/>
        <w:keepNext w:val="0"/>
        <w:keepLines w:val="0"/>
        <w:pageBreakBefore w:val="0"/>
        <w:widowControl/>
        <w:shd w:val="clear" w:color="auto" w:fill="FFFFFF"/>
        <w:kinsoku/>
        <w:wordWrap/>
        <w:overflowPunct/>
        <w:topLinePunct w:val="0"/>
        <w:autoSpaceDN/>
        <w:bidi w:val="0"/>
        <w:adjustRightInd/>
        <w:spacing w:line="520" w:lineRule="exact"/>
        <w:ind w:firstLine="420"/>
        <w:textAlignment w:val="auto"/>
        <w:rPr>
          <w:rFonts w:hint="eastAsia" w:ascii="仿宋_GB2312" w:hAnsi="仿宋" w:eastAsia="仿宋_GB2312"/>
          <w:sz w:val="32"/>
          <w:szCs w:val="32"/>
          <w:lang w:val="en-US" w:eastAsia="zh-CN"/>
        </w:rPr>
      </w:pPr>
      <w:r>
        <w:rPr>
          <w:rFonts w:hint="eastAsia" w:ascii="方正仿宋_GBK" w:hAnsi="方正仿宋_GBK" w:eastAsia="方正仿宋_GBK" w:cs="方正仿宋_GBK"/>
          <w:sz w:val="32"/>
          <w:szCs w:val="32"/>
          <w:shd w:val="clear" w:color="auto" w:fill="FFFFFF"/>
          <w:lang w:val="en-US" w:eastAsia="zh-CN" w:bidi="ar-SA"/>
        </w:rPr>
        <w:t>除法律法规授权外，市政府授权及县级相关部门委托的行政处罚、行政强制等执法权以正式授权或委托为准。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1、综合办事机构</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设置</w:t>
      </w:r>
      <w:r>
        <w:rPr>
          <w:rFonts w:hint="eastAsia" w:ascii="方正楷体_GBK" w:hAnsi="Times New Roman" w:eastAsia="方正楷体_GBK"/>
          <w:sz w:val="32"/>
          <w:szCs w:val="32"/>
        </w:rPr>
        <w:t>基层治理综合指挥室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党的建设办公室</w:t>
      </w:r>
      <w:r>
        <w:rPr>
          <w:rFonts w:hint="eastAsia" w:ascii="方正楷体_GBK" w:hAnsi="Times New Roman" w:eastAsia="方正楷体_GBK"/>
          <w:sz w:val="32"/>
          <w:szCs w:val="32"/>
          <w:lang w:eastAsia="zh-CN"/>
        </w:rPr>
        <w:t>、</w:t>
      </w:r>
      <w:r>
        <w:rPr>
          <w:rFonts w:hint="eastAsia" w:ascii="方正仿宋_GBK" w:hAnsi="方正仿宋_GBK" w:eastAsia="方正仿宋_GBK" w:cs="方正仿宋_GBK"/>
          <w:sz w:val="32"/>
          <w:szCs w:val="32"/>
          <w:shd w:val="clear" w:color="auto" w:fill="FFFFFF"/>
          <w:lang w:val="en-US" w:eastAsia="zh-CN" w:bidi="ar-SA"/>
        </w:rPr>
        <w:t>经济发展办公室</w:t>
      </w:r>
      <w:r>
        <w:rPr>
          <w:rFonts w:hint="eastAsia" w:ascii="方正楷体_GBK" w:hAnsi="Times New Roman" w:eastAsia="方正楷体_GBK"/>
          <w:sz w:val="32"/>
          <w:szCs w:val="32"/>
        </w:rPr>
        <w:t>民生服务办公室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平安法治办公室</w:t>
      </w:r>
      <w:r>
        <w:rPr>
          <w:rFonts w:hint="eastAsia" w:ascii="方正仿宋_GBK" w:hAnsi="方正仿宋_GBK" w:eastAsia="方正仿宋_GBK" w:cs="方正仿宋_GBK"/>
          <w:sz w:val="32"/>
          <w:szCs w:val="32"/>
          <w:shd w:val="clear" w:color="auto" w:fill="FFFFFF"/>
          <w:lang w:val="en-US" w:eastAsia="zh-CN" w:bidi="ar-SA"/>
        </w:rPr>
        <w:t>。按照有关规定设置了乡纪委、武装部办公室。按章程设置了工会、团委、妇联等群团办公室。</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2、事业单位</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设置产业发展服务中心、新时代文明实践服务中心、便民服务中心、综合行政执法大队等4个财政全额拨款公益一类副科级事业单位。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1617.77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收、支与2023年度相比，减少46.67万元，下降2.8%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eastAsia"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1617.77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与2023年度相比，减少46.67万元，下降2.8%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财政收入减少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1617.77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1617.77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与2023年度相比，减少46.67万元，下降2.8%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财政支出减少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716.27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901.50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1617.77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财政拨款收、支总计各减少46.67万元，下降2.8%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eastAsia"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1617.17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与2023年度相比，减少46.55万元，下降2.8%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财政收入减少</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较年初预算数增加697.27万元，增长75.8%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1617.17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与2023年度相比，减少46.55万元，下降2.8%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财政支出减少。</w:t>
      </w:r>
      <w:r>
        <w:rPr>
          <w:rFonts w:hint="default" w:ascii="Times New Roman" w:hAnsi="Times New Roman" w:eastAsia="方正仿宋_GBK"/>
          <w:sz w:val="32"/>
          <w:szCs w:val="32"/>
          <w:shd w:val="clear" w:color="auto" w:fill="FFFFFF"/>
        </w:rPr>
        <w:t>较年初预算数增加697.27万元，增长75.8%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721.06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较年初预算数增加287.58万元，增长66.3%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社会综合治理等项目开展，支出增加。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较年初预算数增加3.34万元，增长21.6%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w:t>
      </w:r>
      <w:r>
        <w:rPr>
          <w:rFonts w:hint="eastAsia" w:ascii="方正仿宋_GBK" w:hAnsi="方正仿宋_GBK" w:eastAsia="方正仿宋_GBK" w:cs="方正仿宋_GBK"/>
          <w:color w:val="auto"/>
          <w:sz w:val="32"/>
          <w:szCs w:val="32"/>
          <w:shd w:val="clear" w:color="auto" w:fill="FFFFFF"/>
          <w:lang w:eastAsia="zh-CN"/>
        </w:rPr>
        <w:t>人员工资调整。</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191.28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较年初预算数增加49.28万元，增长34.7%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color w:val="auto"/>
          <w:sz w:val="32"/>
          <w:szCs w:val="32"/>
          <w:shd w:val="clear" w:color="auto" w:fill="FFFFFF"/>
          <w:lang w:eastAsia="zh-CN"/>
        </w:rPr>
        <w:t>养老服务中心建设支出，人员工资调整，预算增加。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人员工资调整，相关卫生健康支出增加。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新增生态环境保护宣传及水体、固体废弃物环保开支。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14.04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追加农村垃圾收运和市政管理资金。</w:t>
      </w:r>
    </w:p>
    <w:p>
      <w:pPr>
        <w:keepNext w:val="0"/>
        <w:keepLines w:val="0"/>
        <w:widowControl/>
        <w:suppressLineNumbers w:val="0"/>
        <w:ind w:firstLine="640" w:firstLineChars="200"/>
        <w:jc w:val="left"/>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505.78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较年初预算数增加257.41万元，增长103.6%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sz w:val="32"/>
          <w:szCs w:val="32"/>
          <w:shd w:val="clear" w:color="auto" w:fill="FFFFFF"/>
          <w:lang w:val="en-US" w:eastAsia="zh-CN"/>
        </w:rPr>
        <w:t>巩固脱贫攻坚成果衔接乡村振兴</w:t>
      </w:r>
      <w:r>
        <w:rPr>
          <w:rFonts w:hint="eastAsia" w:ascii="方正仿宋_GBK" w:hAnsi="方正仿宋_GBK" w:eastAsia="方正仿宋_GBK" w:cs="方正仿宋_GBK"/>
          <w:sz w:val="32"/>
          <w:szCs w:val="32"/>
          <w:shd w:val="clear" w:color="auto" w:fill="FFFFFF"/>
        </w:rPr>
        <w:t>以及产业结构调整和农村人行便道工程的实施。</w:t>
      </w:r>
      <w:r>
        <w:rPr>
          <w:rFonts w:hint="eastAsia" w:ascii="方正仿宋_GBK" w:hAnsi="方正仿宋_GBK" w:eastAsia="方正仿宋_GBK" w:cs="方正仿宋_GBK"/>
          <w:sz w:val="32"/>
          <w:szCs w:val="32"/>
          <w:shd w:val="clear" w:color="auto" w:fill="FFFFFF"/>
          <w:lang w:val="en-US" w:eastAsia="zh-CN"/>
        </w:rPr>
        <w:t xml:space="preserve">  </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73.66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石门坎-万宝村通畅工程</w:t>
      </w:r>
      <w:r>
        <w:rPr>
          <w:rFonts w:hint="eastAsia" w:ascii="方正仿宋_GBK" w:hAnsi="方正仿宋_GBK" w:eastAsia="方正仿宋_GBK" w:cs="方正仿宋_GBK"/>
          <w:sz w:val="32"/>
          <w:szCs w:val="32"/>
          <w:shd w:val="clear" w:color="auto" w:fill="FFFFFF"/>
          <w:lang w:eastAsia="zh-CN"/>
        </w:rPr>
        <w:t>建设。</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较年初预算数增加2.46万元，增长6.3%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人员工资调整，公积金基数升高。</w:t>
      </w:r>
    </w:p>
    <w:p>
      <w:pPr>
        <w:keepNext w:val="0"/>
        <w:keepLines w:val="0"/>
        <w:pageBreakBefore w:val="0"/>
        <w:widowControl/>
        <w:kinsoku/>
        <w:wordWrap/>
        <w:overflowPunct/>
        <w:topLinePunct w:val="0"/>
        <w:autoSpaceDN/>
        <w:bidi w:val="0"/>
        <w:adjustRightInd/>
        <w:spacing w:line="52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较年初预算数增加2.57万元，增长79.6%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追加自然灾害救灾资金。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716.27</w:t>
      </w:r>
      <w:r>
        <w:rPr>
          <w:rFonts w:ascii="方正仿宋_GBK" w:hAnsi="方正仿宋_GBK" w:eastAsia="方正仿宋_GBK" w:cs="方正仿宋_GBK"/>
          <w:sz w:val="32"/>
          <w:szCs w:val="32"/>
          <w:shd w:val="clear" w:color="auto" w:fill="FFFFFF"/>
        </w:rPr>
        <w:t>万元。其中：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628.60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与2023年度相比，减少38.03万元，下降5.7%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当年退休人员增加，人员经费减少。</w:t>
      </w:r>
      <w:r>
        <w:rPr>
          <w:rFonts w:hint="default" w:ascii="Times New Roman" w:hAnsi="Times New Roman" w:eastAsia="方正仿宋_GBK" w:cs="Times New Roman"/>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基本工资、津贴补贴、奖金、社会保障缴费、住房公积金等</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与2023年度相比，增加0.51万元，增长0.6%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机构改革，公用经费增加</w:t>
      </w:r>
      <w:bookmarkStart w:id="0" w:name="_GoBack"/>
      <w:bookmarkEnd w:id="0"/>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较年初预算数减少0.51万元，下降4.2%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厉行节约，控制开支，</w:t>
      </w:r>
      <w:r>
        <w:rPr>
          <w:rFonts w:hint="default" w:ascii="Times New Roman" w:hAnsi="Times New Roman" w:eastAsia="方正仿宋_GBK"/>
          <w:color w:val="auto"/>
          <w:sz w:val="32"/>
          <w:szCs w:val="32"/>
          <w:shd w:val="clear" w:color="auto" w:fill="FFFFFF"/>
        </w:rPr>
        <w:t>较上年支出数减少24.99万元，下降67.9%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上年有公车购置支出，今年没有。</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万元，主要用于主要用于</w:t>
      </w:r>
      <w:r>
        <w:rPr>
          <w:rFonts w:hint="eastAsia" w:ascii="方正仿宋_GBK" w:hAnsi="方正仿宋_GBK" w:eastAsia="方正仿宋_GBK" w:cs="方正仿宋_GBK"/>
          <w:sz w:val="32"/>
          <w:szCs w:val="32"/>
          <w:shd w:val="clear" w:color="auto" w:fill="FFFFFF"/>
        </w:rPr>
        <w:t>工作所需公务车辆的燃料费、维修费、过桥过路费、保险费等。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严格按照预算金额进行支出。</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5.79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接待到我单位调研工作，检查指导工作发生的接待支出。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较年初预算数减少0.51万元，下降8.1%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认真贯彻落实中央八项规定精神，按照只减不增的要求从严控制“三公”经费。</w:t>
      </w:r>
      <w:r>
        <w:rPr>
          <w:rFonts w:hint="default" w:ascii="Times New Roman" w:hAnsi="Times New Roman" w:eastAsia="方正仿宋_GBK"/>
          <w:color w:val="auto"/>
          <w:sz w:val="32"/>
          <w:szCs w:val="32"/>
          <w:shd w:val="clear" w:color="auto" w:fill="FFFFFF"/>
        </w:rPr>
        <w:t>较上年支出数减少0.03万元，下降0.5%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w:t>
      </w:r>
      <w:r>
        <w:rPr>
          <w:rFonts w:hint="eastAsia" w:ascii="方正仿宋_GBK" w:hAnsi="方正仿宋_GBK" w:eastAsia="方正仿宋_GBK" w:cs="方正仿宋_GBK"/>
          <w:color w:val="auto"/>
          <w:sz w:val="32"/>
          <w:szCs w:val="32"/>
          <w:shd w:val="clear" w:color="auto" w:fill="FFFFFF"/>
        </w:rPr>
        <w:t>“三公”经费。</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739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78.28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31.63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与2023年度相比，增加10.76万元，增长51.6%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出差及走访入户相关工作增加，差旅费增加。</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59.74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办公费、水电费、邮电费以及工会经费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较上年支出数增加0.16万元，增长0.3%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今年冬季温度较低，取暖用电费有所增加。</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。主要用于采</w:t>
      </w:r>
      <w:r>
        <w:rPr>
          <w:rFonts w:ascii="方正仿宋_GBK" w:hAnsi="方正仿宋_GBK" w:eastAsia="方正仿宋_GBK" w:cs="方正仿宋_GBK"/>
          <w:color w:val="auto"/>
          <w:sz w:val="32"/>
          <w:szCs w:val="32"/>
          <w:shd w:val="clear" w:color="auto" w:fill="FFFFFF"/>
        </w:rPr>
        <w:t>购</w:t>
      </w:r>
      <w:r>
        <w:rPr>
          <w:rFonts w:hint="eastAsia" w:ascii="方正仿宋_GBK" w:hAnsi="方正仿宋_GBK" w:eastAsia="方正仿宋_GBK" w:cs="方正仿宋_GBK"/>
          <w:color w:val="auto"/>
          <w:sz w:val="32"/>
          <w:szCs w:val="32"/>
          <w:shd w:val="clear" w:color="auto" w:fill="FFFFFF"/>
          <w:lang w:val="en-US" w:eastAsia="zh-CN"/>
        </w:rPr>
        <w:t>A4纸。</w:t>
      </w:r>
    </w:p>
    <w:tbl>
      <w:tblPr>
        <w:tblStyle w:val="7"/>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石柱土家族自治县龙潭乡人民政府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16,171,679.52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7,210,635.66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188,106.06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1,912,829.71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403,379.51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5,057,783.58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736,555.00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413,990.00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16,177,679.52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16,177,679.52</w:t>
            </w:r>
          </w:p>
        </w:tc>
      </w:tr>
    </w:tbl>
    <w:p>
      <w:pPr>
        <w:pStyle w:val="10"/>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石柱土家族自治县龙潭乡人民政府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16,177,679.52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16,177,679.52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7,210,635.66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7,210,635.66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6,348,516.66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6,348,516.66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317,723.75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317,723.75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188,106.06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1,912,829.71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1,912,829.71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267,475.50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267,475.50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267,475.50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267,475.50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1,219,534.83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1,219,534.83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579,075.52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579,075.52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289,291.31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289,291.31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221,519.38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221,519.38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87,468.71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87,468.71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5,057,783.58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5,057,783.58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1,080,387.03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1,080,387.03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石柱土家族自治县龙潭乡人民政府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16,177,679.52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7,162,687.62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9,014,991.90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7,210,635.66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3,606,577.00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3,604,058.66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6,348,516.66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3,606,577.00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317,723.75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317,723.75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188,106.06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1,912,829.71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1,707,509.71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267,475.50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267,475.50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267,475.50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267,475.50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1,219,534.83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1,219,534.83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579,075.52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579,075.52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289,291.31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289,291.31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221,519.38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403,379.51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87,468.71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87,468.71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5,057,783.58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1,080,387.03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16,171,679.52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7,210,635.66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7,210,635.66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188,106.06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188,106.06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1,912,829.71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1,912,829.71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403,379.51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403,379.51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5,057,783.58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5,057,783.58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413,990.00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413,990.00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16,171,679.52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16,177,679.52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16,171,679.52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16,171,679.52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7,162,687.62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16,171,679.52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7,162,687.62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7,210,635.66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3,606,577.00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7,210,635.66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3,606,577.00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6,348,516.66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3,606,577.00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6,348,516.66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3,606,577.00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317,723.75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317,723.75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317,723.75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317,723.75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188,106.06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188,106.06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188,106.06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188,106.06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188,106.06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1,912,829.71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1,707,509.71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1,912,829.71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1,707,509.71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267,475.50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267,475.50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267,475.50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267,475.50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267,475.50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267,475.50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267,475.50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267,475.50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1,219,534.83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1,219,534.83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1,219,534.83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1,219,534.83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579,075.52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579,075.52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579,075.52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579,075.52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289,291.31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289,291.31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289,291.31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289,291.31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19,968.00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19,968.00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221,519.38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220,499.38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221,519.38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220,499.38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220,499.38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220,499.38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220,499.38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220,499.38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403,379.51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87,468.71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87,468.71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87,468.71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87,468.71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5,057,783.58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5,057,783.58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1,080,387.03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1,080,387.03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413,990.00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413,990.00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413,990.00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413,990.00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413,990.00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5,894,847.48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872,272.14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1,347,328.00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396,551.00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943,666.00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994,901.00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934,600.00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579,075.52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289,291.31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317,309.39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13,786.26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413,990.00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391,168.00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351,168.00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48,671.14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6,286,015.48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876,672.14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316,263.00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2264F3"/>
    <w:rsid w:val="098305D0"/>
    <w:rsid w:val="09B72B6E"/>
    <w:rsid w:val="0A0C7F04"/>
    <w:rsid w:val="0A227275"/>
    <w:rsid w:val="0A5C4B69"/>
    <w:rsid w:val="0B9335CE"/>
    <w:rsid w:val="0BA10C97"/>
    <w:rsid w:val="0C554661"/>
    <w:rsid w:val="0C6A64DE"/>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261F45"/>
    <w:rsid w:val="1FCD26AF"/>
    <w:rsid w:val="20642787"/>
    <w:rsid w:val="20C83310"/>
    <w:rsid w:val="20EC77A3"/>
    <w:rsid w:val="21556F04"/>
    <w:rsid w:val="22403BD3"/>
    <w:rsid w:val="24B92327"/>
    <w:rsid w:val="2533755C"/>
    <w:rsid w:val="25F974C7"/>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BBF4929"/>
    <w:rsid w:val="2C6762A3"/>
    <w:rsid w:val="2D5F4C37"/>
    <w:rsid w:val="2FE029D7"/>
    <w:rsid w:val="2FF06E00"/>
    <w:rsid w:val="315F0B22"/>
    <w:rsid w:val="31BE24D6"/>
    <w:rsid w:val="31D84415"/>
    <w:rsid w:val="32285F6F"/>
    <w:rsid w:val="32770556"/>
    <w:rsid w:val="329C0913"/>
    <w:rsid w:val="3337290D"/>
    <w:rsid w:val="33417A27"/>
    <w:rsid w:val="352930DB"/>
    <w:rsid w:val="35573069"/>
    <w:rsid w:val="358C217E"/>
    <w:rsid w:val="359E7284"/>
    <w:rsid w:val="359F188C"/>
    <w:rsid w:val="36C9128A"/>
    <w:rsid w:val="3734686F"/>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411B5"/>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551F88"/>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CE6BDF"/>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1D4EA6"/>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18</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2025-10-13T08:02:22Z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