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F0DDE2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黑体_GBK" w:cs="Times New Roman"/>
          <w:sz w:val="32"/>
          <w:szCs w:val="32"/>
          <w:lang w:val="en-US" w:eastAsia="zh-CN"/>
        </w:rPr>
      </w:pPr>
      <w:bookmarkStart w:id="0" w:name="_GoBack"/>
      <w:bookmarkEnd w:id="0"/>
      <w:r>
        <w:rPr>
          <w:rFonts w:hint="default" w:ascii="Times New Roman" w:hAnsi="Times New Roman" w:eastAsia="方正黑体_GBK" w:cs="Times New Roman"/>
          <w:sz w:val="32"/>
          <w:szCs w:val="32"/>
          <w:lang w:eastAsia="zh-CN"/>
        </w:rPr>
        <w:t>附件</w:t>
      </w:r>
      <w:r>
        <w:rPr>
          <w:rFonts w:hint="eastAsia" w:ascii="Times New Roman" w:hAnsi="Times New Roman" w:eastAsia="方正黑体_GBK" w:cs="Times New Roman"/>
          <w:sz w:val="32"/>
          <w:szCs w:val="32"/>
          <w:lang w:val="en-US" w:eastAsia="zh-CN"/>
        </w:rPr>
        <w:t>2</w:t>
      </w:r>
    </w:p>
    <w:p w14:paraId="512FC6C1">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黑体_GBK" w:cs="Times New Roman"/>
          <w:sz w:val="32"/>
          <w:szCs w:val="32"/>
          <w:lang w:val="en-US" w:eastAsia="zh-CN"/>
        </w:rPr>
      </w:pPr>
    </w:p>
    <w:p w14:paraId="1929451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石柱土家族自治县</w:t>
      </w:r>
      <w:r>
        <w:rPr>
          <w:rFonts w:hint="eastAsia" w:ascii="Times New Roman" w:hAnsi="Times New Roman" w:eastAsia="方正小标宋_GBK" w:cs="Times New Roman"/>
          <w:sz w:val="44"/>
          <w:szCs w:val="44"/>
          <w:lang w:val="en-US" w:eastAsia="zh-CN"/>
        </w:rPr>
        <w:t>龙潭乡</w:t>
      </w:r>
      <w:r>
        <w:rPr>
          <w:rFonts w:hint="default" w:ascii="Times New Roman" w:hAnsi="Times New Roman" w:eastAsia="方正小标宋_GBK" w:cs="Times New Roman"/>
          <w:sz w:val="44"/>
          <w:szCs w:val="44"/>
        </w:rPr>
        <w:t>人民政府</w:t>
      </w:r>
      <w:r>
        <w:rPr>
          <w:rFonts w:hint="eastAsia"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5</w:t>
      </w:r>
      <w:r>
        <w:rPr>
          <w:rFonts w:hint="default" w:ascii="Times New Roman" w:hAnsi="Times New Roman" w:eastAsia="方正小标宋_GBK" w:cs="Times New Roman"/>
          <w:sz w:val="44"/>
          <w:szCs w:val="44"/>
        </w:rPr>
        <w:t>年部门预算情况说明</w:t>
      </w:r>
    </w:p>
    <w:p w14:paraId="7B51F1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p>
    <w:p w14:paraId="054672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一、单位基本情况</w:t>
      </w:r>
    </w:p>
    <w:p w14:paraId="69678D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（一）职能职责</w:t>
      </w:r>
    </w:p>
    <w:p w14:paraId="7E1002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firstLine="640" w:firstLineChars="200"/>
        <w:jc w:val="both"/>
        <w:textAlignment w:val="baseline"/>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vertAlign w:val="baseline"/>
        </w:rPr>
        <w:t>以乡村振兴为抓手，全面改善农民生产生活条件；以重大项目建设服务为突破口，全力推动经济社会发展；规范场镇建设管理，打造卫生城镇，提升</w:t>
      </w:r>
      <w:r>
        <w:rPr>
          <w:rFonts w:hint="eastAsia" w:ascii="方正仿宋_GBK" w:hAnsi="方正仿宋_GBK" w:eastAsia="方正仿宋_GBK" w:cs="方正仿宋_GBK"/>
          <w:i w:val="0"/>
          <w:iCs w:val="0"/>
          <w:caps w:val="0"/>
          <w:color w:val="000000"/>
          <w:spacing w:val="0"/>
          <w:sz w:val="32"/>
          <w:szCs w:val="32"/>
          <w:vertAlign w:val="baseline"/>
          <w:lang w:val="en-US" w:eastAsia="zh-CN"/>
        </w:rPr>
        <w:t>龙潭</w:t>
      </w:r>
      <w:r>
        <w:rPr>
          <w:rFonts w:hint="eastAsia" w:ascii="方正仿宋_GBK" w:hAnsi="方正仿宋_GBK" w:eastAsia="方正仿宋_GBK" w:cs="方正仿宋_GBK"/>
          <w:i w:val="0"/>
          <w:iCs w:val="0"/>
          <w:caps w:val="0"/>
          <w:color w:val="000000"/>
          <w:spacing w:val="0"/>
          <w:sz w:val="32"/>
          <w:szCs w:val="32"/>
          <w:vertAlign w:val="baseline"/>
        </w:rPr>
        <w:t>形象；加强民生建设，推进社会事业全面发展。</w:t>
      </w:r>
    </w:p>
    <w:p w14:paraId="0AB44E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（二）单位构成</w:t>
      </w:r>
    </w:p>
    <w:p w14:paraId="0D2C50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部门本级内设</w:t>
      </w:r>
      <w:r>
        <w:rPr>
          <w:rFonts w:hint="eastAsia" w:ascii="Times New Roman" w:hAnsi="Times New Roman" w:eastAsia="方正仿宋_GBK" w:cs="Times New Roman"/>
          <w:sz w:val="32"/>
          <w:szCs w:val="32"/>
          <w:lang w:val="en-US" w:eastAsia="zh-CN"/>
        </w:rPr>
        <w:t>5个，各机构规范简称依次为：基层治理综合指挥室，党的建设办公室，经济发展办公室，平安法治办公室，民生服务办公室。</w:t>
      </w:r>
      <w:r>
        <w:rPr>
          <w:rFonts w:ascii="Times New Roman" w:hAnsi="Times New Roman" w:eastAsia="方正仿宋_GBK"/>
          <w:sz w:val="32"/>
          <w:szCs w:val="32"/>
        </w:rPr>
        <w:t>下设二级预算单位</w:t>
      </w:r>
      <w:r>
        <w:rPr>
          <w:rFonts w:hint="eastAsia" w:ascii="Times New Roman" w:hAnsi="Times New Roman" w:eastAsia="方正仿宋_GBK" w:cs="Times New Roman"/>
          <w:sz w:val="32"/>
          <w:szCs w:val="32"/>
          <w:lang w:val="en-US" w:eastAsia="zh-CN"/>
        </w:rPr>
        <w:t>4个，分别是：</w:t>
      </w:r>
      <w:r>
        <w:rPr>
          <w:rFonts w:hint="default" w:ascii="Times New Roman" w:hAnsi="Times New Roman" w:eastAsia="方正仿宋_GBK" w:cs="Times New Roman"/>
          <w:sz w:val="32"/>
          <w:szCs w:val="32"/>
        </w:rPr>
        <w:t>石柱土家族自治县龙潭乡产业发展服务中心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石柱土家族自治县龙潭乡新时代文明实践服务中心</w:t>
      </w:r>
      <w:r>
        <w:rPr>
          <w:rFonts w:hint="eastAsia" w:ascii="Times New Roman" w:hAnsi="Times New Roman" w:eastAsia="方正仿宋_GBK" w:cs="Times New Roman"/>
          <w:sz w:val="32"/>
          <w:szCs w:val="32"/>
          <w:lang w:val="en-US" w:eastAsia="zh-CN"/>
        </w:rPr>
        <w:t>,石柱土家族自治县龙潭乡便民服务中心,石柱土家族自治县龙潭乡综合行政执法大队。</w:t>
      </w:r>
    </w:p>
    <w:p w14:paraId="0DDC2A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二、部门收支总体情况</w:t>
      </w:r>
    </w:p>
    <w:p w14:paraId="4D24917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highlight w:val="yellow"/>
          <w:lang w:eastAsia="zh-CN"/>
        </w:rPr>
      </w:pPr>
      <w:r>
        <w:rPr>
          <w:rFonts w:hint="default" w:ascii="Times New Roman" w:hAnsi="Times New Roman" w:eastAsia="方正楷体_GBK" w:cs="Times New Roman"/>
          <w:sz w:val="32"/>
          <w:szCs w:val="32"/>
        </w:rPr>
        <w:t>（一）收入预算：</w:t>
      </w:r>
      <w:r>
        <w:rPr>
          <w:rFonts w:hint="eastAsia" w:ascii="Times New Roman" w:hAnsi="Times New Roman" w:eastAsia="方正仿宋_GBK" w:cs="Times New Roman"/>
          <w:sz w:val="32"/>
          <w:szCs w:val="32"/>
          <w:lang w:eastAsia="zh-CN"/>
        </w:rPr>
        <w:t>2025年</w:t>
      </w:r>
      <w:r>
        <w:rPr>
          <w:rFonts w:hint="default" w:ascii="Times New Roman" w:hAnsi="Times New Roman" w:eastAsia="方正仿宋_GBK" w:cs="Times New Roman"/>
          <w:sz w:val="32"/>
          <w:szCs w:val="32"/>
        </w:rPr>
        <w:t>年初预算数902.59万元，其中：一般公共预算拨款902.59万元，政府性基金预算拨款</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万元，收入</w:t>
      </w:r>
      <w:r>
        <w:rPr>
          <w:rFonts w:hint="eastAsia" w:ascii="Times New Roman" w:hAnsi="Times New Roman" w:eastAsia="方正仿宋_GBK" w:cs="Times New Roman"/>
          <w:sz w:val="32"/>
          <w:szCs w:val="32"/>
          <w:lang w:eastAsia="zh-CN"/>
        </w:rPr>
        <w:t>比2024年</w:t>
      </w:r>
      <w:r>
        <w:rPr>
          <w:rFonts w:hint="default"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50.32</w:t>
      </w:r>
      <w:r>
        <w:rPr>
          <w:rFonts w:hint="default" w:ascii="Times New Roman" w:hAnsi="Times New Roman" w:eastAsia="方正仿宋_GBK" w:cs="Times New Roman"/>
          <w:sz w:val="32"/>
          <w:szCs w:val="32"/>
        </w:rPr>
        <w:t>万元，主要是一般公共预算拨款增加</w:t>
      </w:r>
      <w:r>
        <w:rPr>
          <w:rFonts w:hint="eastAsia" w:ascii="Times New Roman" w:hAnsi="Times New Roman" w:eastAsia="方正仿宋_GBK" w:cs="Times New Roman"/>
          <w:sz w:val="32"/>
          <w:szCs w:val="32"/>
          <w:lang w:val="en-US" w:eastAsia="zh-CN"/>
        </w:rPr>
        <w:t>33.07</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，上年结转减少</w:t>
      </w:r>
      <w:r>
        <w:rPr>
          <w:rFonts w:hint="eastAsia" w:ascii="Times New Roman" w:hAnsi="Times New Roman" w:eastAsia="方正仿宋_GBK" w:cs="Times New Roman"/>
          <w:sz w:val="32"/>
          <w:szCs w:val="32"/>
          <w:lang w:val="en-US" w:eastAsia="zh-CN"/>
        </w:rPr>
        <w:t>83.38万元</w:t>
      </w:r>
      <w:r>
        <w:rPr>
          <w:rFonts w:hint="default" w:ascii="Times New Roman" w:hAnsi="Times New Roman" w:eastAsia="方正仿宋_GBK" w:cs="Times New Roman"/>
          <w:sz w:val="32"/>
          <w:szCs w:val="32"/>
        </w:rPr>
        <w:t>。</w:t>
      </w:r>
    </w:p>
    <w:p w14:paraId="616210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（二）支出预算：</w:t>
      </w:r>
      <w:r>
        <w:rPr>
          <w:rFonts w:hint="eastAsia" w:ascii="Times New Roman" w:hAnsi="Times New Roman" w:eastAsia="方正仿宋_GBK" w:cs="Times New Roman"/>
          <w:sz w:val="32"/>
          <w:szCs w:val="32"/>
          <w:lang w:eastAsia="zh-CN"/>
        </w:rPr>
        <w:t>2025年</w:t>
      </w:r>
      <w:r>
        <w:rPr>
          <w:rFonts w:hint="default" w:ascii="Times New Roman" w:hAnsi="Times New Roman" w:eastAsia="方正仿宋_GBK" w:cs="Times New Roman"/>
          <w:sz w:val="32"/>
          <w:szCs w:val="32"/>
        </w:rPr>
        <w:t>年初预算数902.59万元，其中：一般公共服务支出371.51万元，</w:t>
      </w:r>
      <w:r>
        <w:rPr>
          <w:rFonts w:hint="eastAsia" w:ascii="Times New Roman" w:hAnsi="Times New Roman" w:eastAsia="方正仿宋_GBK" w:cs="Times New Roman"/>
          <w:sz w:val="32"/>
          <w:szCs w:val="32"/>
          <w:lang w:val="en-US" w:eastAsia="zh-CN"/>
        </w:rPr>
        <w:t>文化旅游体育与传媒支出28.51万元，</w:t>
      </w:r>
      <w:r>
        <w:rPr>
          <w:rFonts w:hint="default" w:ascii="Times New Roman" w:hAnsi="Times New Roman" w:eastAsia="方正仿宋_GBK" w:cs="Times New Roman"/>
          <w:sz w:val="32"/>
          <w:szCs w:val="32"/>
        </w:rPr>
        <w:t>社会保障和就业支出</w:t>
      </w:r>
      <w:r>
        <w:rPr>
          <w:rFonts w:hint="eastAsia" w:ascii="Times New Roman" w:hAnsi="Times New Roman" w:eastAsia="方正仿宋_GBK" w:cs="Times New Roman"/>
          <w:sz w:val="32"/>
          <w:szCs w:val="32"/>
          <w:lang w:val="en-US" w:eastAsia="zh-CN"/>
        </w:rPr>
        <w:t>153.69</w:t>
      </w:r>
      <w:r>
        <w:rPr>
          <w:rFonts w:hint="default" w:ascii="Times New Roman" w:hAnsi="Times New Roman" w:eastAsia="方正仿宋_GBK" w:cs="Times New Roman"/>
          <w:sz w:val="32"/>
          <w:szCs w:val="32"/>
        </w:rPr>
        <w:t>万元，卫生健康支出</w:t>
      </w:r>
      <w:r>
        <w:rPr>
          <w:rFonts w:hint="eastAsia" w:ascii="Times New Roman" w:hAnsi="Times New Roman" w:eastAsia="方正仿宋_GBK" w:cs="Times New Roman"/>
          <w:sz w:val="32"/>
          <w:szCs w:val="32"/>
          <w:lang w:val="en-US" w:eastAsia="zh-CN"/>
        </w:rPr>
        <w:t>40.17</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40.44</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农林水支出238.79万元</w:t>
      </w:r>
      <w:r>
        <w:rPr>
          <w:rFonts w:hint="default" w:ascii="Times New Roman" w:hAnsi="Times New Roman" w:eastAsia="方正仿宋_GBK" w:cs="Times New Roman"/>
          <w:sz w:val="32"/>
          <w:szCs w:val="32"/>
        </w:rPr>
        <w:t>；支出</w:t>
      </w:r>
      <w:r>
        <w:rPr>
          <w:rFonts w:hint="eastAsia" w:ascii="Times New Roman" w:hAnsi="Times New Roman" w:eastAsia="方正仿宋_GBK" w:cs="Times New Roman"/>
          <w:sz w:val="32"/>
          <w:szCs w:val="32"/>
          <w:lang w:eastAsia="zh-CN"/>
        </w:rPr>
        <w:t>比202</w:t>
      </w:r>
      <w:r>
        <w:rPr>
          <w:rFonts w:hint="eastAsia"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增加</w:t>
      </w:r>
      <w:r>
        <w:rPr>
          <w:rFonts w:hint="eastAsia" w:ascii="Times New Roman" w:hAnsi="Times New Roman" w:eastAsia="方正仿宋_GBK" w:cs="Times New Roman"/>
          <w:sz w:val="32"/>
          <w:szCs w:val="32"/>
          <w:lang w:val="en-US" w:eastAsia="zh-CN"/>
        </w:rPr>
        <w:t>50.32</w:t>
      </w:r>
      <w:r>
        <w:rPr>
          <w:rFonts w:hint="default" w:ascii="Times New Roman" w:hAnsi="Times New Roman" w:eastAsia="方正仿宋_GBK" w:cs="Times New Roman"/>
          <w:sz w:val="32"/>
          <w:szCs w:val="32"/>
        </w:rPr>
        <w:t>万元，主要是基本支出增加</w:t>
      </w:r>
      <w:r>
        <w:rPr>
          <w:rFonts w:hint="eastAsia" w:ascii="Times New Roman" w:hAnsi="Times New Roman" w:eastAsia="方正仿宋_GBK" w:cs="Times New Roman"/>
          <w:sz w:val="32"/>
          <w:szCs w:val="32"/>
          <w:lang w:val="en-US" w:eastAsia="zh-CN"/>
        </w:rPr>
        <w:t>1.35</w:t>
      </w:r>
      <w:r>
        <w:rPr>
          <w:rFonts w:hint="default" w:ascii="Times New Roman" w:hAnsi="Times New Roman" w:eastAsia="方正仿宋_GBK" w:cs="Times New Roman"/>
          <w:sz w:val="32"/>
          <w:szCs w:val="32"/>
        </w:rPr>
        <w:t>万元，项目支出</w:t>
      </w:r>
      <w:r>
        <w:rPr>
          <w:rFonts w:hint="eastAsia"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51.67</w:t>
      </w:r>
      <w:r>
        <w:rPr>
          <w:rFonts w:hint="default" w:ascii="Times New Roman" w:hAnsi="Times New Roman" w:eastAsia="方正仿宋_GBK" w:cs="Times New Roman"/>
          <w:sz w:val="32"/>
          <w:szCs w:val="32"/>
        </w:rPr>
        <w:t>万元。</w:t>
      </w:r>
    </w:p>
    <w:p w14:paraId="3E0357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三、部门预算情况说明</w:t>
      </w:r>
    </w:p>
    <w:p w14:paraId="148E8F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2025年</w:t>
      </w:r>
      <w:r>
        <w:rPr>
          <w:rFonts w:hint="default" w:ascii="Times New Roman" w:hAnsi="Times New Roman" w:eastAsia="方正仿宋_GBK" w:cs="Times New Roman"/>
          <w:sz w:val="32"/>
          <w:szCs w:val="32"/>
        </w:rPr>
        <w:t>一般公共预算财政拨款收入902.59万元，一般公共预算财政拨款支出902.59万元，比</w:t>
      </w:r>
      <w:r>
        <w:rPr>
          <w:rFonts w:hint="eastAsia"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50.32</w:t>
      </w:r>
      <w:r>
        <w:rPr>
          <w:rFonts w:hint="default" w:ascii="Times New Roman" w:hAnsi="Times New Roman" w:eastAsia="方正仿宋_GBK" w:cs="Times New Roman"/>
          <w:sz w:val="32"/>
          <w:szCs w:val="32"/>
        </w:rPr>
        <w:t>万元。其中：基本支出679.76万元，在职人员工资福利及社会保险缴费、离休人员离休费、退休人员补助等，保障部门正常运转的各项商品服务支出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highlight w:val="none"/>
        </w:rPr>
        <w:t>比</w:t>
      </w:r>
      <w:r>
        <w:rPr>
          <w:rFonts w:hint="eastAsia" w:ascii="Times New Roman" w:hAnsi="Times New Roman" w:eastAsia="方正仿宋_GBK" w:cs="Times New Roman"/>
          <w:sz w:val="32"/>
          <w:szCs w:val="32"/>
          <w:highlight w:val="none"/>
          <w:lang w:eastAsia="zh-CN"/>
        </w:rPr>
        <w:t>2024年</w:t>
      </w:r>
      <w:r>
        <w:rPr>
          <w:rFonts w:hint="default" w:ascii="Times New Roman" w:hAnsi="Times New Roman" w:eastAsia="方正仿宋_GBK" w:cs="Times New Roman"/>
          <w:sz w:val="32"/>
          <w:szCs w:val="32"/>
          <w:highlight w:val="none"/>
        </w:rPr>
        <w:t>增加</w:t>
      </w:r>
      <w:r>
        <w:rPr>
          <w:rFonts w:hint="eastAsia" w:ascii="Times New Roman" w:hAnsi="Times New Roman" w:eastAsia="方正仿宋_GBK" w:cs="Times New Roman"/>
          <w:sz w:val="32"/>
          <w:szCs w:val="32"/>
          <w:highlight w:val="none"/>
          <w:lang w:val="en-US" w:eastAsia="zh-CN"/>
        </w:rPr>
        <w:t>1.35</w:t>
      </w:r>
      <w:r>
        <w:rPr>
          <w:rFonts w:hint="default" w:ascii="Times New Roman" w:hAnsi="Times New Roman" w:eastAsia="方正仿宋_GBK" w:cs="Times New Roman"/>
          <w:sz w:val="32"/>
          <w:szCs w:val="32"/>
          <w:highlight w:val="none"/>
        </w:rPr>
        <w:t>万元，主</w:t>
      </w:r>
      <w:r>
        <w:rPr>
          <w:rFonts w:hint="default" w:ascii="Times New Roman" w:hAnsi="Times New Roman" w:eastAsia="方正仿宋_GBK" w:cs="Times New Roman"/>
          <w:sz w:val="32"/>
          <w:szCs w:val="32"/>
        </w:rPr>
        <w:t>要原因是</w:t>
      </w:r>
      <w:r>
        <w:rPr>
          <w:rFonts w:hint="eastAsia" w:ascii="Times New Roman" w:hAnsi="Times New Roman" w:eastAsia="方正仿宋_GBK" w:cs="Times New Roman"/>
          <w:sz w:val="32"/>
          <w:szCs w:val="32"/>
          <w:lang w:val="en-US" w:eastAsia="zh-CN"/>
        </w:rPr>
        <w:t>人员增加，工资调标</w:t>
      </w:r>
      <w:r>
        <w:rPr>
          <w:rFonts w:hint="default" w:ascii="Times New Roman" w:hAnsi="Times New Roman" w:eastAsia="方正仿宋_GBK" w:cs="Times New Roman"/>
          <w:sz w:val="32"/>
          <w:szCs w:val="32"/>
        </w:rPr>
        <w:t>；项目支出222.83万元，主要用于</w:t>
      </w:r>
      <w:r>
        <w:rPr>
          <w:rFonts w:hint="eastAsia" w:ascii="Times New Roman" w:hAnsi="Times New Roman" w:eastAsia="方正仿宋_GBK" w:cs="Times New Roman"/>
          <w:sz w:val="32"/>
          <w:szCs w:val="32"/>
          <w:lang w:val="en-US" w:eastAsia="zh-CN"/>
        </w:rPr>
        <w:t>农林水等</w:t>
      </w:r>
      <w:r>
        <w:rPr>
          <w:rFonts w:hint="default" w:ascii="Times New Roman" w:hAnsi="Times New Roman" w:eastAsia="方正仿宋_GBK" w:cs="Times New Roman"/>
          <w:sz w:val="32"/>
          <w:szCs w:val="32"/>
        </w:rPr>
        <w:t>重点工作，比</w:t>
      </w:r>
      <w:r>
        <w:rPr>
          <w:rFonts w:hint="eastAsia"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51.67</w:t>
      </w:r>
      <w:r>
        <w:rPr>
          <w:rFonts w:hint="default" w:ascii="Times New Roman" w:hAnsi="Times New Roman" w:eastAsia="方正仿宋_GBK" w:cs="Times New Roman"/>
          <w:sz w:val="32"/>
          <w:szCs w:val="32"/>
        </w:rPr>
        <w:t>万元，主要原因是</w:t>
      </w:r>
      <w:r>
        <w:rPr>
          <w:rFonts w:hint="eastAsia" w:ascii="Times New Roman" w:hAnsi="Times New Roman" w:eastAsia="方正仿宋_GBK" w:cs="Times New Roman"/>
          <w:sz w:val="32"/>
          <w:szCs w:val="32"/>
          <w:lang w:eastAsia="zh-CN"/>
        </w:rPr>
        <w:t>本年度项目减少</w:t>
      </w:r>
      <w:r>
        <w:rPr>
          <w:rFonts w:hint="default" w:ascii="Times New Roman" w:hAnsi="Times New Roman" w:eastAsia="方正仿宋_GBK" w:cs="Times New Roman"/>
          <w:sz w:val="32"/>
          <w:szCs w:val="32"/>
        </w:rPr>
        <w:t>。</w:t>
      </w:r>
    </w:p>
    <w:p w14:paraId="05344F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lang w:eastAsia="zh-CN"/>
        </w:rPr>
        <w:t>2025年</w:t>
      </w:r>
      <w:r>
        <w:rPr>
          <w:rFonts w:hint="default" w:ascii="Times New Roman" w:hAnsi="Times New Roman" w:eastAsia="方正仿宋_GBK" w:cs="Times New Roman"/>
          <w:sz w:val="32"/>
        </w:rPr>
        <w:t>无使用政府性基金预算拨款安排的支出</w:t>
      </w:r>
      <w:r>
        <w:rPr>
          <w:rFonts w:hint="default" w:ascii="Times New Roman" w:hAnsi="Times New Roman" w:eastAsia="方正仿宋_GBK" w:cs="Times New Roman"/>
          <w:sz w:val="32"/>
          <w:szCs w:val="32"/>
        </w:rPr>
        <w:t>，与上年保持一致</w:t>
      </w:r>
      <w:r>
        <w:rPr>
          <w:rFonts w:hint="default" w:ascii="Times New Roman" w:hAnsi="Times New Roman" w:eastAsia="方正仿宋_GBK" w:cs="Times New Roman"/>
          <w:sz w:val="32"/>
        </w:rPr>
        <w:t>”</w:t>
      </w:r>
      <w:r>
        <w:rPr>
          <w:rFonts w:hint="eastAsia" w:ascii="Times New Roman" w:hAnsi="Times New Roman" w:eastAsia="方正仿宋_GBK" w:cs="Times New Roman"/>
          <w:sz w:val="32"/>
          <w:lang w:eastAsia="zh-CN"/>
        </w:rPr>
        <w:t>。</w:t>
      </w:r>
    </w:p>
    <w:p w14:paraId="5001DF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四、“三公”经费情况说明</w:t>
      </w:r>
    </w:p>
    <w:p w14:paraId="09CEA9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2025年</w:t>
      </w:r>
      <w:r>
        <w:rPr>
          <w:rFonts w:hint="default" w:ascii="Times New Roman" w:hAnsi="Times New Roman" w:eastAsia="方正仿宋_GBK" w:cs="Times New Roman"/>
          <w:sz w:val="32"/>
          <w:szCs w:val="32"/>
        </w:rPr>
        <w:t>“三公”经费预算</w:t>
      </w:r>
      <w:r>
        <w:rPr>
          <w:rFonts w:hint="eastAsia" w:ascii="Times New Roman" w:hAnsi="Times New Roman" w:eastAsia="方正仿宋_GBK" w:cs="Times New Roman"/>
          <w:sz w:val="32"/>
          <w:szCs w:val="32"/>
          <w:lang w:val="en-US" w:eastAsia="zh-CN"/>
        </w:rPr>
        <w:t>12.28</w:t>
      </w:r>
      <w:r>
        <w:rPr>
          <w:rFonts w:hint="default" w:ascii="Times New Roman" w:hAnsi="Times New Roman" w:eastAsia="方正仿宋_GBK" w:cs="Times New Roman"/>
          <w:sz w:val="32"/>
          <w:szCs w:val="32"/>
        </w:rPr>
        <w:t>万元，比</w:t>
      </w:r>
      <w:r>
        <w:rPr>
          <w:rFonts w:hint="eastAsia"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0.02</w:t>
      </w:r>
      <w:r>
        <w:rPr>
          <w:rFonts w:hint="default" w:ascii="Times New Roman" w:hAnsi="Times New Roman" w:eastAsia="方正仿宋_GBK" w:cs="Times New Roman"/>
          <w:sz w:val="32"/>
          <w:szCs w:val="32"/>
        </w:rPr>
        <w:t>万元。其中：公务接待费</w:t>
      </w:r>
      <w:r>
        <w:rPr>
          <w:rFonts w:hint="eastAsia" w:ascii="Times New Roman" w:hAnsi="Times New Roman" w:eastAsia="方正仿宋_GBK" w:cs="Times New Roman"/>
          <w:sz w:val="32"/>
          <w:szCs w:val="32"/>
          <w:lang w:val="en-US" w:eastAsia="zh-CN"/>
        </w:rPr>
        <w:t>6.28</w:t>
      </w:r>
      <w:r>
        <w:rPr>
          <w:rFonts w:hint="default" w:ascii="Times New Roman" w:hAnsi="Times New Roman" w:eastAsia="方正仿宋_GBK" w:cs="Times New Roman"/>
          <w:sz w:val="32"/>
          <w:szCs w:val="32"/>
        </w:rPr>
        <w:t>万元，比</w:t>
      </w:r>
      <w:r>
        <w:rPr>
          <w:rFonts w:hint="eastAsia" w:ascii="Times New Roman" w:hAnsi="Times New Roman" w:eastAsia="方正仿宋_GBK" w:cs="Times New Roman"/>
          <w:sz w:val="32"/>
          <w:szCs w:val="32"/>
          <w:lang w:eastAsia="zh-CN"/>
        </w:rPr>
        <w:t>2024年</w:t>
      </w:r>
      <w:r>
        <w:rPr>
          <w:rFonts w:hint="default"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0.02</w:t>
      </w:r>
      <w:r>
        <w:rPr>
          <w:rFonts w:hint="default" w:ascii="Times New Roman" w:hAnsi="Times New Roman" w:eastAsia="方正仿宋_GBK" w:cs="Times New Roman"/>
          <w:sz w:val="32"/>
          <w:szCs w:val="32"/>
        </w:rPr>
        <w:t>万元，主要原因是</w:t>
      </w:r>
      <w:r>
        <w:rPr>
          <w:rFonts w:hint="eastAsia" w:ascii="Times New Roman" w:hAnsi="Times New Roman" w:eastAsia="方正仿宋_GBK" w:cs="Times New Roman"/>
          <w:sz w:val="32"/>
          <w:szCs w:val="32"/>
          <w:lang w:eastAsia="zh-CN"/>
        </w:rPr>
        <w:t>厉行节约，节省开支</w:t>
      </w:r>
      <w:r>
        <w:rPr>
          <w:rFonts w:hint="default" w:ascii="Times New Roman" w:hAnsi="Times New Roman" w:eastAsia="方正仿宋_GBK" w:cs="Times New Roman"/>
          <w:sz w:val="32"/>
          <w:szCs w:val="32"/>
        </w:rPr>
        <w:t>；公务用车运行维护费</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val="en-US" w:eastAsia="zh-CN"/>
        </w:rPr>
        <w:t>与上年保持一致</w:t>
      </w:r>
      <w:r>
        <w:rPr>
          <w:rFonts w:hint="default" w:ascii="Times New Roman" w:hAnsi="Times New Roman" w:eastAsia="方正仿宋_GBK" w:cs="Times New Roman"/>
          <w:sz w:val="32"/>
          <w:szCs w:val="32"/>
          <w:lang w:eastAsia="zh-CN"/>
        </w:rPr>
        <w:t>。</w:t>
      </w:r>
    </w:p>
    <w:p w14:paraId="5BF2B5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五、其他重要事项的情况说明</w:t>
      </w:r>
    </w:p>
    <w:p w14:paraId="200C78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机关运行经费。</w:t>
      </w:r>
      <w:r>
        <w:rPr>
          <w:rFonts w:hint="eastAsia" w:ascii="Times New Roman" w:hAnsi="Times New Roman" w:eastAsia="方正仿宋_GBK" w:cs="Times New Roman"/>
          <w:sz w:val="32"/>
          <w:szCs w:val="32"/>
          <w:lang w:eastAsia="zh-CN"/>
        </w:rPr>
        <w:t>2025年</w:t>
      </w:r>
      <w:r>
        <w:rPr>
          <w:rFonts w:hint="default" w:ascii="Times New Roman" w:hAnsi="Times New Roman" w:eastAsia="方正仿宋_GBK" w:cs="Times New Roman"/>
          <w:sz w:val="32"/>
          <w:szCs w:val="32"/>
        </w:rPr>
        <w:t>一般公共预算财政拨款运行经费</w:t>
      </w:r>
      <w:r>
        <w:rPr>
          <w:rFonts w:hint="eastAsia" w:ascii="Times New Roman" w:hAnsi="Times New Roman" w:eastAsia="方正仿宋_GBK" w:cs="Times New Roman"/>
          <w:sz w:val="32"/>
          <w:szCs w:val="32"/>
          <w:lang w:val="en-US" w:eastAsia="zh-CN"/>
        </w:rPr>
        <w:t>61.73</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比2024年</w:t>
      </w:r>
      <w:r>
        <w:rPr>
          <w:rFonts w:hint="default" w:ascii="Times New Roman" w:hAnsi="Times New Roman" w:eastAsia="方正仿宋_GBK" w:cs="Times New Roman"/>
          <w:sz w:val="32"/>
          <w:szCs w:val="32"/>
        </w:rPr>
        <w:t>增加</w:t>
      </w:r>
      <w:r>
        <w:rPr>
          <w:rFonts w:hint="eastAsia" w:ascii="Times New Roman" w:hAnsi="Times New Roman" w:eastAsia="方正仿宋_GBK" w:cs="Times New Roman"/>
          <w:sz w:val="32"/>
          <w:szCs w:val="32"/>
          <w:lang w:val="en-US" w:eastAsia="zh-CN"/>
        </w:rPr>
        <w:t>2.41</w:t>
      </w:r>
      <w:r>
        <w:rPr>
          <w:rFonts w:hint="default" w:ascii="Times New Roman" w:hAnsi="Times New Roman" w:eastAsia="方正仿宋_GBK" w:cs="Times New Roman"/>
          <w:sz w:val="32"/>
          <w:szCs w:val="32"/>
        </w:rPr>
        <w:t>万元，主要原因为</w:t>
      </w:r>
      <w:r>
        <w:rPr>
          <w:rFonts w:hint="eastAsia" w:ascii="Times New Roman" w:hAnsi="Times New Roman" w:eastAsia="方正仿宋_GBK" w:cs="Times New Roman"/>
          <w:sz w:val="32"/>
          <w:szCs w:val="32"/>
          <w:lang w:eastAsia="zh-CN"/>
        </w:rPr>
        <w:t>物价上涨</w:t>
      </w:r>
      <w:r>
        <w:rPr>
          <w:rFonts w:hint="default" w:ascii="Times New Roman" w:hAnsi="Times New Roman" w:eastAsia="方正仿宋_GBK" w:cs="Times New Roman"/>
          <w:sz w:val="32"/>
          <w:szCs w:val="32"/>
        </w:rPr>
        <w:t>；主要用于办公费、印刷费、邮电费、水电</w:t>
      </w:r>
      <w:r>
        <w:rPr>
          <w:rFonts w:hint="default" w:ascii="Times New Roman" w:hAnsi="Times New Roman" w:eastAsia="方正仿宋_GBK" w:cs="Times New Roman"/>
          <w:sz w:val="32"/>
        </w:rPr>
        <w:t>费、物管费、差旅费、会议费、培训费及其他商品和服务支出等。</w:t>
      </w:r>
    </w:p>
    <w:p w14:paraId="593DDF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政府采购情况。所属各预算单位政府采购预算总额</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万元：政府采购货物预算</w:t>
      </w:r>
      <w:r>
        <w:rPr>
          <w:rFonts w:hint="eastAsia" w:ascii="Times New Roman" w:hAnsi="Times New Roman" w:eastAsia="方正仿宋_GBK" w:cs="Times New Roman"/>
          <w:sz w:val="32"/>
          <w:szCs w:val="32"/>
          <w:lang w:val="en-US" w:eastAsia="zh-CN"/>
        </w:rPr>
        <w:t>4.4</w:t>
      </w:r>
      <w:r>
        <w:rPr>
          <w:rFonts w:hint="default" w:ascii="Times New Roman" w:hAnsi="Times New Roman" w:eastAsia="方正仿宋_GBK" w:cs="Times New Roman"/>
          <w:sz w:val="32"/>
          <w:szCs w:val="32"/>
        </w:rPr>
        <w:t>万元、政府采购服务预算</w:t>
      </w:r>
      <w:r>
        <w:rPr>
          <w:rFonts w:hint="eastAsia" w:ascii="Times New Roman" w:hAnsi="Times New Roman" w:eastAsia="方正仿宋_GBK" w:cs="Times New Roman"/>
          <w:sz w:val="32"/>
          <w:szCs w:val="32"/>
          <w:lang w:val="en-US" w:eastAsia="zh-CN"/>
        </w:rPr>
        <w:t>0.6</w:t>
      </w:r>
      <w:r>
        <w:rPr>
          <w:rFonts w:hint="default" w:ascii="Times New Roman" w:hAnsi="Times New Roman" w:eastAsia="方正仿宋_GBK" w:cs="Times New Roman"/>
          <w:sz w:val="32"/>
          <w:szCs w:val="32"/>
        </w:rPr>
        <w:t>万元；其中一般公共预算拨款政府采购</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万元：政府采购货物预算</w:t>
      </w:r>
      <w:r>
        <w:rPr>
          <w:rFonts w:hint="eastAsia" w:ascii="Times New Roman" w:hAnsi="Times New Roman" w:eastAsia="方正仿宋_GBK" w:cs="Times New Roman"/>
          <w:sz w:val="32"/>
          <w:szCs w:val="32"/>
          <w:lang w:val="en-US" w:eastAsia="zh-CN"/>
        </w:rPr>
        <w:t>4.4</w:t>
      </w:r>
      <w:r>
        <w:rPr>
          <w:rFonts w:hint="default" w:ascii="Times New Roman" w:hAnsi="Times New Roman" w:eastAsia="方正仿宋_GBK" w:cs="Times New Roman"/>
          <w:sz w:val="32"/>
          <w:szCs w:val="32"/>
        </w:rPr>
        <w:t>万元、政府采购服务预算</w:t>
      </w:r>
      <w:r>
        <w:rPr>
          <w:rFonts w:hint="eastAsia" w:ascii="Times New Roman" w:hAnsi="Times New Roman" w:eastAsia="方正仿宋_GBK" w:cs="Times New Roman"/>
          <w:sz w:val="32"/>
          <w:szCs w:val="32"/>
          <w:lang w:val="en-US" w:eastAsia="zh-CN"/>
        </w:rPr>
        <w:t>0.6</w:t>
      </w:r>
      <w:r>
        <w:rPr>
          <w:rFonts w:hint="default" w:ascii="Times New Roman" w:hAnsi="Times New Roman" w:eastAsia="方正仿宋_GBK" w:cs="Times New Roman"/>
          <w:sz w:val="32"/>
          <w:szCs w:val="32"/>
        </w:rPr>
        <w:t>万元。</w:t>
      </w:r>
    </w:p>
    <w:p w14:paraId="3377AF26">
      <w:pPr>
        <w:keepNext w:val="0"/>
        <w:keepLines w:val="0"/>
        <w:pageBreakBefore w:val="0"/>
        <w:widowControl w:val="0"/>
        <w:kinsoku/>
        <w:wordWrap/>
        <w:overflowPunct/>
        <w:topLinePunct w:val="0"/>
        <w:autoSpaceDE/>
        <w:autoSpaceDN/>
        <w:bidi w:val="0"/>
        <w:adjustRightInd/>
        <w:snapToGrid/>
        <w:ind w:left="105" w:leftChars="5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绩效目标设置情况。</w:t>
      </w:r>
      <w:r>
        <w:rPr>
          <w:rFonts w:hint="eastAsia" w:ascii="Times New Roman" w:hAnsi="Times New Roman" w:eastAsia="方正仿宋_GBK" w:cs="Times New Roman"/>
          <w:sz w:val="32"/>
          <w:szCs w:val="32"/>
          <w:lang w:eastAsia="zh-CN"/>
        </w:rPr>
        <w:t>2025年</w:t>
      </w:r>
      <w:r>
        <w:rPr>
          <w:rFonts w:hint="default" w:ascii="Times New Roman" w:hAnsi="Times New Roman" w:eastAsia="方正仿宋_GBK" w:cs="Times New Roman"/>
          <w:sz w:val="32"/>
          <w:szCs w:val="32"/>
        </w:rPr>
        <w:t>项目支出均实行了绩效目标管理，涉及一般公共预算财政拨款222.83万元。</w:t>
      </w:r>
    </w:p>
    <w:p w14:paraId="4C5ED0B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rPr>
        <w:t>国有资产占有使用情况。</w:t>
      </w:r>
      <w:r>
        <w:rPr>
          <w:rFonts w:hint="eastAsia" w:ascii="Times New Roman" w:hAnsi="Times New Roman" w:eastAsia="方正仿宋_GBK" w:cs="Times New Roman"/>
          <w:sz w:val="32"/>
          <w:szCs w:val="32"/>
          <w:lang w:eastAsia="zh-CN"/>
        </w:rPr>
        <w:t>截至2024年</w:t>
      </w:r>
      <w:r>
        <w:rPr>
          <w:rFonts w:hint="default" w:ascii="Times New Roman" w:hAnsi="Times New Roman" w:eastAsia="方正仿宋_GBK" w:cs="Times New Roman"/>
          <w:sz w:val="32"/>
          <w:szCs w:val="32"/>
        </w:rPr>
        <w:t>12月，所属各预算单位共有车辆</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辆，其中一般公务用车</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辆。</w:t>
      </w:r>
    </w:p>
    <w:p w14:paraId="4094CB55">
      <w:pPr>
        <w:spacing w:line="600" w:lineRule="exact"/>
        <w:ind w:firstLine="640" w:firstLineChars="200"/>
        <w:rPr>
          <w:rFonts w:hint="eastAsia" w:ascii="Times New Roman" w:hAnsi="Times New Roman" w:eastAsia="方正黑体_GBK" w:cs="仿宋_GB2312"/>
          <w:sz w:val="32"/>
        </w:rPr>
      </w:pPr>
      <w:r>
        <w:rPr>
          <w:rFonts w:hint="default" w:ascii="Times New Roman" w:hAnsi="Times New Roman" w:eastAsia="方正黑体_GBK" w:cs="Times New Roman"/>
          <w:sz w:val="32"/>
        </w:rPr>
        <w:t>六、专业性名词解释</w:t>
      </w:r>
      <w:r>
        <w:rPr>
          <w:rFonts w:hint="eastAsia" w:ascii="Times New Roman" w:hAnsi="Times New Roman" w:eastAsia="方正黑体_GBK" w:cs="仿宋_GB2312"/>
          <w:sz w:val="32"/>
        </w:rPr>
        <w:t>（纳入向社会公开范围的</w:t>
      </w:r>
      <w:r>
        <w:rPr>
          <w:rFonts w:hint="eastAsia" w:ascii="Times New Roman" w:hAnsi="Times New Roman" w:eastAsia="方正黑体_GBK" w:cs="仿宋_GB2312"/>
          <w:sz w:val="32"/>
          <w:lang w:eastAsia="zh-CN"/>
        </w:rPr>
        <w:t>单位</w:t>
      </w:r>
      <w:r>
        <w:rPr>
          <w:rFonts w:hint="eastAsia" w:ascii="Times New Roman" w:hAnsi="Times New Roman" w:eastAsia="方正黑体_GBK" w:cs="仿宋_GB2312"/>
          <w:sz w:val="32"/>
        </w:rPr>
        <w:t>必须填写）</w:t>
      </w:r>
    </w:p>
    <w:p w14:paraId="04A8A8DF">
      <w:pPr>
        <w:spacing w:line="578" w:lineRule="exact"/>
        <w:ind w:firstLine="640" w:firstLineChars="200"/>
        <w:rPr>
          <w:rFonts w:hint="default" w:ascii="Times New Roman" w:hAnsi="Times New Roman" w:eastAsia="方正仿宋_GBK" w:cs="Times New Roman"/>
          <w:sz w:val="32"/>
        </w:rPr>
      </w:pPr>
      <w:r>
        <w:rPr>
          <w:rFonts w:hint="eastAsia" w:ascii="Times New Roman" w:hAnsi="Times New Roman" w:eastAsia="方正仿宋_GBK"/>
          <w:sz w:val="32"/>
          <w:szCs w:val="32"/>
        </w:rPr>
        <w:t>（以下为常见专业名词解释，单位应根据实际情况进行解释和增减。）</w:t>
      </w:r>
    </w:p>
    <w:p w14:paraId="091A71BD">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（一）财政拨款收入</w:t>
      </w:r>
      <w:r>
        <w:rPr>
          <w:rFonts w:hint="default" w:ascii="Times New Roman" w:hAnsi="Times New Roman" w:eastAsia="方正仿宋_GBK" w:cs="Times New Roman"/>
          <w:sz w:val="32"/>
        </w:rPr>
        <w:t>：指本年度从本级财政部门取得的财政拨款，包括一般公共预算财政拨款</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政府性基金预算财政拨款和</w:t>
      </w:r>
      <w:r>
        <w:rPr>
          <w:rFonts w:hint="default" w:ascii="Times New Roman" w:hAnsi="Times New Roman" w:eastAsia="方正仿宋_GBK" w:cs="Times New Roman"/>
          <w:sz w:val="32"/>
          <w:szCs w:val="32"/>
        </w:rPr>
        <w:t>国有资本经营预算</w:t>
      </w:r>
      <w:r>
        <w:rPr>
          <w:rFonts w:hint="default" w:ascii="Times New Roman" w:hAnsi="Times New Roman" w:eastAsia="方正仿宋_GBK" w:cs="Times New Roman"/>
          <w:sz w:val="32"/>
        </w:rPr>
        <w:t>财政拨款。</w:t>
      </w:r>
    </w:p>
    <w:p w14:paraId="333CD32B">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（二）其他收入</w:t>
      </w:r>
      <w:r>
        <w:rPr>
          <w:rFonts w:hint="default" w:ascii="Times New Roman" w:hAnsi="Times New Roman" w:eastAsia="方正仿宋_GBK" w:cs="Times New Roman"/>
          <w:sz w:val="32"/>
        </w:rPr>
        <w:t>：指单位取得的除“财政拨款收入”、“事业收入”、“经营收入”等以外的收入。</w:t>
      </w:r>
    </w:p>
    <w:p w14:paraId="15745F4C">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（三）基本支出</w:t>
      </w:r>
      <w:r>
        <w:rPr>
          <w:rFonts w:hint="default" w:ascii="Times New Roman" w:hAnsi="Times New Roman" w:eastAsia="方正仿宋_GBK" w:cs="Times New Roman"/>
          <w:sz w:val="32"/>
        </w:rPr>
        <w:t>：指为保障机构正常运转、完成日常工作任务而发生的人员经费和公用经费。</w:t>
      </w:r>
    </w:p>
    <w:p w14:paraId="65E2640A">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（四）项目支出</w:t>
      </w:r>
      <w:r>
        <w:rPr>
          <w:rFonts w:hint="default" w:ascii="Times New Roman" w:hAnsi="Times New Roman" w:eastAsia="方正仿宋_GBK" w:cs="Times New Roman"/>
          <w:sz w:val="32"/>
        </w:rPr>
        <w:t>：指在基本支出之外为完成特定行政任务和事业发展目标所发生的支出。</w:t>
      </w:r>
    </w:p>
    <w:p w14:paraId="5154E6DD">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（五）“三公”经费</w:t>
      </w:r>
      <w:r>
        <w:rPr>
          <w:rFonts w:hint="default" w:ascii="Times New Roman" w:hAnsi="Times New Roman" w:eastAsia="方正仿宋_GBK" w:cs="Times New Roman"/>
          <w:sz w:val="32"/>
        </w:rPr>
        <w:t>：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894A4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p>
    <w:p w14:paraId="76978DF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rPr>
        <w:t>部门预算公开联系人：</w:t>
      </w:r>
      <w:r>
        <w:rPr>
          <w:rFonts w:hint="eastAsia" w:ascii="Times New Roman" w:hAnsi="Times New Roman" w:eastAsia="方正仿宋_GBK" w:cs="Times New Roman"/>
          <w:sz w:val="32"/>
          <w:szCs w:val="32"/>
          <w:lang w:val="en-US" w:eastAsia="zh-CN"/>
        </w:rPr>
        <w:t>谭雅馨</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联系方式：</w:t>
      </w:r>
      <w:r>
        <w:rPr>
          <w:rFonts w:hint="default" w:ascii="Times New Roman" w:hAnsi="Times New Roman" w:eastAsia="方正仿宋_GBK" w:cs="Times New Roman"/>
          <w:sz w:val="32"/>
          <w:szCs w:val="32"/>
          <w:highlight w:val="none"/>
          <w:lang w:val="en-US" w:eastAsia="zh-CN"/>
        </w:rPr>
        <w:t>023-</w:t>
      </w:r>
      <w:r>
        <w:rPr>
          <w:rFonts w:hint="eastAsia" w:ascii="Times New Roman" w:hAnsi="Times New Roman" w:eastAsia="方正仿宋_GBK" w:cs="Times New Roman"/>
          <w:sz w:val="32"/>
          <w:szCs w:val="32"/>
          <w:highlight w:val="none"/>
          <w:lang w:val="en-US" w:eastAsia="zh-CN"/>
        </w:rPr>
        <w:t>73305001</w:t>
      </w:r>
    </w:p>
    <w:p w14:paraId="09094E3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仿宋_GBK" w:cs="Times New Roman"/>
          <w:sz w:val="32"/>
          <w:szCs w:val="32"/>
          <w:highlight w:val="none"/>
          <w:lang w:val="en-US" w:eastAsia="zh-CN"/>
        </w:rPr>
      </w:pP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00000" w:usb3="00000000" w:csb0="00040000" w:csb1="00000000"/>
  </w:font>
  <w:font w:name="方正楷体_GBK">
    <w:altName w:val="Arial Unicode MS"/>
    <w:panose1 w:val="02000000000000000000"/>
    <w:charset w:val="86"/>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CF0"/>
    <w:rsid w:val="000065FF"/>
    <w:rsid w:val="00025D49"/>
    <w:rsid w:val="000E6986"/>
    <w:rsid w:val="000E7A86"/>
    <w:rsid w:val="00104156"/>
    <w:rsid w:val="001C295B"/>
    <w:rsid w:val="001F62A7"/>
    <w:rsid w:val="00201E27"/>
    <w:rsid w:val="00295D2E"/>
    <w:rsid w:val="002F0B32"/>
    <w:rsid w:val="00315FF1"/>
    <w:rsid w:val="00326B00"/>
    <w:rsid w:val="00357D5D"/>
    <w:rsid w:val="00366915"/>
    <w:rsid w:val="003C56C2"/>
    <w:rsid w:val="003F3271"/>
    <w:rsid w:val="00412B49"/>
    <w:rsid w:val="0048380D"/>
    <w:rsid w:val="005124F3"/>
    <w:rsid w:val="00562209"/>
    <w:rsid w:val="005A5BC6"/>
    <w:rsid w:val="006E66F0"/>
    <w:rsid w:val="00746575"/>
    <w:rsid w:val="0075644E"/>
    <w:rsid w:val="0076031D"/>
    <w:rsid w:val="00825E43"/>
    <w:rsid w:val="00892B61"/>
    <w:rsid w:val="009027F8"/>
    <w:rsid w:val="009A024E"/>
    <w:rsid w:val="009C0C1E"/>
    <w:rsid w:val="00A85988"/>
    <w:rsid w:val="00AB4CBD"/>
    <w:rsid w:val="00AF7912"/>
    <w:rsid w:val="00B25CF0"/>
    <w:rsid w:val="00B67C25"/>
    <w:rsid w:val="00BA6131"/>
    <w:rsid w:val="00BB7769"/>
    <w:rsid w:val="00C22196"/>
    <w:rsid w:val="00C264FA"/>
    <w:rsid w:val="00CB5754"/>
    <w:rsid w:val="00CC1EFB"/>
    <w:rsid w:val="00CC6777"/>
    <w:rsid w:val="00D17EA8"/>
    <w:rsid w:val="00DE312C"/>
    <w:rsid w:val="00E10E1B"/>
    <w:rsid w:val="00E4250B"/>
    <w:rsid w:val="00E438FD"/>
    <w:rsid w:val="00E83EC4"/>
    <w:rsid w:val="00F07238"/>
    <w:rsid w:val="00F35787"/>
    <w:rsid w:val="00F602BE"/>
    <w:rsid w:val="00FE3041"/>
    <w:rsid w:val="03B55332"/>
    <w:rsid w:val="0D7A365A"/>
    <w:rsid w:val="133B1901"/>
    <w:rsid w:val="19DB55F5"/>
    <w:rsid w:val="1B953E2B"/>
    <w:rsid w:val="1DD801A3"/>
    <w:rsid w:val="1EAF42D1"/>
    <w:rsid w:val="252C3C2A"/>
    <w:rsid w:val="274B199A"/>
    <w:rsid w:val="2A1750A8"/>
    <w:rsid w:val="2BE20CDE"/>
    <w:rsid w:val="32513FE1"/>
    <w:rsid w:val="387110B4"/>
    <w:rsid w:val="3A720DEA"/>
    <w:rsid w:val="3B9B3520"/>
    <w:rsid w:val="489617E1"/>
    <w:rsid w:val="4C266240"/>
    <w:rsid w:val="4D5D69EE"/>
    <w:rsid w:val="5A254D94"/>
    <w:rsid w:val="5B8E1A9F"/>
    <w:rsid w:val="5CF21E57"/>
    <w:rsid w:val="5DBC76CE"/>
    <w:rsid w:val="65A30990"/>
    <w:rsid w:val="67920983"/>
    <w:rsid w:val="6AA0021E"/>
    <w:rsid w:val="71597F39"/>
    <w:rsid w:val="765B377A"/>
    <w:rsid w:val="79CF62B4"/>
    <w:rsid w:val="7B1B3F68"/>
    <w:rsid w:val="9FDD7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10"/>
    <w:qFormat/>
    <w:uiPriority w:val="0"/>
    <w:pPr>
      <w:snapToGrid w:val="0"/>
      <w:jc w:val="left"/>
    </w:pPr>
    <w:rPr>
      <w:sz w:val="18"/>
      <w:szCs w:val="18"/>
    </w:rPr>
  </w:style>
  <w:style w:type="paragraph" w:styleId="4">
    <w:name w:val="header"/>
    <w:basedOn w:val="1"/>
    <w:link w:val="9"/>
    <w:qFormat/>
    <w:uiPriority w:val="0"/>
    <w:pPr>
      <w:pBdr>
        <w:bottom w:val="single" w:color="auto" w:sz="6" w:space="1"/>
      </w:pBdr>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
    <w:name w:val="批注框文本 字符"/>
    <w:link w:val="2"/>
    <w:qFormat/>
    <w:uiPriority w:val="0"/>
    <w:rPr>
      <w:kern w:val="2"/>
      <w:sz w:val="18"/>
      <w:szCs w:val="18"/>
    </w:rPr>
  </w:style>
  <w:style w:type="character" w:customStyle="1" w:styleId="9">
    <w:name w:val="页眉 字符"/>
    <w:link w:val="4"/>
    <w:qFormat/>
    <w:uiPriority w:val="0"/>
    <w:rPr>
      <w:kern w:val="2"/>
      <w:sz w:val="18"/>
      <w:szCs w:val="18"/>
    </w:rPr>
  </w:style>
  <w:style w:type="character" w:customStyle="1" w:styleId="10">
    <w:name w:val="页脚 字符"/>
    <w:link w:val="3"/>
    <w:qFormat/>
    <w:uiPriority w:val="0"/>
    <w:rPr>
      <w:kern w:val="2"/>
      <w:sz w:val="18"/>
      <w:szCs w:val="18"/>
    </w:rPr>
  </w:style>
  <w:style w:type="paragraph" w:styleId="11">
    <w:name w:val="List Paragraph"/>
    <w:basedOn w:val="1"/>
    <w:qFormat/>
    <w:uiPriority w:val="0"/>
    <w:pPr>
      <w:ind w:firstLine="420" w:firstLineChars="200"/>
    </w:pPr>
  </w:style>
  <w:style w:type="character" w:customStyle="1" w:styleId="12">
    <w:name w:val="23"/>
    <w:basedOn w:val="7"/>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1594</Words>
  <Characters>1786</Characters>
  <Lines>8</Lines>
  <Paragraphs>2</Paragraphs>
  <TotalTime>17</TotalTime>
  <ScaleCrop>false</ScaleCrop>
  <LinksUpToDate>false</LinksUpToDate>
  <CharactersWithSpaces>1801</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2021-12-14T11:09:00Z</dcterms:created>
  <dc:creator>Administrator</dc:creator>
  <cp:lastModifiedBy>安然弱水</cp:lastModifiedBy>
  <cp:lastPrinted>2018-01-02T16:11:00Z</cp:lastPrinted>
  <dcterms:modified xsi:type="dcterms:W3CDTF">2026-09-07T08:19:26Z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BC46DE40CF9B4776AA076014997ADBE0</vt:lpwstr>
  </property>
  <property fmtid="{D5CDD505-2E9C-101B-9397-08002B2CF9AE}" pid="4" name="KSOTemplateDocerSaveRecord">
    <vt:lpwstr>eyJoZGlkIjoiM2VmN2NkNzlhZDllNTk4ZDQyYWY1YjAzNzZkNTk2YWEiLCJ1c2VySWQiOiIxMzAwNjA3NzU5In0=</vt:lpwstr>
  </property>
</Properties>
</file>