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w:t>
      </w:r>
      <w:r>
        <w:rPr>
          <w:rFonts w:hint="eastAsia" w:ascii="Times New Roman" w:hAnsi="Times New Roman" w:eastAsia="方正小标宋_GBK" w:cs="Times New Roman"/>
          <w:sz w:val="44"/>
          <w:szCs w:val="44"/>
          <w:lang w:val="en-US" w:eastAsia="zh-CN"/>
        </w:rPr>
        <w:t>龙潭乡</w:t>
      </w:r>
      <w:r>
        <w:rPr>
          <w:rFonts w:hint="default" w:ascii="Times New Roman" w:hAnsi="Times New Roman" w:eastAsia="方正小标宋_GBK" w:cs="Times New Roman"/>
          <w:sz w:val="44"/>
          <w:szCs w:val="44"/>
        </w:rPr>
        <w:t>人民政府</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both"/>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vertAlign w:val="baseline"/>
        </w:rPr>
        <w:t>以乡村振兴为抓手，全面改善农民生产生活条件；以重大项目建设服务为突破口，全力推动经济社会发展；规范场镇建设管理，打造卫生城镇，提升</w:t>
      </w:r>
      <w:r>
        <w:rPr>
          <w:rFonts w:hint="eastAsia" w:ascii="方正仿宋_GBK" w:hAnsi="方正仿宋_GBK" w:eastAsia="方正仿宋_GBK" w:cs="方正仿宋_GBK"/>
          <w:i w:val="0"/>
          <w:iCs w:val="0"/>
          <w:caps w:val="0"/>
          <w:color w:val="000000"/>
          <w:spacing w:val="0"/>
          <w:sz w:val="32"/>
          <w:szCs w:val="32"/>
          <w:vertAlign w:val="baseline"/>
          <w:lang w:val="en-US" w:eastAsia="zh-CN"/>
        </w:rPr>
        <w:t>龙潭</w:t>
      </w:r>
      <w:r>
        <w:rPr>
          <w:rFonts w:hint="eastAsia" w:ascii="方正仿宋_GBK" w:hAnsi="方正仿宋_GBK" w:eastAsia="方正仿宋_GBK" w:cs="方正仿宋_GBK"/>
          <w:i w:val="0"/>
          <w:iCs w:val="0"/>
          <w:caps w:val="0"/>
          <w:color w:val="000000"/>
          <w:spacing w:val="0"/>
          <w:sz w:val="32"/>
          <w:szCs w:val="32"/>
          <w:vertAlign w:val="baseline"/>
        </w:rPr>
        <w:t>形象；加强民生建设，推进社会事业全面发展。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部门本级内设</w:t>
      </w:r>
      <w:r>
        <w:rPr>
          <w:rFonts w:hint="eastAsia" w:ascii="Times New Roman" w:hAnsi="Times New Roman" w:eastAsia="方正仿宋_GBK" w:cs="Times New Roman"/>
          <w:sz w:val="32"/>
          <w:szCs w:val="32"/>
          <w:lang w:val="en-US" w:eastAsia="zh-CN"/>
        </w:rPr>
        <w:t>5个，各机构规范简称依次为：基层治理综合指挥室，党的建设办公室，经济发展办公室，平安法治办公室，民生服务办公室。</w:t>
      </w:r>
      <w:r>
        <w:rPr>
          <w:rFonts w:ascii="Times New Roman" w:hAnsi="Times New Roman" w:eastAsia="方正仿宋_GBK"/>
          <w:sz w:val="32"/>
          <w:szCs w:val="32"/>
        </w:rPr>
        <w:t>下设二级预算单位</w:t>
      </w:r>
      <w:r>
        <w:rPr>
          <w:rFonts w:hint="eastAsia" w:ascii="Times New Roman" w:hAnsi="Times New Roman" w:eastAsia="方正仿宋_GBK" w:cs="Times New Roman"/>
          <w:sz w:val="32"/>
          <w:szCs w:val="32"/>
          <w:lang w:val="en-US" w:eastAsia="zh-CN"/>
        </w:rPr>
        <w:t>4个，分别是：</w:t>
      </w:r>
      <w:r>
        <w:rPr>
          <w:rFonts w:hint="default" w:ascii="Times New Roman" w:hAnsi="Times New Roman" w:eastAsia="方正仿宋_GBK" w:cs="Times New Roman"/>
          <w:sz w:val="32"/>
          <w:szCs w:val="32"/>
        </w:rPr>
        <w:t>石柱土家族自治县龙潭乡产业发展服务中心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石柱土家族自治县龙潭乡新时代文明实践服务中心</w:t>
      </w:r>
      <w:r>
        <w:rPr>
          <w:rFonts w:hint="eastAsia" w:ascii="Times New Roman" w:hAnsi="Times New Roman" w:eastAsia="方正仿宋_GBK" w:cs="Times New Roman"/>
          <w:sz w:val="32"/>
          <w:szCs w:val="32"/>
          <w:lang w:val="en-US" w:eastAsia="zh-CN"/>
        </w:rPr>
        <w:t>,石柱土家族自治县龙潭乡便民服务中心,石柱土家族自治县龙潭乡综合行政执法大队。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年初预算数902.59万元，其中：一般公共预算拨款902.59万元，政府性基金预算拨款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万元，主要是一般公共预算拨款增加</w:t>
      </w:r>
      <w:r>
        <w:rPr>
          <w:rFonts w:hint="eastAsia" w:ascii="Times New Roman" w:hAnsi="Times New Roman" w:eastAsia="方正仿宋_GBK" w:cs="Times New Roman"/>
          <w:sz w:val="32"/>
          <w:szCs w:val="32"/>
          <w:lang w:val="en-US" w:eastAsia="zh-CN"/>
        </w:rPr>
        <w:t>33.07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，上年结转减少</w:t>
      </w:r>
      <w:r>
        <w:rPr>
          <w:rFonts w:hint="eastAsia" w:ascii="Times New Roman" w:hAnsi="Times New Roman" w:eastAsia="方正仿宋_GBK" w:cs="Times New Roman"/>
          <w:sz w:val="32"/>
          <w:szCs w:val="32"/>
          <w:lang w:val="en-US" w:eastAsia="zh-CN"/>
        </w:rPr>
        <w:t>83.38万元</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年初预算数902.59万元，其中：一般公共服务支出371.51万元，</w:t>
      </w:r>
      <w:r>
        <w:rPr>
          <w:rFonts w:hint="eastAsia" w:ascii="Times New Roman" w:hAnsi="Times New Roman" w:eastAsia="方正仿宋_GBK" w:cs="Times New Roman"/>
          <w:sz w:val="32"/>
          <w:szCs w:val="32"/>
          <w:lang w:val="en-US" w:eastAsia="zh-CN"/>
        </w:rPr>
        <w:t>文化旅游体育与传媒支出28.51万元，</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153.69</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40.17</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40.44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农林水支出238.79万元</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51.67</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一般公共预算财政拨款收入902.59万元，一般公共预算财政拨款支出902.59万元，比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50.32</w:t>
      </w:r>
      <w:r>
        <w:rPr>
          <w:rFonts w:hint="default" w:ascii="Times New Roman" w:hAnsi="Times New Roman" w:eastAsia="方正仿宋_GBK" w:cs="Times New Roman"/>
          <w:sz w:val="32"/>
          <w:szCs w:val="32"/>
        </w:rPr>
        <w:t>万元。其中：基本支出679.76万元，在职人员工资福利及社会保险缴费、离休人员离休费、退休人员补助等，保障部门正常运转的各项商品服务支出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比</w:t>
      </w:r>
      <w:r>
        <w:rPr>
          <w:rFonts w:hint="eastAsia" w:ascii="Times New Roman" w:hAnsi="Times New Roman" w:eastAsia="方正仿宋_GBK" w:cs="Times New Roman"/>
          <w:sz w:val="32"/>
          <w:szCs w:val="32"/>
          <w:highlight w:val="none"/>
          <w:lang w:eastAsia="zh-CN"/>
        </w:rPr>
        <w:t>2024年</w:t>
      </w:r>
      <w:r>
        <w:rPr>
          <w:rFonts w:hint="default" w:ascii="Times New Roman" w:hAnsi="Times New Roman" w:eastAsia="方正仿宋_GBK" w:cs="Times New Roman"/>
          <w:sz w:val="32"/>
          <w:szCs w:val="32"/>
          <w:highlight w:val="none"/>
        </w:rPr>
        <w:t>增加</w:t>
      </w:r>
      <w:r>
        <w:rPr>
          <w:rFonts w:hint="eastAsia" w:ascii="Times New Roman" w:hAnsi="Times New Roman" w:eastAsia="方正仿宋_GBK" w:cs="Times New Roman"/>
          <w:sz w:val="32"/>
          <w:szCs w:val="32"/>
          <w:highlight w:val="none"/>
          <w:lang w:val="en-US" w:eastAsia="zh-CN"/>
        </w:rPr>
        <w:t>1.35</w:t>
      </w:r>
      <w:r>
        <w:rPr>
          <w:rFonts w:hint="default" w:ascii="Times New Roman" w:hAnsi="Times New Roman" w:eastAsia="方正仿宋_GBK" w:cs="Times New Roman"/>
          <w:sz w:val="32"/>
          <w:szCs w:val="32"/>
          <w:highlight w:val="none"/>
        </w:rPr>
        <w:t>万元，主</w:t>
      </w:r>
      <w:r>
        <w:rPr>
          <w:rFonts w:hint="default" w:ascii="Times New Roman" w:hAnsi="Times New Roman" w:eastAsia="方正仿宋_GBK" w:cs="Times New Roman"/>
          <w:sz w:val="32"/>
          <w:szCs w:val="32"/>
        </w:rPr>
        <w:t>要原因是</w:t>
      </w:r>
      <w:r>
        <w:rPr>
          <w:rFonts w:hint="eastAsia" w:ascii="Times New Roman" w:hAnsi="Times New Roman" w:eastAsia="方正仿宋_GBK" w:cs="Times New Roman"/>
          <w:sz w:val="32"/>
          <w:szCs w:val="32"/>
          <w:lang w:val="en-US" w:eastAsia="zh-CN"/>
        </w:rPr>
        <w:t>人员增加，工资调标</w:t>
      </w:r>
      <w:r>
        <w:rPr>
          <w:rFonts w:hint="default" w:ascii="Times New Roman" w:hAnsi="Times New Roman" w:eastAsia="方正仿宋_GBK" w:cs="Times New Roman"/>
          <w:sz w:val="32"/>
          <w:szCs w:val="32"/>
        </w:rPr>
        <w:t>；项目支出222.83万元，主要用于</w:t>
      </w:r>
      <w:r>
        <w:rPr>
          <w:rFonts w:hint="eastAsia" w:ascii="Times New Roman" w:hAnsi="Times New Roman" w:eastAsia="方正仿宋_GBK" w:cs="Times New Roman"/>
          <w:sz w:val="32"/>
          <w:szCs w:val="32"/>
          <w:lang w:val="en-US" w:eastAsia="zh-CN"/>
        </w:rPr>
        <w:t>农林水等</w:t>
      </w:r>
      <w:r>
        <w:rPr>
          <w:rFonts w:hint="default" w:ascii="Times New Roman" w:hAnsi="Times New Roman" w:eastAsia="方正仿宋_GBK" w:cs="Times New Roman"/>
          <w:sz w:val="32"/>
          <w:szCs w:val="32"/>
        </w:rPr>
        <w:t>重点工作，比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51.67</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本年度项目减少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lang w:eastAsia="zh-CN"/>
        </w:rPr>
        <w:t>2025年</w:t>
      </w:r>
      <w:r>
        <w:rPr>
          <w:rFonts w:hint="default" w:ascii="Times New Roman" w:hAnsi="Times New Roman" w:eastAsia="方正仿宋_GBK" w:cs="Times New Roman"/>
          <w:sz w:val="32"/>
        </w:rPr>
        <w:t>无使用政府性基金预算拨款安排的支出</w:t>
      </w:r>
      <w:r>
        <w:rPr>
          <w:rFonts w:hint="default" w:ascii="Times New Roman" w:hAnsi="Times New Roman" w:eastAsia="方正仿宋_GBK" w:cs="Times New Roman"/>
          <w:sz w:val="32"/>
          <w:szCs w:val="32"/>
        </w:rPr>
        <w:t>，与上年保持一致</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“三公”经费预算</w:t>
      </w:r>
      <w:r>
        <w:rPr>
          <w:rFonts w:hint="eastAsia" w:ascii="Times New Roman" w:hAnsi="Times New Roman" w:eastAsia="方正仿宋_GBK" w:cs="Times New Roman"/>
          <w:sz w:val="32"/>
          <w:szCs w:val="32"/>
          <w:lang w:val="en-US" w:eastAsia="zh-CN"/>
        </w:rPr>
        <w:t>12.28</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0.02</w:t>
      </w:r>
      <w:r>
        <w:rPr>
          <w:rFonts w:hint="default" w:ascii="Times New Roman" w:hAnsi="Times New Roman" w:eastAsia="方正仿宋_GBK" w:cs="Times New Roman"/>
          <w:sz w:val="32"/>
          <w:szCs w:val="32"/>
        </w:rPr>
        <w:t>万元。其中：公务接待费</w:t>
      </w:r>
      <w:r>
        <w:rPr>
          <w:rFonts w:hint="eastAsia" w:ascii="Times New Roman" w:hAnsi="Times New Roman" w:eastAsia="方正仿宋_GBK" w:cs="Times New Roman"/>
          <w:sz w:val="32"/>
          <w:szCs w:val="32"/>
          <w:lang w:val="en-US" w:eastAsia="zh-CN"/>
        </w:rPr>
        <w:t>6.28</w:t>
      </w:r>
      <w:r>
        <w:rPr>
          <w:rFonts w:hint="default"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0.02</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厉行节约，节省开支</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与上年保持一致</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机关运行经费。</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一般公共预算财政拨款运行经费</w:t>
      </w:r>
      <w:r>
        <w:rPr>
          <w:rFonts w:hint="eastAsia" w:ascii="Times New Roman" w:hAnsi="Times New Roman" w:eastAsia="方正仿宋_GBK" w:cs="Times New Roman"/>
          <w:sz w:val="32"/>
          <w:szCs w:val="32"/>
          <w:lang w:val="en-US" w:eastAsia="zh-CN"/>
        </w:rPr>
        <w:t>61.73</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比2024年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2.41</w:t>
      </w:r>
      <w:r>
        <w:rPr>
          <w:rFonts w:hint="default" w:ascii="Times New Roman" w:hAnsi="Times New Roman" w:eastAsia="方正仿宋_GBK" w:cs="Times New Roman"/>
          <w:sz w:val="32"/>
          <w:szCs w:val="32"/>
        </w:rPr>
        <w:t>万元，主要原因为</w:t>
      </w:r>
      <w:r>
        <w:rPr>
          <w:rFonts w:hint="eastAsia" w:ascii="Times New Roman" w:hAnsi="Times New Roman" w:eastAsia="方正仿宋_GBK" w:cs="Times New Roman"/>
          <w:sz w:val="32"/>
          <w:szCs w:val="32"/>
          <w:lang w:eastAsia="zh-CN"/>
        </w:rPr>
        <w:t>物价上涨</w:t>
      </w:r>
      <w:r>
        <w:rPr>
          <w:rFonts w:hint="default" w:ascii="Times New Roman" w:hAnsi="Times New Roman" w:eastAsia="方正仿宋_GBK" w:cs="Times New Roman"/>
          <w:sz w:val="32"/>
          <w:szCs w:val="32"/>
        </w:rPr>
        <w:t>；主要用于办公费、印刷费、邮电费、水电</w:t>
      </w:r>
      <w:r>
        <w:rPr>
          <w:rFonts w:hint="default" w:ascii="Times New Roman" w:hAnsi="Times New Roman" w:eastAsia="方正仿宋_GBK" w:cs="Times New Roman"/>
          <w:sz w:val="32"/>
        </w:rPr>
        <w:t>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政府采购情况。所属各预算单位政府采购预算总额</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ind w:left="105" w:leftChars="5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绩效目标设置情况。</w:t>
      </w:r>
      <w:r>
        <w:rPr>
          <w:rFonts w:hint="eastAsia" w:ascii="Times New Roman" w:hAnsi="Times New Roman" w:eastAsia="方正仿宋_GBK" w:cs="Times New Roman"/>
          <w:sz w:val="32"/>
          <w:szCs w:val="32"/>
          <w:lang w:eastAsia="zh-CN"/>
        </w:rPr>
        <w:t>2025年</w:t>
      </w:r>
      <w:r>
        <w:rPr>
          <w:rFonts w:hint="default" w:ascii="Times New Roman" w:hAnsi="Times New Roman" w:eastAsia="方正仿宋_GBK" w:cs="Times New Roman"/>
          <w:sz w:val="32"/>
          <w:szCs w:val="32"/>
        </w:rPr>
        <w:t>项目支出均实行了绩效目标管理，涉及一般公共预算财政拨款222.83万元。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国有资产占有使用情况。截止</w:t>
      </w:r>
      <w:r>
        <w:rPr>
          <w:rFonts w:hint="eastAsia"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12月，所属各预算单位共有车辆</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辆，其中一般公务用车</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辆。</w:t>
      </w:r>
    </w:p>
    <w:p>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r>
        <w:rPr>
          <w:rFonts w:hint="eastAsia" w:ascii="Times New Roman" w:hAnsi="Times New Roman" w:eastAsia="方正黑体_GBK" w:cs="仿宋_GB2312"/>
          <w:sz w:val="32"/>
        </w:rPr>
        <w:t>（纳入向社会公开范围的</w:t>
      </w:r>
      <w:r>
        <w:rPr>
          <w:rFonts w:hint="eastAsia" w:ascii="Times New Roman" w:hAnsi="Times New Roman" w:eastAsia="方正黑体_GBK" w:cs="仿宋_GB2312"/>
          <w:sz w:val="32"/>
          <w:lang w:eastAsia="zh-CN"/>
        </w:rPr>
        <w:t>单位</w:t>
      </w:r>
      <w:r>
        <w:rPr>
          <w:rFonts w:hint="eastAsia" w:ascii="Times New Roman" w:hAnsi="Times New Roman" w:eastAsia="方正黑体_GBK" w:cs="仿宋_GB2312"/>
          <w:sz w:val="32"/>
        </w:rPr>
        <w:t>必须填写）</w:t>
      </w:r>
    </w:p>
    <w:p>
      <w:pPr>
        <w:spacing w:line="578" w:lineRule="exact"/>
        <w:ind w:firstLine="640" w:firstLineChars="200"/>
        <w:rPr>
          <w:rFonts w:hint="default" w:ascii="Times New Roman" w:hAnsi="Times New Roman" w:eastAsia="方正仿宋_GBK" w:cs="Times New Roman"/>
          <w:sz w:val="32"/>
        </w:rPr>
      </w:pPr>
      <w:r>
        <w:rPr>
          <w:rFonts w:hint="eastAsia" w:ascii="Times New Roman" w:hAnsi="Times New Roman" w:eastAsia="方正仿宋_GBK"/>
          <w:sz w:val="32"/>
          <w:szCs w:val="32"/>
        </w:rPr>
        <w:t>（以下为常见专业名词解释，单位应根据实际情况进行解释和增减。）</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政府性基金预算财政拨款和</w:t>
      </w:r>
      <w:r>
        <w:rPr>
          <w:rFonts w:hint="default" w:ascii="Times New Roman" w:hAnsi="Times New Roman" w:eastAsia="方正仿宋_GBK" w:cs="Times New Roman"/>
          <w:sz w:val="32"/>
          <w:szCs w:val="32"/>
        </w:rPr>
        <w:t>国有资本经营预算</w:t>
      </w:r>
      <w:r>
        <w:rPr>
          <w:rFonts w:hint="default" w:ascii="Times New Roman" w:hAnsi="Times New Roman" w:eastAsia="方正仿宋_GBK" w:cs="Times New Roman"/>
          <w:sz w:val="32"/>
        </w:rPr>
        <w:t>财政拨款。</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：指单位取得的除“财政拨款收入”、“事业收入”、“经营收入”等以外的收入。</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谭雅馨</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733</w:t>
      </w:r>
      <w:bookmarkStart w:id="0" w:name="_GoBack"/>
      <w:bookmarkEnd w:id="0"/>
      <w:r>
        <w:rPr>
          <w:rFonts w:hint="eastAsia" w:ascii="Times New Roman" w:hAnsi="Times New Roman" w:eastAsia="方正仿宋_GBK" w:cs="Times New Roman"/>
          <w:sz w:val="32"/>
          <w:szCs w:val="32"/>
          <w:highlight w:val="none"/>
          <w:lang w:val="en-US" w:eastAsia="zh-CN"/>
        </w:rPr>
        <w:t>05001</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none"/>
          <w:lang w:val="en-US" w:eastAsia="zh-CN"/>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3B55332"/>
    <w:rsid w:val="0D7A365A"/>
    <w:rsid w:val="133B1901"/>
    <w:rsid w:val="19DB55F5"/>
    <w:rsid w:val="1B953E2B"/>
    <w:rsid w:val="1DD801A3"/>
    <w:rsid w:val="1EAF42D1"/>
    <w:rsid w:val="252C3C2A"/>
    <w:rsid w:val="274B199A"/>
    <w:rsid w:val="2A1750A8"/>
    <w:rsid w:val="2BE20CDE"/>
    <w:rsid w:val="32513FE1"/>
    <w:rsid w:val="387110B4"/>
    <w:rsid w:val="3A720DEA"/>
    <w:rsid w:val="3B9B3520"/>
    <w:rsid w:val="489617E1"/>
    <w:rsid w:val="4D5D69EE"/>
    <w:rsid w:val="5A254D94"/>
    <w:rsid w:val="5B8E1A9F"/>
    <w:rsid w:val="5CF21E57"/>
    <w:rsid w:val="5DBC76CE"/>
    <w:rsid w:val="65A30990"/>
    <w:rsid w:val="67920983"/>
    <w:rsid w:val="6AA0021E"/>
    <w:rsid w:val="71597F39"/>
    <w:rsid w:val="765B377A"/>
    <w:rsid w:val="79CF62B4"/>
    <w:rsid w:val="7B1B3F68"/>
    <w:rsid w:val="9FDD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17</TotalTime>
  <ScaleCrop>false</ScaleCrop>
  <LinksUpToDate>false</LinksUpToDate>
  <CharactersWithSpaces>1145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2021-12-14T11:09:00Z</dcterms:created>
  <dc:creator>Administrator</dc:creator>
  <cp:lastModifiedBy>user</cp:lastModifiedBy>
  <cp:lastPrinted>2018-01-02T16:11:00Z</cp:lastPrinted>
  <dcterms:modified xsi:type="dcterms:W3CDTF">2025-03-03T10:10:56Z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BC46DE40CF9B4776AA076014997ADBE0</vt:lpwstr>
  </property>
</Properties>
</file>