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color w:val="auto"/>
          <w:sz w:val="44"/>
          <w:szCs w:val="44"/>
        </w:rPr>
      </w:pPr>
      <w:bookmarkStart w:id="0" w:name="OLE_LINK2"/>
      <w:bookmarkStart w:id="1" w:name="OLE_LINK1"/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z w:val="44"/>
          <w:szCs w:val="44"/>
          <w:lang w:val="en-US" w:eastAsia="zh-CN"/>
        </w:rPr>
        <w:t>龙潭乡</w:t>
      </w:r>
      <w:r>
        <w:rPr>
          <w:rFonts w:hint="default" w:ascii="Times New Roman" w:hAnsi="Times New Roman" w:eastAsia="方正小标宋_GBK" w:cs="Times New Roman"/>
          <w:bCs/>
          <w:snapToGrid w:val="0"/>
          <w:color w:val="auto"/>
          <w:sz w:val="44"/>
          <w:szCs w:val="44"/>
        </w:rPr>
        <w:t>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龙潭乡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防范电信网络诈骗犯罪宣传工作方案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0"/>
          <w:sz w:val="44"/>
          <w:szCs w:val="44"/>
        </w:rPr>
        <w:t>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bCs/>
          <w:color w:val="333333"/>
          <w:kern w:val="0"/>
          <w:sz w:val="32"/>
          <w:szCs w:val="32"/>
          <w:shd w:val="clear" w:color="auto" w:fill="FFFFFF"/>
        </w:rPr>
        <w:t>村民委员会，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机关各板块，各企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/>
        </w:rPr>
        <w:t>事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</w:rPr>
        <w:t>业单位：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为切实保障我乡人民群众财产安全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结合我乡实际，制定了《龙潭乡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防范电信网络诈骗犯罪宣传工作方案》，现将方案印发给你们，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请结合工作实际，认真贯彻实施。</w:t>
      </w:r>
    </w:p>
    <w:p>
      <w:pPr>
        <w:pStyle w:val="26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6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26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 xml:space="preserve">                                        龙潭乡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日</w:t>
      </w:r>
    </w:p>
    <w:bookmarkEnd w:id="0"/>
    <w:bookmarkEnd w:id="1"/>
    <w:p>
      <w:pPr>
        <w:pStyle w:val="16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龙潭乡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防范电信网络诈骗犯罪宣传</w:t>
      </w:r>
    </w:p>
    <w:p>
      <w:pPr>
        <w:tabs>
          <w:tab w:val="left" w:pos="8080"/>
        </w:tabs>
        <w:adjustRightInd w:val="0"/>
        <w:spacing w:line="594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工作方案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为切实提高群众防范意识，有效遏制电信网络诈骗犯罪高发势头，营造安全稳定的社会环境，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经乡政府研究，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开展防范电信网络诈骗宣传活动。结合我乡当前实际，制订本方案。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Calibri" w:eastAsia="方正仿宋_GBK"/>
          <w:color w:val="000000"/>
          <w:sz w:val="32"/>
          <w:szCs w:val="32"/>
        </w:rPr>
        <w:t>以习近平新时代中国特色社会主义思想为指导，紧紧围绕维护国家政治安全和社会稳定的总任务，增强“四个意识”、坚定“四个自信”、做到“两个维护”，按照中央、全市和全县打击治理电信网络诈骗专项行动工作要求，</w:t>
      </w:r>
      <w:r>
        <w:rPr>
          <w:rFonts w:hint="eastAsia" w:ascii="方正仿宋_GBK" w:hAnsi="Calibri" w:eastAsia="方正仿宋_GBK"/>
          <w:color w:val="000000"/>
          <w:sz w:val="32"/>
          <w:szCs w:val="32"/>
          <w:lang w:val="en-US" w:eastAsia="zh-CN"/>
        </w:rPr>
        <w:t>持续加强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防范宣传力度，不断创新反诈宣传形式，丰富</w:t>
      </w:r>
      <w:r>
        <w:rPr>
          <w:rFonts w:hint="eastAsia" w:ascii="Calibri" w:hAnsi="Calibri" w:eastAsia="方正仿宋_GBK"/>
          <w:color w:val="000000"/>
          <w:sz w:val="32"/>
          <w:szCs w:val="32"/>
        </w:rPr>
        <w:t>宣传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载体，扩大宣传范围，通过针对体制内人员、老年人、财会人员、学生、企业职工、个体商户等易受骗群体的精准宣传，及时公布最新犯罪手法、深刻揭露不法分子的诈骗伎俩，切实提高人民群众的自我防范意识，构建“全民动员、全民反诈”良好氛围，努力实现全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乡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电信网络新型违法犯罪案件发案总量和损失金额双下降的目标。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龙潭乡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防范电信网络诈骗犯罪专项宣传工作领导小组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以乡长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毛峰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为组长，乡政法书记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任文兵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、宣传委员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雷晓霞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为副组长，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机关各板块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负责人、乡属部门负责人、各村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支部书记为成员，领导小组下设办公室在乡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平安法治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办，由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冉洪良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负责日常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协调、督促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（一）聚焦单位职工，开展内部宣传。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开展内部反诈宣传，通过张贴宣传海报、宣传标语、播放反诈视频和召开反诈会议的方式加强内部职工宣传。每季度至少组织1次反诈培训会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Calibri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（二）聚焦犯罪变化，开展精准宣传。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紧盯电信网络诈骗犯罪形势，掌握全县电信网络诈骗犯罪的基本情况、作案手段及方式，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开展宣传活动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（三）强化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村组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宣传。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统筹机关干部、村</w:t>
      </w:r>
      <w:r>
        <w:rPr>
          <w:rFonts w:hint="eastAsia" w:ascii="方正仿宋_GBK" w:hAnsi="Calibri" w:eastAsia="方正仿宋_GBK"/>
          <w:color w:val="000000"/>
          <w:sz w:val="32"/>
          <w:szCs w:val="32"/>
          <w:lang w:val="en-US" w:eastAsia="zh-CN"/>
        </w:rPr>
        <w:t>组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干部、网格员、志愿者等力量入户开展反诈宣传，要结合实际，适时组织开展集中宣传活动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 w:cs="宋体"/>
          <w:bCs/>
          <w:color w:val="000000"/>
          <w:kern w:val="0"/>
          <w:sz w:val="32"/>
          <w:szCs w:val="32"/>
        </w:rPr>
        <w:t>加大宣传力量投入、加大宣传频次、加大宣传密度，及时遏制高发势头。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Calibri" w:eastAsia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（四）聚焦学校师生，开展集中宣传。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学校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要将反诈骗宣传教育纳入学校安全教育整体工作部署，在校区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各主要入口显著位置展示不少于1处的反诈公益广告，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确保每一名师生及学生家长熟知贷款诈骗、网络购物、网络兼职、网络刷单、QQ冒充熟人、虚假游戏交易等学生易发多发案件手法，切实减少学校内电信网络诈骗犯罪发案。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Calibri" w:eastAsia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（五）聚焦企业员工，开展针对性宣传。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将防范电信网络诈骗犯罪宣传与日常业务审批、检查、执法等工作相结合，开展对服务对象的日常反诈骗防范宣传工作；对冒充领导诈骗、邮件诈骗、贷款诈骗等企业主及财务人员容易被骗的诈骗类别，要指导企业开展内部宣传。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乡司法所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要指导通信、银行、非银行支付机构、新金融平台等相关行业开展企业法治宣传教育。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Calibri" w:eastAsia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）聚焦新兴媒体，开展网上宣传。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微信公众号、微博等自媒体要积极联动发布县反诈办推送的反诈公益广告、典型案例报道、防范提示等。加强网上舆论引导、网络阵地建设，指定专人负责网络舆情监测及网评工作，及时查处、清除网络涉诈有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强化思想认识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，加强组织领导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各村民委员会、乡级各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板块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充分认识反诈骗宣传防范工作的重要性，从关注保障民生的角度出发，精心组织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，积极开展反诈骗宣传工作，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进一步提升群众安全感，守护好群众的钱袋子。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强化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统筹协作，深入创新宣传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推进宣传教育进村社、进校园、进企业、进场所、进机关，进千家万户，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及时领取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反诈骗宣传单、海报、横幅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等资料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下发各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密切配合、协同推进，将宣传教育活动中的本单位工作和任务严格落实到位、落实到底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结合涉及的行业群体和可利用的宣传渠道，尽最大努力实现宣传到人、宣传入脑，形成宣传合力。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Calibri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3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强化责任落实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，严格督查检查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各村、各相关科室、乡属部门要按反诈骗宣传工作方案落实工作责任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建立完善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工作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台账</w:t>
      </w:r>
      <w:r>
        <w:rPr>
          <w:rFonts w:hint="eastAsia" w:ascii="方正仿宋_GBK" w:hAnsi="Calibri" w:eastAsia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平安法治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不定期</w:t>
      </w:r>
      <w:r>
        <w:rPr>
          <w:rFonts w:hint="eastAsia" w:ascii="方正仿宋_GBK" w:hAnsi="Calibri" w:eastAsia="方正仿宋_GBK"/>
          <w:color w:val="000000"/>
          <w:sz w:val="32"/>
          <w:szCs w:val="32"/>
        </w:rPr>
        <w:t>对各单位反诈宣传工作情况开展督导检查，对宣传工作不落实、不履责、不尽责导致群众损失巨大的，</w:t>
      </w:r>
      <w:r>
        <w:rPr>
          <w:rFonts w:hint="eastAsia" w:ascii="方正仿宋_GBK" w:hAnsi="Calibri" w:eastAsia="方正仿宋_GBK"/>
          <w:color w:val="000000"/>
          <w:sz w:val="32"/>
          <w:szCs w:val="32"/>
          <w:lang w:val="en-US" w:eastAsia="zh-CN"/>
        </w:rPr>
        <w:t>将严肃追责问责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985" w:right="1531" w:bottom="164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23" w:rightChars="154" w:firstLine="280" w:firstLineChars="100"/>
      <w:rPr>
        <w:rStyle w:val="15"/>
        <w:sz w:val="28"/>
        <w:szCs w:val="28"/>
      </w:rPr>
    </w:pPr>
    <w:r>
      <w:rPr>
        <w:rStyle w:val="15"/>
        <w:rFonts w:hint="eastAsia"/>
        <w:sz w:val="28"/>
        <w:szCs w:val="28"/>
      </w:rPr>
      <w:t xml:space="preserve">－ </w:t>
    </w: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4</w:t>
    </w:r>
    <w:r>
      <w:rPr>
        <w:rStyle w:val="15"/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 －</w:t>
    </w:r>
  </w:p>
  <w:p>
    <w:pPr>
      <w:pStyle w:val="7"/>
      <w:ind w:right="360" w:firstLine="360"/>
    </w:pPr>
    <w:r>
      <w:rPr>
        <w:rFonts w:hint="eastAsia"/>
      </w:rPr>
      <w:t xml:space="preserve">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GE1M2Q0ZjZjMDg1NzhkNTViYTliOTZiZWVkMjMifQ=="/>
  </w:docVars>
  <w:rsids>
    <w:rsidRoot w:val="00F7723A"/>
    <w:rsid w:val="000224C7"/>
    <w:rsid w:val="00022565"/>
    <w:rsid w:val="00047BCC"/>
    <w:rsid w:val="0005479A"/>
    <w:rsid w:val="00057A41"/>
    <w:rsid w:val="00063B44"/>
    <w:rsid w:val="000A2DBF"/>
    <w:rsid w:val="000F00F0"/>
    <w:rsid w:val="000F6983"/>
    <w:rsid w:val="0010599A"/>
    <w:rsid w:val="0012493A"/>
    <w:rsid w:val="0013063D"/>
    <w:rsid w:val="001727FA"/>
    <w:rsid w:val="001F794D"/>
    <w:rsid w:val="00201E7D"/>
    <w:rsid w:val="00254F7C"/>
    <w:rsid w:val="00257D93"/>
    <w:rsid w:val="00290A11"/>
    <w:rsid w:val="00292FFA"/>
    <w:rsid w:val="002A70E8"/>
    <w:rsid w:val="00321C80"/>
    <w:rsid w:val="003252CA"/>
    <w:rsid w:val="0033650B"/>
    <w:rsid w:val="00364D54"/>
    <w:rsid w:val="003A16FD"/>
    <w:rsid w:val="003B5409"/>
    <w:rsid w:val="003F2F9D"/>
    <w:rsid w:val="003F3EF8"/>
    <w:rsid w:val="00432B62"/>
    <w:rsid w:val="00450076"/>
    <w:rsid w:val="004E03A0"/>
    <w:rsid w:val="004E0617"/>
    <w:rsid w:val="00511732"/>
    <w:rsid w:val="0053161A"/>
    <w:rsid w:val="005321D3"/>
    <w:rsid w:val="0056192E"/>
    <w:rsid w:val="00562502"/>
    <w:rsid w:val="005660AB"/>
    <w:rsid w:val="00570580"/>
    <w:rsid w:val="00580B23"/>
    <w:rsid w:val="005913E2"/>
    <w:rsid w:val="00592B51"/>
    <w:rsid w:val="005E3A1C"/>
    <w:rsid w:val="00653C29"/>
    <w:rsid w:val="0066385A"/>
    <w:rsid w:val="00675659"/>
    <w:rsid w:val="006763C3"/>
    <w:rsid w:val="006A2A74"/>
    <w:rsid w:val="006D762F"/>
    <w:rsid w:val="00704CB3"/>
    <w:rsid w:val="007231B3"/>
    <w:rsid w:val="00731B0E"/>
    <w:rsid w:val="007459F6"/>
    <w:rsid w:val="00750F6A"/>
    <w:rsid w:val="00760D32"/>
    <w:rsid w:val="00767141"/>
    <w:rsid w:val="00775F68"/>
    <w:rsid w:val="00777A6E"/>
    <w:rsid w:val="00783BA2"/>
    <w:rsid w:val="007A3A3F"/>
    <w:rsid w:val="007C2B11"/>
    <w:rsid w:val="007C73D4"/>
    <w:rsid w:val="007D4E00"/>
    <w:rsid w:val="007F09EE"/>
    <w:rsid w:val="007F4990"/>
    <w:rsid w:val="00846A2F"/>
    <w:rsid w:val="008644C9"/>
    <w:rsid w:val="00877E57"/>
    <w:rsid w:val="008E7257"/>
    <w:rsid w:val="009431A0"/>
    <w:rsid w:val="00945CDD"/>
    <w:rsid w:val="00961CCA"/>
    <w:rsid w:val="00985A06"/>
    <w:rsid w:val="00993004"/>
    <w:rsid w:val="009C7023"/>
    <w:rsid w:val="00A03FCD"/>
    <w:rsid w:val="00A058F8"/>
    <w:rsid w:val="00A2203B"/>
    <w:rsid w:val="00AC477E"/>
    <w:rsid w:val="00AC7D9C"/>
    <w:rsid w:val="00AF139E"/>
    <w:rsid w:val="00B16538"/>
    <w:rsid w:val="00B20AEB"/>
    <w:rsid w:val="00B215B7"/>
    <w:rsid w:val="00B64139"/>
    <w:rsid w:val="00B652CB"/>
    <w:rsid w:val="00B704A3"/>
    <w:rsid w:val="00B829A4"/>
    <w:rsid w:val="00B94337"/>
    <w:rsid w:val="00BB6B63"/>
    <w:rsid w:val="00BC7884"/>
    <w:rsid w:val="00BE0CC2"/>
    <w:rsid w:val="00BE1632"/>
    <w:rsid w:val="00BF4956"/>
    <w:rsid w:val="00C02EEB"/>
    <w:rsid w:val="00C0696E"/>
    <w:rsid w:val="00C15199"/>
    <w:rsid w:val="00C4192C"/>
    <w:rsid w:val="00C441DF"/>
    <w:rsid w:val="00C529E6"/>
    <w:rsid w:val="00C5558F"/>
    <w:rsid w:val="00C916B7"/>
    <w:rsid w:val="00C92240"/>
    <w:rsid w:val="00C962CB"/>
    <w:rsid w:val="00CD2C30"/>
    <w:rsid w:val="00CD743D"/>
    <w:rsid w:val="00D1339F"/>
    <w:rsid w:val="00D2449B"/>
    <w:rsid w:val="00D435EA"/>
    <w:rsid w:val="00D81293"/>
    <w:rsid w:val="00D86171"/>
    <w:rsid w:val="00DB0179"/>
    <w:rsid w:val="00DC24C1"/>
    <w:rsid w:val="00DC3DD4"/>
    <w:rsid w:val="00E1114C"/>
    <w:rsid w:val="00E14D1B"/>
    <w:rsid w:val="00E20D8D"/>
    <w:rsid w:val="00E75252"/>
    <w:rsid w:val="00E77883"/>
    <w:rsid w:val="00E82E83"/>
    <w:rsid w:val="00E87D8F"/>
    <w:rsid w:val="00E91A14"/>
    <w:rsid w:val="00EA0636"/>
    <w:rsid w:val="00EA671E"/>
    <w:rsid w:val="00EB31C9"/>
    <w:rsid w:val="00F00E15"/>
    <w:rsid w:val="00F20A7E"/>
    <w:rsid w:val="00F3266D"/>
    <w:rsid w:val="00F34750"/>
    <w:rsid w:val="00F45FCD"/>
    <w:rsid w:val="00F46880"/>
    <w:rsid w:val="00F577C6"/>
    <w:rsid w:val="00F67663"/>
    <w:rsid w:val="00F7723A"/>
    <w:rsid w:val="00F85D60"/>
    <w:rsid w:val="00FA3ABC"/>
    <w:rsid w:val="00FA55AC"/>
    <w:rsid w:val="00FF427A"/>
    <w:rsid w:val="01067036"/>
    <w:rsid w:val="01FE0B7C"/>
    <w:rsid w:val="04DD1E0E"/>
    <w:rsid w:val="05270277"/>
    <w:rsid w:val="05A232DE"/>
    <w:rsid w:val="06EE38C6"/>
    <w:rsid w:val="07135166"/>
    <w:rsid w:val="07581301"/>
    <w:rsid w:val="08EF07DD"/>
    <w:rsid w:val="090A303C"/>
    <w:rsid w:val="0982209D"/>
    <w:rsid w:val="09C75641"/>
    <w:rsid w:val="0BD42E6A"/>
    <w:rsid w:val="0E1835DB"/>
    <w:rsid w:val="0EE474F1"/>
    <w:rsid w:val="0FE00EEC"/>
    <w:rsid w:val="13711C92"/>
    <w:rsid w:val="13A52D23"/>
    <w:rsid w:val="14B70EBA"/>
    <w:rsid w:val="15917ED6"/>
    <w:rsid w:val="16C54384"/>
    <w:rsid w:val="19DD2689"/>
    <w:rsid w:val="1A0C0EF0"/>
    <w:rsid w:val="1BFF7393"/>
    <w:rsid w:val="1F176DFE"/>
    <w:rsid w:val="20756CBA"/>
    <w:rsid w:val="218B0651"/>
    <w:rsid w:val="21963945"/>
    <w:rsid w:val="21A00C9F"/>
    <w:rsid w:val="232E710F"/>
    <w:rsid w:val="23905B13"/>
    <w:rsid w:val="249B6331"/>
    <w:rsid w:val="25A15A26"/>
    <w:rsid w:val="26CE00D1"/>
    <w:rsid w:val="27A9545A"/>
    <w:rsid w:val="2B7C6D3D"/>
    <w:rsid w:val="2C636E67"/>
    <w:rsid w:val="2CF320D3"/>
    <w:rsid w:val="2D7F7721"/>
    <w:rsid w:val="2DA076D4"/>
    <w:rsid w:val="31D11CC9"/>
    <w:rsid w:val="33205B26"/>
    <w:rsid w:val="33834DA2"/>
    <w:rsid w:val="33CA0C22"/>
    <w:rsid w:val="34EA6D7B"/>
    <w:rsid w:val="351E16C7"/>
    <w:rsid w:val="35442206"/>
    <w:rsid w:val="39F353AE"/>
    <w:rsid w:val="3A765E65"/>
    <w:rsid w:val="3B8276E5"/>
    <w:rsid w:val="3CFE1E81"/>
    <w:rsid w:val="3D2414A1"/>
    <w:rsid w:val="3E220CDF"/>
    <w:rsid w:val="3E8C4D3E"/>
    <w:rsid w:val="3FE6600D"/>
    <w:rsid w:val="45AD5F59"/>
    <w:rsid w:val="461A1071"/>
    <w:rsid w:val="46970D5F"/>
    <w:rsid w:val="48507A16"/>
    <w:rsid w:val="495C0D8D"/>
    <w:rsid w:val="49C61498"/>
    <w:rsid w:val="4A03438C"/>
    <w:rsid w:val="4A500CBA"/>
    <w:rsid w:val="4A7867E4"/>
    <w:rsid w:val="4CAF73C8"/>
    <w:rsid w:val="4DD23507"/>
    <w:rsid w:val="4F391A0B"/>
    <w:rsid w:val="50D619F6"/>
    <w:rsid w:val="511305BE"/>
    <w:rsid w:val="54930098"/>
    <w:rsid w:val="55B060A1"/>
    <w:rsid w:val="55BE782C"/>
    <w:rsid w:val="5662310A"/>
    <w:rsid w:val="57747742"/>
    <w:rsid w:val="5A052162"/>
    <w:rsid w:val="5A3F52EC"/>
    <w:rsid w:val="5B077A13"/>
    <w:rsid w:val="5BBF0E36"/>
    <w:rsid w:val="5C590362"/>
    <w:rsid w:val="5D3F002C"/>
    <w:rsid w:val="5D9C7384"/>
    <w:rsid w:val="5DE101AC"/>
    <w:rsid w:val="5E203301"/>
    <w:rsid w:val="5EC51D33"/>
    <w:rsid w:val="5FDE42BC"/>
    <w:rsid w:val="60B72E4C"/>
    <w:rsid w:val="61A65648"/>
    <w:rsid w:val="632D634F"/>
    <w:rsid w:val="635C5B12"/>
    <w:rsid w:val="63DB1E3F"/>
    <w:rsid w:val="63E70059"/>
    <w:rsid w:val="65F16EA3"/>
    <w:rsid w:val="66DF3075"/>
    <w:rsid w:val="67431A1A"/>
    <w:rsid w:val="678C0B6B"/>
    <w:rsid w:val="69356927"/>
    <w:rsid w:val="6B041A13"/>
    <w:rsid w:val="6D2A568B"/>
    <w:rsid w:val="760B3188"/>
    <w:rsid w:val="76406974"/>
    <w:rsid w:val="79704D39"/>
    <w:rsid w:val="7B12570C"/>
    <w:rsid w:val="7DC04790"/>
    <w:rsid w:val="7DFE19A0"/>
    <w:rsid w:val="7E43391A"/>
    <w:rsid w:val="7F6A1024"/>
    <w:rsid w:val="7F7C03A8"/>
    <w:rsid w:val="BEED0130"/>
    <w:rsid w:val="FD3F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435"/>
    </w:pPr>
    <w:rPr>
      <w:rFonts w:ascii="仿宋_GB2312" w:eastAsia="仿宋_GB2312"/>
      <w:sz w:val="30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4"/>
    <w:qFormat/>
    <w:uiPriority w:val="0"/>
    <w:pPr>
      <w:ind w:left="420" w:leftChars="200"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8">
    <w:name w:val="正文文本 (3)_"/>
    <w:link w:val="19"/>
    <w:qFormat/>
    <w:locked/>
    <w:uiPriority w:val="0"/>
    <w:rPr>
      <w:rFonts w:ascii="宋体" w:hAnsi="宋体"/>
      <w:kern w:val="0"/>
      <w:sz w:val="26"/>
      <w:szCs w:val="20"/>
    </w:rPr>
  </w:style>
  <w:style w:type="paragraph" w:customStyle="1" w:styleId="19">
    <w:name w:val="正文文本 (3)"/>
    <w:basedOn w:val="1"/>
    <w:link w:val="18"/>
    <w:qFormat/>
    <w:uiPriority w:val="0"/>
    <w:pPr>
      <w:shd w:val="clear" w:color="auto" w:fill="FFFFFF"/>
      <w:spacing w:line="586" w:lineRule="exact"/>
      <w:jc w:val="distribute"/>
    </w:pPr>
    <w:rPr>
      <w:rFonts w:ascii="宋体" w:hAnsi="宋体"/>
      <w:kern w:val="0"/>
      <w:sz w:val="26"/>
      <w:szCs w:val="20"/>
    </w:rPr>
  </w:style>
  <w:style w:type="paragraph" w:styleId="20">
    <w:name w:val="No Spacing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日期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2">
    <w:name w:val="font7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3">
    <w:name w:val="font21"/>
    <w:basedOn w:val="14"/>
    <w:qFormat/>
    <w:uiPriority w:val="0"/>
    <w:rPr>
      <w:rFonts w:hint="eastAsia" w:ascii="方正仿宋_GBK" w:hAnsi="方正仿宋_GBK" w:eastAsia="方正仿宋_GBK" w:cs="方正仿宋_GBK"/>
      <w:b/>
      <w:color w:val="FF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ascii="微软雅黑" w:hAnsi="微软雅黑" w:eastAsia="微软雅黑" w:cs="微软雅黑"/>
      <w:color w:val="333333"/>
      <w:sz w:val="24"/>
      <w:szCs w:val="24"/>
      <w:u w:val="none"/>
    </w:rPr>
  </w:style>
  <w:style w:type="paragraph" w:customStyle="1" w:styleId="25">
    <w:name w:val="Heading1"/>
    <w:basedOn w:val="1"/>
    <w:next w:val="1"/>
    <w:qFormat/>
    <w:uiPriority w:val="0"/>
    <w:pPr>
      <w:keepNext/>
      <w:keepLines/>
      <w:spacing w:line="576" w:lineRule="auto"/>
      <w:jc w:val="left"/>
      <w:textAlignment w:val="baseline"/>
    </w:pPr>
    <w:rPr>
      <w:rFonts w:eastAsia="Times New Roman"/>
      <w:b/>
      <w:bCs/>
      <w:kern w:val="44"/>
      <w:sz w:val="44"/>
      <w:szCs w:val="44"/>
    </w:rPr>
  </w:style>
  <w:style w:type="paragraph" w:customStyle="1" w:styleId="26">
    <w:name w:val="zw"/>
    <w:qFormat/>
    <w:uiPriority w:val="0"/>
    <w:pPr>
      <w:keepLines/>
      <w:shd w:val="clear" w:color="auto" w:fill="FFFFFF"/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方正仿宋_GBK" w:cs="宋体"/>
      <w:snapToGrid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1564</Words>
  <Characters>1655</Characters>
  <Lines>12</Lines>
  <Paragraphs>3</Paragraphs>
  <TotalTime>6</TotalTime>
  <ScaleCrop>false</ScaleCrop>
  <LinksUpToDate>false</LinksUpToDate>
  <CharactersWithSpaces>1671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2017-04-07T18:33:00Z</dcterms:created>
  <dc:creator>微软用户</dc:creator>
  <cp:lastModifiedBy>Administrator</cp:lastModifiedBy>
  <cp:lastPrinted>2026-01-08T18:20:00Z</cp:lastPrinted>
  <dcterms:modified xsi:type="dcterms:W3CDTF">2026-02-02T02:20:01Z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04948681242C4E44A508E1A3382A5886_13</vt:lpwstr>
  </property>
</Properties>
</file>