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C40F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重庆市石柱土家族自治县六塘乡人民政府</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0D61705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一、部门基本情况</w:t>
      </w:r>
    </w:p>
    <w:p w14:paraId="4B00315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2D81D7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1.</w:t>
      </w:r>
      <w:r>
        <w:rPr>
          <w:rFonts w:hint="default" w:ascii="Times New Roman" w:hAnsi="Times New Roman" w:eastAsia="方正仿宋_GBK" w:cs="Times New Roman"/>
          <w:i w:val="0"/>
          <w:iCs w:val="0"/>
          <w:caps w:val="0"/>
          <w:color w:val="000000"/>
          <w:spacing w:val="0"/>
          <w:sz w:val="31"/>
          <w:szCs w:val="31"/>
          <w:vertAlign w:val="baseline"/>
        </w:rPr>
        <w:t>执行国家行政机关的决定、命令和国家制定的法令、法规，执行本级人民代表大会的各项决议，并报告执行决议、决定和命令的情况。</w:t>
      </w:r>
    </w:p>
    <w:p w14:paraId="560FC0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2.</w:t>
      </w:r>
      <w:r>
        <w:rPr>
          <w:rFonts w:hint="default" w:ascii="Times New Roman" w:hAnsi="Times New Roman" w:eastAsia="方正仿宋_GBK" w:cs="Times New Roman"/>
          <w:i w:val="0"/>
          <w:iCs w:val="0"/>
          <w:caps w:val="0"/>
          <w:color w:val="000000"/>
          <w:spacing w:val="0"/>
          <w:sz w:val="31"/>
          <w:szCs w:val="31"/>
          <w:vertAlign w:val="baseline"/>
        </w:rPr>
        <w:t>制定并落实本行政区域的经济计划和措施，全面提高人民群众的生活水平和生活质量。</w:t>
      </w:r>
    </w:p>
    <w:p w14:paraId="68DBD7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3.</w:t>
      </w:r>
      <w:r>
        <w:rPr>
          <w:rFonts w:hint="default" w:ascii="Times New Roman" w:hAnsi="Times New Roman" w:eastAsia="方正仿宋_GBK" w:cs="Times New Roman"/>
          <w:i w:val="0"/>
          <w:iCs w:val="0"/>
          <w:caps w:val="0"/>
          <w:color w:val="000000"/>
          <w:spacing w:val="0"/>
          <w:sz w:val="31"/>
          <w:szCs w:val="31"/>
          <w:vertAlign w:val="baseline"/>
        </w:rPr>
        <w:t>承担国有资产、集体资产管理、监督及增值保值责任。</w:t>
      </w:r>
    </w:p>
    <w:p w14:paraId="1DC0AA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4.</w:t>
      </w:r>
      <w:r>
        <w:rPr>
          <w:rFonts w:hint="default" w:ascii="Times New Roman" w:hAnsi="Times New Roman" w:eastAsia="方正仿宋_GBK" w:cs="Times New Roman"/>
          <w:i w:val="0"/>
          <w:iCs w:val="0"/>
          <w:caps w:val="0"/>
          <w:color w:val="000000"/>
          <w:spacing w:val="0"/>
          <w:sz w:val="31"/>
          <w:szCs w:val="31"/>
          <w:vertAlign w:val="baseline"/>
        </w:rPr>
        <w:t>开展社会主义民主和法制的宣传教育，保障公民的权利，打击违法犯罪，维护社会稳定。</w:t>
      </w:r>
    </w:p>
    <w:p w14:paraId="511F02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5.</w:t>
      </w:r>
      <w:r>
        <w:rPr>
          <w:rFonts w:hint="default" w:ascii="Times New Roman" w:hAnsi="Times New Roman" w:eastAsia="方正仿宋_GBK" w:cs="Times New Roman"/>
          <w:i w:val="0"/>
          <w:iCs w:val="0"/>
          <w:caps w:val="0"/>
          <w:color w:val="000000"/>
          <w:spacing w:val="0"/>
          <w:sz w:val="31"/>
          <w:szCs w:val="31"/>
          <w:vertAlign w:val="baseline"/>
        </w:rPr>
        <w:t>制定社会各项事业发展计划，发展教育、</w:t>
      </w:r>
      <w:bookmarkStart w:id="0" w:name="_GoBack"/>
      <w:bookmarkEnd w:id="0"/>
      <w:r>
        <w:rPr>
          <w:rFonts w:hint="default" w:ascii="Times New Roman" w:hAnsi="Times New Roman" w:eastAsia="方正仿宋_GBK" w:cs="Times New Roman"/>
          <w:i w:val="0"/>
          <w:iCs w:val="0"/>
          <w:caps w:val="0"/>
          <w:color w:val="000000"/>
          <w:spacing w:val="0"/>
          <w:sz w:val="31"/>
          <w:szCs w:val="31"/>
          <w:vertAlign w:val="baseline"/>
        </w:rPr>
        <w:t>卫生、科技、民政、广播电视、文化、体育事业；加强计划生育工作；推进社会保障、社会福利事业和养老保险等工作。</w:t>
      </w:r>
    </w:p>
    <w:p w14:paraId="2532BC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6.</w:t>
      </w:r>
      <w:r>
        <w:rPr>
          <w:rFonts w:hint="default" w:ascii="Times New Roman" w:hAnsi="Times New Roman" w:eastAsia="方正仿宋_GBK" w:cs="Times New Roman"/>
          <w:i w:val="0"/>
          <w:iCs w:val="0"/>
          <w:caps w:val="0"/>
          <w:color w:val="000000"/>
          <w:spacing w:val="0"/>
          <w:sz w:val="31"/>
          <w:szCs w:val="31"/>
          <w:vertAlign w:val="baseline"/>
        </w:rPr>
        <w:t>加强乡级财政的监督和管理。</w:t>
      </w:r>
    </w:p>
    <w:p w14:paraId="4B5DBF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7.</w:t>
      </w:r>
      <w:r>
        <w:rPr>
          <w:rFonts w:hint="default" w:ascii="Times New Roman" w:hAnsi="Times New Roman" w:eastAsia="方正仿宋_GBK" w:cs="Times New Roman"/>
          <w:i w:val="0"/>
          <w:iCs w:val="0"/>
          <w:caps w:val="0"/>
          <w:color w:val="000000"/>
          <w:spacing w:val="0"/>
          <w:sz w:val="31"/>
          <w:szCs w:val="31"/>
          <w:vertAlign w:val="baseline"/>
        </w:rPr>
        <w:t>指导村（居）民委员会的组织制度建设和业务建设，促进村（居）民委员会民主自治。</w:t>
      </w:r>
    </w:p>
    <w:p w14:paraId="6BE9CB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8.</w:t>
      </w:r>
      <w:r>
        <w:rPr>
          <w:rFonts w:hint="default" w:ascii="Times New Roman" w:hAnsi="Times New Roman" w:eastAsia="方正仿宋_GBK" w:cs="Times New Roman"/>
          <w:i w:val="0"/>
          <w:iCs w:val="0"/>
          <w:caps w:val="0"/>
          <w:color w:val="000000"/>
          <w:spacing w:val="0"/>
          <w:sz w:val="31"/>
          <w:szCs w:val="31"/>
          <w:vertAlign w:val="baseline"/>
        </w:rPr>
        <w:t>制定和组织实施乡村建设规划，保护和改善生活环境和生态环境。</w:t>
      </w:r>
    </w:p>
    <w:p w14:paraId="7A861F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9.</w:t>
      </w:r>
      <w:r>
        <w:rPr>
          <w:rFonts w:hint="default" w:ascii="Times New Roman" w:hAnsi="Times New Roman" w:eastAsia="方正仿宋_GBK" w:cs="Times New Roman"/>
          <w:i w:val="0"/>
          <w:iCs w:val="0"/>
          <w:caps w:val="0"/>
          <w:color w:val="000000"/>
          <w:spacing w:val="0"/>
          <w:sz w:val="31"/>
          <w:szCs w:val="31"/>
          <w:vertAlign w:val="baseline"/>
        </w:rPr>
        <w:t>协助和支持设置在本行政区域内不隶属于乡的国家机关和企事业单位工作，监督其遵守和执行国家的法律、法规和政策。</w:t>
      </w:r>
    </w:p>
    <w:p w14:paraId="209F9B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20" w:firstLineChars="200"/>
        <w:textAlignment w:val="baseline"/>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shd w:val="clear" w:fill="FFFFFF"/>
          <w:vertAlign w:val="baseline"/>
        </w:rPr>
        <w:t>10.</w:t>
      </w:r>
      <w:r>
        <w:rPr>
          <w:rFonts w:hint="default" w:ascii="Times New Roman" w:hAnsi="Times New Roman" w:eastAsia="方正仿宋_GBK" w:cs="Times New Roman"/>
          <w:i w:val="0"/>
          <w:iCs w:val="0"/>
          <w:caps w:val="0"/>
          <w:color w:val="000000"/>
          <w:spacing w:val="0"/>
          <w:sz w:val="31"/>
          <w:szCs w:val="31"/>
          <w:shd w:val="clear" w:fill="FFFFFF"/>
          <w:vertAlign w:val="baseline"/>
        </w:rPr>
        <w:t>承办本级党委、人大和上级交办的其他事项。</w:t>
      </w:r>
    </w:p>
    <w:p w14:paraId="1CB302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（二）机构设置</w:t>
      </w:r>
    </w:p>
    <w:p w14:paraId="773A1F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20" w:firstLineChars="200"/>
        <w:textAlignment w:val="baseline"/>
        <w:rPr>
          <w:rFonts w:hint="default" w:ascii="Times New Roman" w:hAnsi="Times New Roman" w:eastAsia="方正仿宋_GBK" w:cs="Times New Roman"/>
          <w:i w:val="0"/>
          <w:iCs w:val="0"/>
          <w:caps w:val="0"/>
          <w:color w:val="000000"/>
          <w:spacing w:val="0"/>
          <w:sz w:val="31"/>
          <w:szCs w:val="31"/>
          <w:shd w:val="clear" w:fill="FFFFFF"/>
          <w:vertAlign w:val="baseline"/>
          <w:lang w:val="en-US" w:eastAsia="zh-CN"/>
        </w:rPr>
      </w:pPr>
      <w:r>
        <w:rPr>
          <w:rFonts w:hint="default" w:ascii="Times New Roman" w:hAnsi="Times New Roman" w:eastAsia="方正仿宋_GBK" w:cs="Times New Roman"/>
          <w:i w:val="0"/>
          <w:iCs w:val="0"/>
          <w:caps w:val="0"/>
          <w:color w:val="000000"/>
          <w:spacing w:val="0"/>
          <w:sz w:val="31"/>
          <w:szCs w:val="31"/>
          <w:shd w:val="clear" w:fill="FFFFFF"/>
          <w:vertAlign w:val="baseline"/>
          <w:lang w:val="en-US" w:eastAsia="zh-CN"/>
        </w:rPr>
        <w:t>石柱土家族自治县六塘乡人民政府内设5个办公室，分别是</w:t>
      </w:r>
      <w:r>
        <w:rPr>
          <w:rFonts w:hint="default" w:ascii="Times New Roman" w:hAnsi="Times New Roman" w:eastAsia="方正仿宋_GBK" w:cs="Times New Roman"/>
          <w:i w:val="0"/>
          <w:iCs w:val="0"/>
          <w:caps w:val="0"/>
          <w:color w:val="000000"/>
          <w:spacing w:val="0"/>
          <w:sz w:val="31"/>
          <w:szCs w:val="31"/>
          <w:shd w:val="clear" w:fill="FFFFFF"/>
          <w:vertAlign w:val="baseline"/>
        </w:rPr>
        <w:t>基层治理综合指挥室</w:t>
      </w:r>
      <w:r>
        <w:rPr>
          <w:rFonts w:hint="default" w:ascii="Times New Roman" w:hAnsi="Times New Roman" w:eastAsia="方正仿宋_GBK" w:cs="Times New Roman"/>
          <w:i w:val="0"/>
          <w:iCs w:val="0"/>
          <w:caps w:val="0"/>
          <w:color w:val="000000"/>
          <w:spacing w:val="0"/>
          <w:sz w:val="31"/>
          <w:szCs w:val="31"/>
          <w:shd w:val="clear" w:fill="FFFFFF"/>
          <w:vertAlign w:val="baseline"/>
          <w:lang w:eastAsia="zh-CN"/>
        </w:rPr>
        <w:t>、</w:t>
      </w:r>
      <w:r>
        <w:rPr>
          <w:rFonts w:hint="default" w:ascii="Times New Roman" w:hAnsi="Times New Roman" w:eastAsia="方正仿宋_GBK" w:cs="Times New Roman"/>
          <w:i w:val="0"/>
          <w:iCs w:val="0"/>
          <w:caps w:val="0"/>
          <w:color w:val="000000"/>
          <w:spacing w:val="0"/>
          <w:sz w:val="31"/>
          <w:szCs w:val="31"/>
          <w:shd w:val="clear" w:fill="FFFFFF"/>
          <w:vertAlign w:val="baseline"/>
        </w:rPr>
        <w:t>党的建设办公室</w:t>
      </w:r>
      <w:r>
        <w:rPr>
          <w:rFonts w:hint="default" w:ascii="Times New Roman" w:hAnsi="Times New Roman" w:eastAsia="方正仿宋_GBK" w:cs="Times New Roman"/>
          <w:i w:val="0"/>
          <w:iCs w:val="0"/>
          <w:caps w:val="0"/>
          <w:color w:val="000000"/>
          <w:spacing w:val="0"/>
          <w:sz w:val="31"/>
          <w:szCs w:val="31"/>
          <w:shd w:val="clear" w:fill="FFFFFF"/>
          <w:vertAlign w:val="baseline"/>
          <w:lang w:eastAsia="zh-CN"/>
        </w:rPr>
        <w:t>、</w:t>
      </w:r>
      <w:r>
        <w:rPr>
          <w:rFonts w:hint="default" w:ascii="Times New Roman" w:hAnsi="Times New Roman" w:eastAsia="方正仿宋_GBK" w:cs="Times New Roman"/>
          <w:i w:val="0"/>
          <w:iCs w:val="0"/>
          <w:caps w:val="0"/>
          <w:color w:val="000000"/>
          <w:spacing w:val="0"/>
          <w:sz w:val="31"/>
          <w:szCs w:val="31"/>
          <w:shd w:val="clear" w:fill="FFFFFF"/>
          <w:vertAlign w:val="baseline"/>
        </w:rPr>
        <w:t>经济发展办公室</w:t>
      </w:r>
      <w:r>
        <w:rPr>
          <w:rFonts w:hint="default" w:ascii="Times New Roman" w:hAnsi="Times New Roman" w:eastAsia="方正仿宋_GBK" w:cs="Times New Roman"/>
          <w:i w:val="0"/>
          <w:iCs w:val="0"/>
          <w:caps w:val="0"/>
          <w:color w:val="000000"/>
          <w:spacing w:val="0"/>
          <w:sz w:val="31"/>
          <w:szCs w:val="31"/>
          <w:shd w:val="clear" w:fill="FFFFFF"/>
          <w:vertAlign w:val="baseline"/>
          <w:lang w:eastAsia="zh-CN"/>
        </w:rPr>
        <w:t>、</w:t>
      </w:r>
      <w:r>
        <w:rPr>
          <w:rFonts w:hint="default" w:ascii="Times New Roman" w:hAnsi="Times New Roman" w:eastAsia="方正仿宋_GBK" w:cs="Times New Roman"/>
          <w:i w:val="0"/>
          <w:iCs w:val="0"/>
          <w:caps w:val="0"/>
          <w:color w:val="000000"/>
          <w:spacing w:val="0"/>
          <w:sz w:val="31"/>
          <w:szCs w:val="31"/>
          <w:shd w:val="clear" w:fill="FFFFFF"/>
          <w:vertAlign w:val="baseline"/>
        </w:rPr>
        <w:t>民生服务办公室</w:t>
      </w:r>
      <w:r>
        <w:rPr>
          <w:rFonts w:hint="default" w:ascii="Times New Roman" w:hAnsi="Times New Roman" w:eastAsia="方正仿宋_GBK" w:cs="Times New Roman"/>
          <w:i w:val="0"/>
          <w:iCs w:val="0"/>
          <w:caps w:val="0"/>
          <w:color w:val="000000"/>
          <w:spacing w:val="0"/>
          <w:sz w:val="31"/>
          <w:szCs w:val="31"/>
          <w:shd w:val="clear" w:fill="FFFFFF"/>
          <w:vertAlign w:val="baseline"/>
          <w:lang w:eastAsia="zh-CN"/>
        </w:rPr>
        <w:t>、</w:t>
      </w:r>
      <w:r>
        <w:rPr>
          <w:rFonts w:hint="default" w:ascii="Times New Roman" w:hAnsi="Times New Roman" w:eastAsia="方正仿宋_GBK" w:cs="Times New Roman"/>
          <w:i w:val="0"/>
          <w:iCs w:val="0"/>
          <w:caps w:val="0"/>
          <w:color w:val="000000"/>
          <w:spacing w:val="0"/>
          <w:sz w:val="31"/>
          <w:szCs w:val="31"/>
          <w:shd w:val="clear" w:fill="FFFFFF"/>
          <w:vertAlign w:val="baseline"/>
        </w:rPr>
        <w:t>平安法治办公室</w:t>
      </w:r>
      <w:r>
        <w:rPr>
          <w:rFonts w:hint="default" w:ascii="Times New Roman" w:hAnsi="Times New Roman" w:eastAsia="方正仿宋_GBK" w:cs="Times New Roman"/>
          <w:i w:val="0"/>
          <w:iCs w:val="0"/>
          <w:caps w:val="0"/>
          <w:color w:val="000000"/>
          <w:spacing w:val="0"/>
          <w:sz w:val="31"/>
          <w:szCs w:val="31"/>
          <w:shd w:val="clear" w:fill="FFFFFF"/>
          <w:vertAlign w:val="baseline"/>
          <w:lang w:eastAsia="zh-CN"/>
        </w:rPr>
        <w:t>。</w:t>
      </w:r>
      <w:r>
        <w:rPr>
          <w:rFonts w:hint="default" w:ascii="Times New Roman" w:hAnsi="Times New Roman" w:eastAsia="方正仿宋_GBK" w:cs="Times New Roman"/>
          <w:i w:val="0"/>
          <w:iCs w:val="0"/>
          <w:caps w:val="0"/>
          <w:color w:val="000000"/>
          <w:spacing w:val="0"/>
          <w:sz w:val="31"/>
          <w:szCs w:val="31"/>
          <w:shd w:val="clear" w:fill="FFFFFF"/>
          <w:vertAlign w:val="baseline"/>
          <w:lang w:val="en-US" w:eastAsia="zh-CN"/>
        </w:rPr>
        <w:t>下设4个财政全额拨款公益一类副科级事业单位，分别是产业发展服务中心、新时代文明实践服务中心、便民服务中心、综合行政执法大队。</w:t>
      </w:r>
    </w:p>
    <w:p w14:paraId="094A767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二、部门决算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C23104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0A35CBB5">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2310.07万元。收、支与2023年度相比，减少152.88万元，下降6.2%，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default" w:ascii="Times New Roman" w:hAnsi="Times New Roman" w:eastAsia="方正仿宋_GBK" w:cs="Times New Roman"/>
          <w:sz w:val="32"/>
          <w:szCs w:val="32"/>
          <w:shd w:val="clear" w:color="auto" w:fill="FFFFFF"/>
          <w:lang w:val="en-US" w:eastAsia="zh-CN"/>
        </w:rPr>
        <w:t>等。</w:t>
      </w:r>
    </w:p>
    <w:p w14:paraId="5B7339C1">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2310.07万元，与2023年度相比，减少152.88万元，下降6.2%，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其中：财政拨款收入2310.07万元，占100.0%；事业收入0.00万元，占0.0%；经营收入0.00万元，占0.0%；其他收入0.00万元，占0.0%。此外，使用非财政拨款结余（含专用结余）0.00万元，年初结转和结余0.00万元。</w:t>
      </w:r>
    </w:p>
    <w:p w14:paraId="7AE76529">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2310.07万元，与2023年度相比，减少152.88万元，下降6.2%，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其中：基本支出903.00万元，占39.1%；项目支出1407.07万元，占60.9%；经营支出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0BA12A67">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75F06BA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15CE6D8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2024年度财政拨款收、支总计均为2310.07万元。与2023年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152.88万元，下降6.2%。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default" w:ascii="Times New Roman" w:hAnsi="Times New Roman" w:eastAsia="方正仿宋_GBK" w:cs="Times New Roman"/>
          <w:sz w:val="32"/>
          <w:szCs w:val="32"/>
          <w:shd w:val="clear" w:color="auto" w:fill="FFFFFF"/>
          <w:lang w:val="en-US" w:eastAsia="zh-CN"/>
        </w:rPr>
        <w:t>等。</w:t>
      </w:r>
    </w:p>
    <w:p w14:paraId="56B1279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37081505">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2024年度一般公共预算财政拨款收入2289.7</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万元，与2023年度相比，减少82.76万元，下降3.5%。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较年初预算数增加894.41万元，增长64.1%。主要原因是</w:t>
      </w:r>
      <w:r>
        <w:rPr>
          <w:rFonts w:hint="default" w:ascii="Times New Roman" w:hAnsi="Times New Roman" w:eastAsia="方正仿宋_GBK" w:cs="Times New Roman"/>
          <w:sz w:val="32"/>
          <w:szCs w:val="32"/>
          <w:shd w:val="clear" w:color="auto" w:fill="FFFFFF"/>
          <w:lang w:val="en-US" w:eastAsia="zh-CN"/>
        </w:rPr>
        <w:t>年中追加六塘乡回龙村塘龙组炭厂坡-背后湾公路畅通工程项目、石柱县2023年集体经济共建肉牛示范场项目、石柱县2024年六塘乡三坪村黄连种植基地配套灌溉设施建设项目等</w:t>
      </w:r>
      <w:r>
        <w:rPr>
          <w:rFonts w:hint="default" w:ascii="Times New Roman" w:hAnsi="Times New Roman" w:eastAsia="方正仿宋_GBK" w:cs="Times New Roman"/>
          <w:sz w:val="32"/>
          <w:szCs w:val="32"/>
          <w:shd w:val="clear" w:color="auto" w:fill="FFFFFF"/>
        </w:rPr>
        <w:t>。此外，年初财政拨款结转和结余0.00万元。</w:t>
      </w:r>
    </w:p>
    <w:p w14:paraId="50D04C73">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2024年度一般公共预算财政拨款支出2289.7</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万元，与2023年度相比，减少82.76万元，下降3.5%。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较年初预算数增加894.41万元，增长64.1%。主要原因是</w:t>
      </w:r>
      <w:r>
        <w:rPr>
          <w:rFonts w:hint="default" w:ascii="Times New Roman" w:hAnsi="Times New Roman" w:eastAsia="方正仿宋_GBK" w:cs="Times New Roman"/>
          <w:sz w:val="32"/>
          <w:szCs w:val="32"/>
          <w:shd w:val="clear" w:color="auto" w:fill="FFFFFF"/>
          <w:lang w:val="en-US" w:eastAsia="zh-CN"/>
        </w:rPr>
        <w:t>年中追加六塘乡回龙村塘龙组炭厂坡-背后湾公路畅通工程项目、石柱县2023年集体经济共建肉牛示范场项目、石柱县2024年六塘乡三坪村黄连种植基地配套灌溉设施建设项目等</w:t>
      </w:r>
      <w:r>
        <w:rPr>
          <w:rFonts w:hint="default" w:ascii="Times New Roman" w:hAnsi="Times New Roman" w:eastAsia="方正仿宋_GBK" w:cs="Times New Roman"/>
          <w:sz w:val="32"/>
          <w:szCs w:val="32"/>
          <w:shd w:val="clear" w:color="auto" w:fill="FFFFFF"/>
        </w:rPr>
        <w:t>。</w:t>
      </w:r>
    </w:p>
    <w:p w14:paraId="22FC7B7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FB6FC92">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（1）一般公共服务支出619.63万元，占27.1%，较年初预算数增加170.05万元，增长37.8%，主要原因是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烤烟税收分成</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非税体制结算等项目。</w:t>
      </w:r>
    </w:p>
    <w:p w14:paraId="5E493B50">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）文化旅游体育与传媒支出16.67万元，占0.7%，较年初预算数增加3.55万元，增长27.1%，主要原因是本年度</w:t>
      </w:r>
      <w:r>
        <w:rPr>
          <w:rFonts w:hint="default" w:ascii="Times New Roman" w:hAnsi="Times New Roman" w:eastAsia="方正仿宋_GBK" w:cs="Times New Roman"/>
          <w:sz w:val="32"/>
          <w:szCs w:val="32"/>
          <w:shd w:val="clear" w:color="auto" w:fill="FFFFFF"/>
          <w:lang w:val="en-US" w:eastAsia="zh-CN"/>
        </w:rPr>
        <w:t>新时代文明实践服务中心</w:t>
      </w:r>
      <w:r>
        <w:rPr>
          <w:rFonts w:hint="default" w:ascii="Times New Roman" w:hAnsi="Times New Roman" w:eastAsia="方正仿宋_GBK" w:cs="Times New Roman"/>
          <w:sz w:val="32"/>
          <w:szCs w:val="32"/>
          <w:shd w:val="clear" w:color="auto" w:fill="FFFFFF"/>
        </w:rPr>
        <w:t>工作人员调入1名</w:t>
      </w:r>
      <w:r>
        <w:rPr>
          <w:rFonts w:hint="default" w:ascii="Times New Roman" w:hAnsi="Times New Roman" w:eastAsia="方正仿宋_GBK" w:cs="Times New Roman"/>
          <w:sz w:val="32"/>
          <w:szCs w:val="32"/>
          <w:shd w:val="clear" w:color="auto" w:fill="FFFFFF"/>
          <w:lang w:eastAsia="zh-CN"/>
        </w:rPr>
        <w:t>。</w:t>
      </w:r>
    </w:p>
    <w:p w14:paraId="5461264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就业支出266.2万元，占11.6%，较年初预算数增加72.50万元，增长37.4%，主要原因是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2024年基层政权建设项目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六塘乡养老服务中心项目</w:t>
      </w:r>
      <w:r>
        <w:rPr>
          <w:rFonts w:hint="default" w:ascii="Times New Roman" w:hAnsi="Times New Roman" w:eastAsia="方正仿宋_GBK" w:cs="Times New Roman"/>
          <w:sz w:val="32"/>
          <w:szCs w:val="32"/>
          <w:shd w:val="clear" w:color="auto" w:fill="FFFFFF"/>
          <w:lang w:val="en-US" w:eastAsia="zh-CN"/>
        </w:rPr>
        <w:t xml:space="preserve">等。  </w:t>
      </w:r>
    </w:p>
    <w:p w14:paraId="36ACC203">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）卫生健康支出52.56万元，占2.3%，较年初预算数增加0.41万元，增长0.8%，主要原因是补缴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p>
    <w:p w14:paraId="6505D682">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）节能环保支出74.2</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万元，占3.2%，较年初预算数增加74.2</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六塘乡龙池村沟渠治理</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六塘闫氏氧化锌冶炼渣场环保整治</w:t>
      </w:r>
      <w:r>
        <w:rPr>
          <w:rFonts w:hint="default" w:ascii="Times New Roman" w:hAnsi="Times New Roman" w:eastAsia="方正仿宋_GBK" w:cs="Times New Roman"/>
          <w:sz w:val="32"/>
          <w:szCs w:val="32"/>
          <w:shd w:val="clear" w:color="auto" w:fill="FFFFFF"/>
          <w:lang w:val="en-US" w:eastAsia="zh-CN"/>
        </w:rPr>
        <w:t>项目等。</w:t>
      </w:r>
    </w:p>
    <w:p w14:paraId="5C982EA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）城乡社区支出18.67万元，占0.8%，较年初预算数增加18.67万元，增长100.0%，主要原因是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农村生活垃圾收运补助</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2024年石柱县农村生活垃圾分类先锋创建项目</w:t>
      </w:r>
      <w:r>
        <w:rPr>
          <w:rFonts w:hint="default" w:ascii="Times New Roman" w:hAnsi="Times New Roman" w:eastAsia="方正仿宋_GBK" w:cs="Times New Roman"/>
          <w:sz w:val="32"/>
          <w:szCs w:val="32"/>
          <w:shd w:val="clear" w:color="auto" w:fill="FFFFFF"/>
          <w:lang w:val="en-US" w:eastAsia="zh-CN"/>
        </w:rPr>
        <w:t>等。</w:t>
      </w:r>
    </w:p>
    <w:p w14:paraId="57C1902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）农林水支出1009.65万元，占44.1%，较年初预算数增加376.69万元，增长59.5%，主要原因是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石柱县2024年乡村振兴积分激励项目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石柱县2024年六塘乡三坪村黄连种植基地配套灌溉设施建设项目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六塘乡回龙村塘龙组炭厂坡-背后湾公路畅通工程</w:t>
      </w:r>
      <w:r>
        <w:rPr>
          <w:rFonts w:hint="default" w:ascii="Times New Roman" w:hAnsi="Times New Roman" w:eastAsia="方正仿宋_GBK" w:cs="Times New Roman"/>
          <w:sz w:val="32"/>
          <w:szCs w:val="32"/>
          <w:shd w:val="clear" w:color="auto" w:fill="FFFFFF"/>
          <w:lang w:val="en-US" w:eastAsia="zh-CN"/>
        </w:rPr>
        <w:t>项目等。</w:t>
      </w:r>
    </w:p>
    <w:p w14:paraId="2DC4ABE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）交通运输支出156.31万元，占6.8%，较年初预算数增加156.31万元，增长100.0%，主要原因是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六塘乡回龙村老屋基至炭厂坡通达工程</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六塘乡回龙村委桥</w:t>
      </w:r>
      <w:r>
        <w:rPr>
          <w:rFonts w:hint="default" w:ascii="Times New Roman" w:hAnsi="Times New Roman" w:eastAsia="方正仿宋_GBK" w:cs="Times New Roman"/>
          <w:sz w:val="32"/>
          <w:szCs w:val="32"/>
          <w:shd w:val="clear" w:color="auto" w:fill="FFFFFF"/>
          <w:lang w:val="en-US" w:eastAsia="zh-CN"/>
        </w:rPr>
        <w:t>项目等。</w:t>
      </w:r>
    </w:p>
    <w:p w14:paraId="1997EA54">
      <w:pPr>
        <w:spacing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51.35万元，占2.2%，较年初预算数增加0.14万元，增长0.3%，主要原因是</w:t>
      </w:r>
      <w:r>
        <w:rPr>
          <w:rFonts w:hint="default" w:ascii="Times New Roman" w:hAnsi="Times New Roman" w:eastAsia="方正仿宋_GBK" w:cs="Times New Roman"/>
          <w:sz w:val="32"/>
          <w:szCs w:val="32"/>
          <w:shd w:val="clear" w:color="auto" w:fill="FFFFFF"/>
          <w:lang w:val="en-US" w:eastAsia="zh-CN"/>
        </w:rPr>
        <w:t>我单位职工年度基数调整。</w:t>
      </w:r>
    </w:p>
    <w:p w14:paraId="3AC7957D">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24.48万元，占1.1%，较年初预算数增加21.88万元，增长841.5%，主要原因是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自然灾害救灾资金</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地质灾害防治员补贴</w:t>
      </w:r>
      <w:r>
        <w:rPr>
          <w:rFonts w:hint="default" w:ascii="Times New Roman" w:hAnsi="Times New Roman" w:eastAsia="方正仿宋_GBK" w:cs="Times New Roman"/>
          <w:sz w:val="32"/>
          <w:szCs w:val="32"/>
          <w:shd w:val="clear" w:color="auto" w:fill="FFFFFF"/>
          <w:lang w:val="en-US" w:eastAsia="zh-CN"/>
        </w:rPr>
        <w:t>项目。</w:t>
      </w:r>
    </w:p>
    <w:p w14:paraId="61864B62">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4403F7F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107DDA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2024年度一般公共财政拨款基本支出903.00万元。</w:t>
      </w:r>
    </w:p>
    <w:p w14:paraId="406AC32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125DE8D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人员经费793.10万元，与2023年度相比，减少91.84万元，下降10.4%，主要原因是上年度坐实补缴职业年金且预发了年度考核奖，本年度未预发年度考核奖</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基本工资、基础绩效、超额绩效、社会保障缴费、住房公积金等。</w:t>
      </w:r>
    </w:p>
    <w:p w14:paraId="75B3454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公用经费109.90万元，与2023年度相比，减少1.02万元，下降0.9%，主要原因是响应落实中央八项规定精神，厉行节约，严控支出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办公费、印刷费、电费、水费、邮电费、差旅费、劳务费等。</w:t>
      </w:r>
    </w:p>
    <w:p w14:paraId="52C6DBC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05CB5E8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20.33万元，与2023年度相比，减少70.11万元，下降77.5%，主要原因是政府性基金预算项目减少夹夹石至广阳坪通达工程、地质灾害避险移民搬迁、黄腊村便民服务中心建设3个项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本年支出20.33万元，与2023年度相比，减少70.11万元，下降77.5%，主要原因是政府性基金预算项目减少夹夹石至广阳坪通达工程、地质灾害避险移民搬迁、黄腊村便民服务中心建设3个项目</w:t>
      </w:r>
      <w:r>
        <w:rPr>
          <w:rFonts w:hint="default" w:ascii="Times New Roman" w:hAnsi="Times New Roman" w:eastAsia="方正仿宋_GBK" w:cs="Times New Roman"/>
          <w:sz w:val="32"/>
          <w:szCs w:val="32"/>
          <w:shd w:val="clear" w:color="auto" w:fill="FFFFFF"/>
          <w:lang w:eastAsia="zh-CN"/>
        </w:rPr>
        <w:t>。</w:t>
      </w:r>
    </w:p>
    <w:p w14:paraId="12FE888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0607069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黑体"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1724BAA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597865B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2024年度“三公”经费支出共计10.05万元，较年初预算数减少2.46万元，下降19.7%，主要原因是一是脱贫攻坚、水库建设等工作用车次数减少，二是上级</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检查次数减少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较上年支出数减少2.23万元，下降18.2%，主要原因是一是脱贫攻坚、水库建设等工作用车次数减少，二是上级</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检查次数减少</w:t>
      </w:r>
      <w:r>
        <w:rPr>
          <w:rFonts w:hint="default" w:ascii="Times New Roman" w:hAnsi="Times New Roman" w:eastAsia="方正仿宋_GBK" w:cs="Times New Roman"/>
          <w:sz w:val="32"/>
          <w:szCs w:val="32"/>
          <w:shd w:val="clear" w:color="auto" w:fill="FFFFFF"/>
          <w:lang w:eastAsia="zh-CN"/>
        </w:rPr>
        <w:t>。</w:t>
      </w:r>
    </w:p>
    <w:p w14:paraId="5C0F803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0F68DA4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w:t>
      </w:r>
      <w:r>
        <w:rPr>
          <w:rFonts w:hint="default" w:ascii="Times New Roman" w:hAnsi="Times New Roman" w:eastAsia="方正仿宋_GBK" w:cs="Times New Roman"/>
          <w:sz w:val="32"/>
          <w:szCs w:val="32"/>
          <w:shd w:val="clear" w:color="auto" w:fill="FFFFFF"/>
          <w:lang w:eastAsia="zh-CN"/>
        </w:rPr>
        <w:t>。</w:t>
      </w:r>
    </w:p>
    <w:p w14:paraId="52FFD25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w:t>
      </w:r>
      <w:r>
        <w:rPr>
          <w:rFonts w:hint="default" w:ascii="Times New Roman" w:hAnsi="Times New Roman" w:eastAsia="方正仿宋_GBK" w:cs="Times New Roman"/>
          <w:sz w:val="32"/>
          <w:szCs w:val="32"/>
          <w:shd w:val="clear" w:color="auto" w:fill="FFFFFF"/>
          <w:lang w:eastAsia="zh-CN"/>
        </w:rPr>
        <w:t>。</w:t>
      </w:r>
    </w:p>
    <w:p w14:paraId="623F3ED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车运行维护费7.81万元，主要用于</w:t>
      </w:r>
      <w:r>
        <w:rPr>
          <w:rFonts w:hint="default" w:ascii="Times New Roman" w:hAnsi="Times New Roman" w:eastAsia="方正仿宋_GBK" w:cs="Times New Roman"/>
          <w:sz w:val="32"/>
          <w:szCs w:val="32"/>
          <w:shd w:val="clear" w:color="auto" w:fill="FFFFFF"/>
          <w:lang w:val="en-US" w:eastAsia="zh-CN"/>
        </w:rPr>
        <w:t>工作所需公务车辆的燃油费、维修费、过桥公路费、保险费等。</w:t>
      </w:r>
      <w:r>
        <w:rPr>
          <w:rFonts w:hint="default" w:ascii="Times New Roman" w:hAnsi="Times New Roman" w:eastAsia="方正仿宋_GBK" w:cs="Times New Roman"/>
          <w:sz w:val="32"/>
          <w:szCs w:val="32"/>
          <w:shd w:val="clear" w:color="auto" w:fill="FFFFFF"/>
        </w:rPr>
        <w:t>费用支出较年初预算数减少2.12万元，下降21.4%，主要原因是脱贫攻坚、水库建设等工作用车次数减少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较上年支出数减少2.10万元，下降21.2%，主要原因是脱贫攻坚、水库建设等工作用车次数减少</w:t>
      </w:r>
      <w:r>
        <w:rPr>
          <w:rFonts w:hint="default" w:ascii="Times New Roman" w:hAnsi="Times New Roman" w:eastAsia="方正仿宋_GBK" w:cs="Times New Roman"/>
          <w:sz w:val="32"/>
          <w:szCs w:val="32"/>
          <w:shd w:val="clear" w:color="auto" w:fill="FFFFFF"/>
          <w:lang w:eastAsia="zh-CN"/>
        </w:rPr>
        <w:t>。</w:t>
      </w:r>
    </w:p>
    <w:p w14:paraId="0AD443C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公务接待费2.24万元，主要用于接待</w:t>
      </w:r>
      <w:r>
        <w:rPr>
          <w:rFonts w:hint="default" w:ascii="Times New Roman" w:hAnsi="Times New Roman" w:eastAsia="方正仿宋_GBK" w:cs="Times New Roman"/>
          <w:sz w:val="32"/>
          <w:szCs w:val="32"/>
          <w:shd w:val="clear" w:color="auto" w:fill="FFFFFF"/>
          <w:lang w:val="en-US" w:eastAsia="zh-CN"/>
        </w:rPr>
        <w:t>到我单位调研工作，检查指导工作发生的接待支出。</w:t>
      </w:r>
      <w:r>
        <w:rPr>
          <w:rFonts w:hint="default" w:ascii="Times New Roman" w:hAnsi="Times New Roman" w:eastAsia="方正仿宋_GBK" w:cs="Times New Roman"/>
          <w:sz w:val="32"/>
          <w:szCs w:val="32"/>
          <w:shd w:val="clear" w:color="auto" w:fill="FFFFFF"/>
        </w:rPr>
        <w:t>费用支出较年初预算数减少0.34万元，下降13.2%，主要原因是上级</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检查次数减少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较上年支出数减少0.13万元，下降5.5%，主要原因是上级</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检查次数减少</w:t>
      </w:r>
    </w:p>
    <w:p w14:paraId="11BC453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592DB0F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因公出国（境）共计0个团组，0人；公务用车购置0辆，公务车保有量为2辆；国内公务接待146批次423人，其中：国内外事接待0批次，0人；国（境）外公务接待0批次，0人。2024年本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人均接待费52.99元，车均购置费0万元，车均维护费3.90万元。</w:t>
      </w:r>
    </w:p>
    <w:p w14:paraId="5058935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4699B0D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5DB64E2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本年度会议费支出0.69万元，与2023年度相比，减少0.14万元，下降16.9%，主要原因是脱贫攻坚</w:t>
      </w:r>
      <w:r>
        <w:rPr>
          <w:rFonts w:hint="default" w:ascii="Times New Roman" w:hAnsi="Times New Roman" w:eastAsia="方正仿宋_GBK" w:cs="Times New Roman"/>
          <w:sz w:val="32"/>
          <w:szCs w:val="32"/>
          <w:shd w:val="clear" w:color="auto" w:fill="FFFFFF"/>
          <w:lang w:val="en-US" w:eastAsia="zh-CN"/>
        </w:rPr>
        <w:t>会议减少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本年度培训费支出0.51万元，与2023年度相比，减少0.39万元，下降43.3%，主要原因是脱贫攻坚、耕地恢复等工作培训减少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本年度差旅费支出15.88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与2023年度相比，减少5.73万元，下降26.5%，主要原因是</w:t>
      </w:r>
      <w:r>
        <w:rPr>
          <w:rFonts w:hint="default" w:ascii="Times New Roman" w:hAnsi="Times New Roman" w:eastAsia="方正仿宋_GBK" w:cs="Times New Roman"/>
          <w:sz w:val="32"/>
          <w:szCs w:val="32"/>
          <w:shd w:val="clear" w:color="auto" w:fill="FFFFFF"/>
          <w:lang w:val="en-US" w:eastAsia="zh-CN"/>
        </w:rPr>
        <w:t>压缩差旅预算，减少非必要出行。</w:t>
      </w:r>
    </w:p>
    <w:p w14:paraId="5A3D75E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7C3090B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机关运行经费支出67.13万元，机关运行经费主要用于开支</w:t>
      </w:r>
      <w:r>
        <w:rPr>
          <w:rFonts w:hint="default" w:ascii="Times New Roman" w:hAnsi="Times New Roman" w:eastAsia="方正仿宋_GBK" w:cs="Times New Roman"/>
          <w:sz w:val="32"/>
          <w:szCs w:val="32"/>
          <w:shd w:val="clear" w:color="auto" w:fill="FFFFFF"/>
          <w:lang w:val="en-US" w:eastAsia="zh-CN"/>
        </w:rPr>
        <w:t>办公费、水电费、邮电费、差旅费、维修（护）费、劳务费、公务用车运行维护费等。</w:t>
      </w:r>
      <w:r>
        <w:rPr>
          <w:rFonts w:hint="default" w:ascii="Times New Roman" w:hAnsi="Times New Roman" w:eastAsia="方正仿宋_GBK" w:cs="Times New Roman"/>
          <w:sz w:val="32"/>
          <w:szCs w:val="32"/>
          <w:shd w:val="clear" w:color="auto" w:fill="FFFFFF"/>
        </w:rPr>
        <w:t>机关运行经费较上年支出数减少1.12万元，下降1.6%，主要原因是响应落实中央八项规定精神，厉行节约，严控支出</w:t>
      </w:r>
      <w:r>
        <w:rPr>
          <w:rFonts w:hint="default" w:ascii="Times New Roman" w:hAnsi="Times New Roman" w:eastAsia="方正仿宋_GBK" w:cs="Times New Roman"/>
          <w:sz w:val="32"/>
          <w:szCs w:val="32"/>
          <w:shd w:val="clear" w:color="auto" w:fill="FFFFFF"/>
          <w:lang w:eastAsia="zh-CN"/>
        </w:rPr>
        <w:t>。</w:t>
      </w:r>
    </w:p>
    <w:p w14:paraId="3D24BD7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BB5BC6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2辆，其中，副部（省）级及以上领导用车0辆、主要负责人用车0辆、机要通信用车0辆、应急保障用车2辆、执法执勤用车0辆，特种专业技术用车0辆，离退休干部用车0辆。单价100万元（含）以上专用设备0台（套）。</w:t>
      </w:r>
    </w:p>
    <w:p w14:paraId="4C8B4ED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165AABD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rPr>
        <w:t>2024年度我单位未发生政府采购事项，无相关经费支出。</w:t>
      </w:r>
    </w:p>
    <w:p w14:paraId="0332B1F1">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lang w:val="en-US" w:eastAsia="zh-CN"/>
        </w:rPr>
        <w:t>五、</w:t>
      </w:r>
      <w:r>
        <w:rPr>
          <w:rStyle w:val="8"/>
          <w:rFonts w:hint="default" w:ascii="Times New Roman" w:hAnsi="Times New Roman" w:eastAsia="黑体" w:cs="Times New Roman"/>
          <w:sz w:val="32"/>
          <w:szCs w:val="32"/>
          <w:shd w:val="clear" w:color="auto" w:fill="FFFFFF"/>
        </w:rPr>
        <w:t>预算绩效管理情况说明</w:t>
      </w:r>
    </w:p>
    <w:p w14:paraId="2D0818DE">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7A98A5BF">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单位对部门整体开展了绩效自评，其中，以填报目标自评表的形式对69个项目开展自评，涉及资金1150.45万元；以委托第三方形式开展绩效自评0项，涉及资金0.00万元，从评价情况来看：2024年，我乡积极履行职责，强化管理，较好的完成年度工作目标。通过加强预算收支管理，</w:t>
      </w:r>
      <w:r>
        <w:rPr>
          <w:rFonts w:hint="eastAsia" w:ascii="Times New Roman" w:hAnsi="Times New Roman" w:eastAsia="方正仿宋_GBK" w:cs="Times New Roman"/>
          <w:sz w:val="32"/>
          <w:szCs w:val="32"/>
          <w:shd w:val="clear" w:color="auto" w:fill="FFFFFF"/>
          <w:lang w:val="en-US" w:eastAsia="zh-CN" w:bidi="ar-SA"/>
        </w:rPr>
        <w:t>不断</w:t>
      </w:r>
      <w:r>
        <w:rPr>
          <w:rFonts w:hint="default" w:ascii="Times New Roman" w:hAnsi="Times New Roman" w:eastAsia="方正仿宋_GBK" w:cs="Times New Roman"/>
          <w:sz w:val="32"/>
          <w:szCs w:val="32"/>
          <w:shd w:val="clear" w:color="auto" w:fill="FFFFFF"/>
          <w:lang w:val="en-US" w:eastAsia="zh-CN" w:bidi="ar-SA"/>
        </w:rPr>
        <w:t>建立健全内部管理制度，梳理内部管理流程，整体支出水平得到提升。</w:t>
      </w:r>
    </w:p>
    <w:p w14:paraId="60BD1BBE">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部门整体绩效自评表</w:t>
      </w:r>
    </w:p>
    <w:tbl>
      <w:tblPr>
        <w:tblStyle w:val="6"/>
        <w:tblpPr w:leftFromText="180" w:rightFromText="180" w:vertAnchor="text" w:horzAnchor="page" w:tblpX="1791" w:tblpY="584"/>
        <w:tblOverlap w:val="never"/>
        <w:tblW w:w="5186" w:type="pct"/>
        <w:tblInd w:w="0" w:type="dxa"/>
        <w:shd w:val="clear" w:color="auto" w:fill="auto"/>
        <w:tblLayout w:type="fixed"/>
        <w:tblCellMar>
          <w:top w:w="0" w:type="dxa"/>
          <w:left w:w="0" w:type="dxa"/>
          <w:bottom w:w="0" w:type="dxa"/>
          <w:right w:w="0" w:type="dxa"/>
        </w:tblCellMar>
      </w:tblPr>
      <w:tblGrid>
        <w:gridCol w:w="1507"/>
        <w:gridCol w:w="575"/>
        <w:gridCol w:w="605"/>
        <w:gridCol w:w="558"/>
        <w:gridCol w:w="760"/>
        <w:gridCol w:w="590"/>
        <w:gridCol w:w="762"/>
        <w:gridCol w:w="729"/>
        <w:gridCol w:w="396"/>
        <w:gridCol w:w="563"/>
        <w:gridCol w:w="412"/>
        <w:gridCol w:w="446"/>
        <w:gridCol w:w="754"/>
      </w:tblGrid>
      <w:tr w14:paraId="5D646642">
        <w:tblPrEx>
          <w:shd w:val="clear" w:color="auto" w:fill="auto"/>
          <w:tblCellMar>
            <w:top w:w="0" w:type="dxa"/>
            <w:left w:w="0" w:type="dxa"/>
            <w:bottom w:w="0" w:type="dxa"/>
            <w:right w:w="0" w:type="dxa"/>
          </w:tblCellMar>
        </w:tblPrEx>
        <w:trPr>
          <w:trHeight w:val="80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091C">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方正小标宋_GBK" w:cs="Times New Roman"/>
                <w:b w:val="0"/>
                <w:bCs/>
                <w:i w:val="0"/>
                <w:color w:val="000000"/>
                <w:kern w:val="0"/>
                <w:sz w:val="40"/>
                <w:szCs w:val="40"/>
                <w:u w:val="none"/>
                <w:lang w:val="en-US" w:eastAsia="zh-CN" w:bidi="ar"/>
              </w:rPr>
              <w:t>六塘乡2024年度部门整体绩效自评表</w:t>
            </w:r>
          </w:p>
        </w:tc>
      </w:tr>
      <w:tr w14:paraId="3DDC4497">
        <w:tblPrEx>
          <w:tblCellMar>
            <w:top w:w="0" w:type="dxa"/>
            <w:left w:w="0" w:type="dxa"/>
            <w:bottom w:w="0" w:type="dxa"/>
            <w:right w:w="0" w:type="dxa"/>
          </w:tblCellMar>
        </w:tblPrEx>
        <w:trPr>
          <w:trHeight w:val="50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331E">
            <w:pPr>
              <w:jc w:val="right"/>
              <w:rPr>
                <w:rFonts w:hint="default" w:ascii="Times New Roman" w:hAnsi="Times New Roman" w:eastAsia="宋体" w:cs="Times New Roman"/>
                <w:b/>
                <w:i w:val="0"/>
                <w:color w:val="DA3232"/>
                <w:sz w:val="22"/>
                <w:szCs w:val="22"/>
                <w:u w:val="none"/>
                <w:lang w:eastAsia="zh-CN"/>
              </w:rPr>
            </w:pPr>
            <w:r>
              <w:rPr>
                <w:rFonts w:hint="default" w:ascii="Times New Roman" w:hAnsi="Times New Roman" w:cs="Times New Roman"/>
                <w:b/>
                <w:i w:val="0"/>
                <w:color w:val="auto"/>
                <w:sz w:val="22"/>
                <w:szCs w:val="22"/>
                <w:u w:val="none"/>
                <w:lang w:eastAsia="zh-CN"/>
              </w:rPr>
              <w:t>单位：万元</w:t>
            </w:r>
          </w:p>
        </w:tc>
      </w:tr>
      <w:tr w14:paraId="1F94F1B4">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E3DA">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主管部门</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AB84">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lang w:eastAsia="zh-CN"/>
              </w:rPr>
            </w:pPr>
            <w:r>
              <w:rPr>
                <w:rFonts w:hint="default" w:ascii="Times New Roman" w:hAnsi="Times New Roman" w:eastAsia="方正仿宋_GBK" w:cs="Times New Roman"/>
                <w:i w:val="0"/>
                <w:color w:val="000000"/>
                <w:kern w:val="0"/>
                <w:sz w:val="21"/>
                <w:szCs w:val="21"/>
                <w:u w:val="none"/>
                <w:lang w:val="en-US" w:eastAsia="zh-CN" w:bidi="ar"/>
              </w:rPr>
              <w:t>石柱土家族自治县六塘乡人民政府</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C6B3">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lang w:val="en-US"/>
              </w:rPr>
            </w:pPr>
            <w:r>
              <w:rPr>
                <w:rFonts w:hint="default" w:ascii="Times New Roman" w:hAnsi="Times New Roman" w:eastAsia="方正仿宋_GBK" w:cs="Times New Roman"/>
                <w:b/>
                <w:i w:val="0"/>
                <w:color w:val="000000"/>
                <w:sz w:val="21"/>
                <w:szCs w:val="21"/>
                <w:u w:val="none"/>
                <w:lang w:eastAsia="zh-CN"/>
              </w:rPr>
              <w:t>部门编码</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C3A2">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lang w:val="en-US"/>
              </w:rPr>
            </w:pPr>
            <w:r>
              <w:rPr>
                <w:rFonts w:hint="default" w:ascii="Times New Roman" w:hAnsi="Times New Roman" w:eastAsia="方正仿宋_GBK" w:cs="Times New Roman"/>
                <w:i w:val="0"/>
                <w:color w:val="000000"/>
                <w:kern w:val="0"/>
                <w:sz w:val="21"/>
                <w:szCs w:val="21"/>
                <w:u w:val="none"/>
                <w:lang w:val="en-US" w:eastAsia="zh-CN" w:bidi="ar"/>
              </w:rPr>
              <w:t>924</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3DC4">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b/>
                <w:i w:val="0"/>
                <w:color w:val="000000"/>
                <w:kern w:val="0"/>
                <w:sz w:val="21"/>
                <w:szCs w:val="21"/>
                <w:u w:val="none"/>
                <w:lang w:val="en-US" w:eastAsia="zh-CN" w:bidi="ar"/>
              </w:rPr>
              <w:t>自评总分</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648A">
            <w:pPr>
              <w:jc w:val="center"/>
              <w:rPr>
                <w:rFonts w:hint="default" w:ascii="Times New Roman" w:hAnsi="Times New Roman" w:eastAsia="方正仿宋_GBK" w:cs="Times New Roman"/>
                <w:b/>
                <w:i w:val="0"/>
                <w:color w:val="000000"/>
                <w:sz w:val="21"/>
                <w:szCs w:val="21"/>
                <w:u w:val="none"/>
              </w:rPr>
            </w:pPr>
          </w:p>
          <w:p w14:paraId="2EABAEE7">
            <w:pPr>
              <w:jc w:val="center"/>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100.00</w:t>
            </w:r>
          </w:p>
        </w:tc>
      </w:tr>
      <w:tr w14:paraId="6ACAA7C2">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B761">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lang w:eastAsia="zh-CN"/>
              </w:rPr>
            </w:pPr>
            <w:r>
              <w:rPr>
                <w:rFonts w:hint="default" w:ascii="Times New Roman" w:hAnsi="Times New Roman" w:eastAsia="方正仿宋_GBK" w:cs="Times New Roman"/>
                <w:b/>
                <w:i w:val="0"/>
                <w:color w:val="000000"/>
                <w:sz w:val="21"/>
                <w:szCs w:val="21"/>
                <w:u w:val="none"/>
                <w:lang w:eastAsia="zh-CN"/>
              </w:rPr>
              <w:t>部门联系人</w:t>
            </w:r>
          </w:p>
        </w:tc>
        <w:tc>
          <w:tcPr>
            <w:tcW w:w="178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07AC">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湛秋玉</w:t>
            </w:r>
          </w:p>
        </w:tc>
        <w:tc>
          <w:tcPr>
            <w:tcW w:w="108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8BC0">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联系电话</w:t>
            </w:r>
          </w:p>
        </w:tc>
        <w:tc>
          <w:tcPr>
            <w:tcW w:w="125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185F">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lang w:val="en-US"/>
              </w:rPr>
            </w:pPr>
            <w:r>
              <w:rPr>
                <w:rFonts w:hint="default" w:ascii="Times New Roman" w:hAnsi="Times New Roman" w:eastAsia="方正仿宋_GBK" w:cs="Times New Roman"/>
                <w:i w:val="0"/>
                <w:color w:val="000000"/>
                <w:kern w:val="0"/>
                <w:sz w:val="21"/>
                <w:szCs w:val="21"/>
                <w:u w:val="none"/>
                <w:lang w:val="en-US" w:eastAsia="zh-CN" w:bidi="ar"/>
              </w:rPr>
              <w:t>023-73342001</w:t>
            </w:r>
          </w:p>
        </w:tc>
      </w:tr>
      <w:tr w14:paraId="7E918092">
        <w:tblPrEx>
          <w:tblCellMar>
            <w:top w:w="0" w:type="dxa"/>
            <w:left w:w="0" w:type="dxa"/>
            <w:bottom w:w="0" w:type="dxa"/>
            <w:right w:w="0" w:type="dxa"/>
          </w:tblCellMar>
        </w:tblPrEx>
        <w:trPr>
          <w:trHeight w:val="616"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B005">
            <w:pPr>
              <w:keepNext w:val="0"/>
              <w:keepLines w:val="0"/>
              <w:widowControl/>
              <w:suppressLineNumbers w:val="0"/>
              <w:jc w:val="center"/>
              <w:textAlignment w:val="center"/>
              <w:rPr>
                <w:rFonts w:hint="default" w:ascii="Times New Roman" w:hAnsi="Times New Roman" w:eastAsia="方正仿宋_GBK" w:cs="Times New Roman"/>
                <w:b/>
                <w:i w:val="0"/>
                <w:color w:val="808080"/>
                <w:sz w:val="21"/>
                <w:szCs w:val="21"/>
                <w:u w:val="none"/>
              </w:rPr>
            </w:pPr>
            <w:r>
              <w:rPr>
                <w:rFonts w:hint="default" w:ascii="Times New Roman" w:hAnsi="Times New Roman" w:eastAsia="方正仿宋_GBK" w:cs="Times New Roman"/>
                <w:b/>
                <w:i w:val="0"/>
                <w:color w:val="808080"/>
                <w:kern w:val="0"/>
                <w:sz w:val="21"/>
                <w:szCs w:val="21"/>
                <w:u w:val="none"/>
                <w:lang w:val="en-US" w:eastAsia="zh-CN" w:bidi="ar"/>
              </w:rPr>
              <w:t>资金情况</w:t>
            </w:r>
          </w:p>
        </w:tc>
      </w:tr>
      <w:tr w14:paraId="37057885">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B151">
            <w:pPr>
              <w:jc w:val="center"/>
              <w:rPr>
                <w:rFonts w:hint="default" w:ascii="Times New Roman" w:hAnsi="Times New Roman" w:eastAsia="方正仿宋_GBK" w:cs="Times New Roman"/>
                <w:i w:val="0"/>
                <w:color w:val="000000"/>
                <w:sz w:val="21"/>
                <w:szCs w:val="21"/>
                <w:u w:val="none"/>
              </w:rPr>
            </w:pP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C7AB">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年初预算数</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0B42">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全年（调整）预算数</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D1E8">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全年执行数</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A7E6">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执行率</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648E">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执行率权重</w:t>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AF62">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执行率得分</w:t>
            </w:r>
          </w:p>
        </w:tc>
      </w:tr>
      <w:tr w14:paraId="4BE9E318">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269D1">
            <w:pPr>
              <w:jc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年度总金额</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FB8E">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1430.94</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B7A0">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2463.45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ED4A">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2310.07</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F1A9">
            <w:pPr>
              <w:jc w:val="center"/>
              <w:rPr>
                <w:rFonts w:hint="default" w:ascii="Times New Roman" w:hAnsi="Times New Roman" w:eastAsia="方正仿宋_GBK" w:cs="Times New Roman"/>
                <w:i w:val="0"/>
                <w:color w:val="000000"/>
                <w:sz w:val="21"/>
                <w:szCs w:val="21"/>
                <w:u w:val="none"/>
              </w:rPr>
            </w:pP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F432">
            <w:pPr>
              <w:jc w:val="center"/>
              <w:rPr>
                <w:rFonts w:hint="default" w:ascii="Times New Roman" w:hAnsi="Times New Roman" w:eastAsia="方正仿宋_GBK" w:cs="Times New Roman"/>
                <w:i w:val="0"/>
                <w:color w:val="000000"/>
                <w:sz w:val="21"/>
                <w:szCs w:val="21"/>
                <w:u w:val="none"/>
              </w:rPr>
            </w:pP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E38A">
            <w:pPr>
              <w:jc w:val="center"/>
              <w:rPr>
                <w:rFonts w:hint="default" w:ascii="Times New Roman" w:hAnsi="Times New Roman" w:eastAsia="方正仿宋_GBK" w:cs="Times New Roman"/>
                <w:i w:val="0"/>
                <w:color w:val="000000"/>
                <w:sz w:val="21"/>
                <w:szCs w:val="21"/>
                <w:u w:val="none"/>
              </w:rPr>
            </w:pPr>
          </w:p>
        </w:tc>
      </w:tr>
      <w:tr w14:paraId="2AF5B271">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6097">
            <w:pPr>
              <w:jc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其中：财政拨款</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CF8A">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1430.94</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42A6">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2463.45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6BB0">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2310.07</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73CE">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lang w:val="en-US"/>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806F">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10.00</w:t>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5FA8">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10.00</w:t>
            </w:r>
          </w:p>
        </w:tc>
      </w:tr>
      <w:tr w14:paraId="5552E868">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B0D7">
            <w:pPr>
              <w:jc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一般公共预算</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8B80">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1430.94</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54B8">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2443.13</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D485">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2289.75</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0F51">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u w:val="none"/>
                <w:lang w:val="en-US"/>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6645">
            <w:pPr>
              <w:jc w:val="center"/>
              <w:rPr>
                <w:rFonts w:hint="default" w:ascii="Times New Roman" w:hAnsi="Times New Roman" w:eastAsia="方正仿宋_GBK" w:cs="Times New Roman"/>
                <w:i w:val="0"/>
                <w:color w:val="000000"/>
                <w:sz w:val="21"/>
                <w:szCs w:val="21"/>
                <w:u w:val="none"/>
              </w:rPr>
            </w:pP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7F58">
            <w:pPr>
              <w:jc w:val="center"/>
              <w:rPr>
                <w:rFonts w:hint="default" w:ascii="Times New Roman" w:hAnsi="Times New Roman" w:eastAsia="方正仿宋_GBK" w:cs="Times New Roman"/>
                <w:i w:val="0"/>
                <w:color w:val="000000"/>
                <w:sz w:val="21"/>
                <w:szCs w:val="21"/>
                <w:u w:val="none"/>
              </w:rPr>
            </w:pPr>
          </w:p>
        </w:tc>
      </w:tr>
      <w:tr w14:paraId="238BFF9A">
        <w:tblPrEx>
          <w:tblCellMar>
            <w:top w:w="0" w:type="dxa"/>
            <w:left w:w="0" w:type="dxa"/>
            <w:bottom w:w="0" w:type="dxa"/>
            <w:right w:w="0" w:type="dxa"/>
          </w:tblCellMar>
        </w:tblPrEx>
        <w:trPr>
          <w:trHeight w:val="60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ECD3">
            <w:pPr>
              <w:keepNext w:val="0"/>
              <w:keepLines w:val="0"/>
              <w:widowControl/>
              <w:suppressLineNumbers w:val="0"/>
              <w:jc w:val="center"/>
              <w:textAlignment w:val="center"/>
              <w:rPr>
                <w:rFonts w:hint="default" w:ascii="Times New Roman" w:hAnsi="Times New Roman" w:eastAsia="方正仿宋_GBK" w:cs="Times New Roman"/>
                <w:b/>
                <w:i w:val="0"/>
                <w:color w:val="808080"/>
                <w:sz w:val="21"/>
                <w:szCs w:val="21"/>
                <w:u w:val="none"/>
              </w:rPr>
            </w:pPr>
            <w:r>
              <w:rPr>
                <w:rFonts w:hint="default" w:ascii="Times New Roman" w:hAnsi="Times New Roman" w:eastAsia="方正仿宋_GBK" w:cs="Times New Roman"/>
                <w:b/>
                <w:i w:val="0"/>
                <w:color w:val="808080"/>
                <w:kern w:val="0"/>
                <w:sz w:val="21"/>
                <w:szCs w:val="21"/>
                <w:u w:val="none"/>
                <w:lang w:val="en-US" w:eastAsia="zh-CN" w:bidi="ar"/>
              </w:rPr>
              <w:t>绩效目标</w:t>
            </w:r>
          </w:p>
        </w:tc>
      </w:tr>
      <w:tr w14:paraId="5111F49A">
        <w:tblPrEx>
          <w:tblCellMar>
            <w:top w:w="0" w:type="dxa"/>
            <w:left w:w="0" w:type="dxa"/>
            <w:bottom w:w="0" w:type="dxa"/>
            <w:right w:w="0" w:type="dxa"/>
          </w:tblCellMar>
        </w:tblPrEx>
        <w:trPr>
          <w:trHeight w:val="500" w:hRule="atLeast"/>
        </w:trPr>
        <w:tc>
          <w:tcPr>
            <w:tcW w:w="18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B467">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年初绩效目标</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51A7">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全年（调整）绩效目标</w:t>
            </w:r>
          </w:p>
        </w:tc>
        <w:tc>
          <w:tcPr>
            <w:tcW w:w="190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7472">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全年目标实际完成情况</w:t>
            </w:r>
          </w:p>
        </w:tc>
      </w:tr>
      <w:tr w14:paraId="6FF354AB">
        <w:tblPrEx>
          <w:tblCellMar>
            <w:top w:w="0" w:type="dxa"/>
            <w:left w:w="0" w:type="dxa"/>
            <w:bottom w:w="0" w:type="dxa"/>
            <w:right w:w="0" w:type="dxa"/>
          </w:tblCellMar>
        </w:tblPrEx>
        <w:trPr>
          <w:trHeight w:val="2200" w:hRule="atLeast"/>
        </w:trPr>
        <w:tc>
          <w:tcPr>
            <w:tcW w:w="187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A17666">
            <w:pPr>
              <w:keepNext w:val="0"/>
              <w:keepLines w:val="0"/>
              <w:widowControl/>
              <w:suppressLineNumbers w:val="0"/>
              <w:jc w:val="left"/>
              <w:textAlignment w:val="top"/>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在今年收支预算内，确保完成以下整体目标；一是做好农业经济发展、民政和社会事务、平安建设、规划建设和环保管理、应急管理、人大事务、综合执法等工作，保障辖区各项工作正常开展。二是为农业农村工作、村社公共事务、文化宣传、体育、劳动就业和社会保障、退役军人及其他优抚对象做好服务工作。三是完成县委、县政府安排的其他工作；四是保障乡政府各项工作正常运转，保障机关人员经费的正常支出，保障村组干部待遇正常发放。</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BF3A2C">
            <w:pPr>
              <w:jc w:val="left"/>
              <w:rPr>
                <w:rFonts w:hint="default" w:ascii="Times New Roman" w:hAnsi="Times New Roman" w:eastAsia="方正仿宋_GBK" w:cs="Times New Roman"/>
                <w:i w:val="0"/>
                <w:color w:val="000000"/>
                <w:sz w:val="21"/>
                <w:szCs w:val="21"/>
                <w:u w:val="none"/>
              </w:rPr>
            </w:pPr>
          </w:p>
        </w:tc>
        <w:tc>
          <w:tcPr>
            <w:tcW w:w="1905"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76BF56">
            <w:pPr>
              <w:keepNext w:val="0"/>
              <w:keepLines w:val="0"/>
              <w:widowControl/>
              <w:suppressLineNumbers w:val="0"/>
              <w:jc w:val="left"/>
              <w:textAlignment w:val="top"/>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在今年收支预算内，确保完成以下整体目标；一是做好农业经济发展、民政和社会事务、平安建设、规划建设和环保管理、应急管理、人大事务、综合执法等工作，保障辖区各项工作正常开展。二是为农业农村工作、村社公共事务、文化宣传、体育、劳动就业和社会保障、退役军人及其他优抚对象做好服务工作。三是完成县委、县政府安排的其他工作；四是保障乡政府各项工作正常运转，保障机关人员经费的正常支出，保障村组干部待遇正常发放。</w:t>
            </w:r>
          </w:p>
        </w:tc>
      </w:tr>
      <w:tr w14:paraId="6B5022E4">
        <w:tblPrEx>
          <w:tblCellMar>
            <w:top w:w="0" w:type="dxa"/>
            <w:left w:w="0" w:type="dxa"/>
            <w:bottom w:w="0" w:type="dxa"/>
            <w:right w:w="0" w:type="dxa"/>
          </w:tblCellMar>
        </w:tblPrEx>
        <w:trPr>
          <w:trHeight w:val="60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1C78">
            <w:pPr>
              <w:keepNext w:val="0"/>
              <w:keepLines w:val="0"/>
              <w:widowControl/>
              <w:suppressLineNumbers w:val="0"/>
              <w:jc w:val="center"/>
              <w:textAlignment w:val="center"/>
              <w:rPr>
                <w:rFonts w:hint="default" w:ascii="Times New Roman" w:hAnsi="Times New Roman" w:eastAsia="方正仿宋_GBK" w:cs="Times New Roman"/>
                <w:b/>
                <w:i w:val="0"/>
                <w:color w:val="808080"/>
                <w:sz w:val="21"/>
                <w:szCs w:val="21"/>
                <w:u w:val="none"/>
              </w:rPr>
            </w:pPr>
            <w:r>
              <w:rPr>
                <w:rFonts w:hint="default" w:ascii="Times New Roman" w:hAnsi="Times New Roman" w:eastAsia="方正仿宋_GBK" w:cs="Times New Roman"/>
                <w:b/>
                <w:i w:val="0"/>
                <w:color w:val="808080"/>
                <w:kern w:val="0"/>
                <w:sz w:val="21"/>
                <w:szCs w:val="21"/>
                <w:u w:val="none"/>
                <w:lang w:val="en-US" w:eastAsia="zh-CN" w:bidi="ar"/>
              </w:rPr>
              <w:t>绩效指标</w:t>
            </w:r>
          </w:p>
        </w:tc>
      </w:tr>
      <w:tr w14:paraId="7EEEBD4F">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1716">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指标名称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7C67">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计量单位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0719">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指标性质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DE5E">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指标值</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1BBF">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全年完成值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7D1A">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偏离度（%）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FF7E">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得分系数（%）</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8F5F">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指标权重</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8FAA">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指标得分</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599F">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是否核心指标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D2D1">
            <w:pPr>
              <w:keepNext w:val="0"/>
              <w:keepLines w:val="0"/>
              <w:widowControl/>
              <w:suppressLineNumbers w:val="0"/>
              <w:jc w:val="center"/>
              <w:textAlignment w:val="center"/>
              <w:rPr>
                <w:rFonts w:hint="default" w:ascii="Times New Roman" w:hAnsi="Times New Roman" w:eastAsia="方正仿宋_GBK" w:cs="Times New Roman"/>
                <w:b/>
                <w:i w:val="0"/>
                <w:color w:val="000000"/>
                <w:sz w:val="21"/>
                <w:szCs w:val="21"/>
                <w:u w:val="none"/>
              </w:rPr>
            </w:pPr>
            <w:r>
              <w:rPr>
                <w:rFonts w:hint="default" w:ascii="Times New Roman" w:hAnsi="Times New Roman" w:eastAsia="方正仿宋_GBK" w:cs="Times New Roman"/>
                <w:b/>
                <w:i w:val="0"/>
                <w:color w:val="000000"/>
                <w:kern w:val="0"/>
                <w:sz w:val="21"/>
                <w:szCs w:val="21"/>
                <w:u w:val="none"/>
                <w:lang w:val="en-US" w:eastAsia="zh-CN" w:bidi="ar"/>
              </w:rPr>
              <w:t>说明</w:t>
            </w:r>
          </w:p>
        </w:tc>
      </w:tr>
      <w:tr w14:paraId="786845D0">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7F47">
            <w:pPr>
              <w:keepNext w:val="0"/>
              <w:keepLines w:val="0"/>
              <w:widowControl/>
              <w:suppressLineNumbers w:val="0"/>
              <w:ind w:firstLineChars="10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管理村数量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0980">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9EFD">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B8D4">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6A17">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511F">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AFC2">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AD7E">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15</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3EA8">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15</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5647">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1CF6">
            <w:pPr>
              <w:jc w:val="center"/>
              <w:rPr>
                <w:rFonts w:hint="default" w:ascii="Times New Roman" w:hAnsi="Times New Roman" w:eastAsia="方正仿宋_GBK" w:cs="Times New Roman"/>
                <w:i w:val="0"/>
                <w:color w:val="000000"/>
                <w:sz w:val="21"/>
                <w:szCs w:val="21"/>
                <w:u w:val="none"/>
              </w:rPr>
            </w:pPr>
          </w:p>
        </w:tc>
      </w:tr>
      <w:tr w14:paraId="20660787">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CB35">
            <w:pPr>
              <w:keepNext w:val="0"/>
              <w:keepLines w:val="0"/>
              <w:widowControl/>
              <w:suppressLineNumbers w:val="0"/>
              <w:ind w:firstLineChars="10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人员编制数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E66B">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FFAB">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00D1">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F21A">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41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01FE">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D99A">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A2B2">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15</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2B92">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15</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B731">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FF5E">
            <w:pPr>
              <w:jc w:val="center"/>
              <w:rPr>
                <w:rFonts w:hint="default" w:ascii="Times New Roman" w:hAnsi="Times New Roman" w:eastAsia="方正仿宋_GBK" w:cs="Times New Roman"/>
                <w:i w:val="0"/>
                <w:color w:val="000000"/>
                <w:sz w:val="21"/>
                <w:szCs w:val="21"/>
                <w:u w:val="none"/>
              </w:rPr>
            </w:pPr>
          </w:p>
        </w:tc>
      </w:tr>
      <w:tr w14:paraId="5C5EDB0C">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1EE0">
            <w:pPr>
              <w:keepNext w:val="0"/>
              <w:keepLines w:val="0"/>
              <w:widowControl/>
              <w:suppressLineNumbers w:val="0"/>
              <w:ind w:firstLineChars="10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实有人员数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7C6F">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C642">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F147">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2D6D">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29A4">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3D48">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AC91">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D603">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776">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213A">
            <w:pPr>
              <w:jc w:val="center"/>
              <w:rPr>
                <w:rFonts w:hint="default" w:ascii="Times New Roman" w:hAnsi="Times New Roman" w:eastAsia="方正仿宋_GBK" w:cs="Times New Roman"/>
                <w:i w:val="0"/>
                <w:color w:val="000000"/>
                <w:sz w:val="21"/>
                <w:szCs w:val="21"/>
                <w:u w:val="none"/>
              </w:rPr>
            </w:pPr>
          </w:p>
        </w:tc>
      </w:tr>
      <w:tr w14:paraId="5A54343F">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38BC">
            <w:pPr>
              <w:keepNext w:val="0"/>
              <w:keepLines w:val="0"/>
              <w:widowControl/>
              <w:suppressLineNumbers w:val="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资金拨付及时率</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9FB5">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BA30">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8A93">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84FC">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7D1C">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FBBC">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48D0">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6A9F">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502D">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763B">
            <w:pPr>
              <w:jc w:val="center"/>
              <w:rPr>
                <w:rFonts w:hint="default" w:ascii="Times New Roman" w:hAnsi="Times New Roman" w:eastAsia="方正仿宋_GBK" w:cs="Times New Roman"/>
                <w:i w:val="0"/>
                <w:color w:val="000000"/>
                <w:sz w:val="21"/>
                <w:szCs w:val="21"/>
                <w:u w:val="none"/>
              </w:rPr>
            </w:pPr>
          </w:p>
        </w:tc>
      </w:tr>
      <w:tr w14:paraId="444584EA">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6E39">
            <w:pPr>
              <w:keepNext w:val="0"/>
              <w:keepLines w:val="0"/>
              <w:widowControl/>
              <w:suppressLineNumbers w:val="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经济发展情况</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BEE9">
            <w:pPr>
              <w:jc w:val="center"/>
              <w:rPr>
                <w:rFonts w:hint="default" w:ascii="Times New Roman" w:hAnsi="Times New Roman" w:eastAsia="方正仿宋_GBK" w:cs="Times New Roman"/>
                <w:i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23A6">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定性</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287C">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优</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3C1F">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2CF0">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A797">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C3A3">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C878">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804E">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2088">
            <w:pPr>
              <w:jc w:val="center"/>
              <w:rPr>
                <w:rFonts w:hint="default" w:ascii="Times New Roman" w:hAnsi="Times New Roman" w:eastAsia="方正仿宋_GBK" w:cs="Times New Roman"/>
                <w:i w:val="0"/>
                <w:color w:val="000000"/>
                <w:sz w:val="21"/>
                <w:szCs w:val="21"/>
                <w:u w:val="none"/>
              </w:rPr>
            </w:pPr>
          </w:p>
        </w:tc>
      </w:tr>
      <w:tr w14:paraId="142FA629">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EB37">
            <w:pPr>
              <w:keepNext w:val="0"/>
              <w:keepLines w:val="0"/>
              <w:widowControl/>
              <w:suppressLineNumbers w:val="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社会和谐稳定情况</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7780">
            <w:pPr>
              <w:jc w:val="center"/>
              <w:rPr>
                <w:rFonts w:hint="default" w:ascii="Times New Roman" w:hAnsi="Times New Roman" w:eastAsia="方正仿宋_GBK" w:cs="Times New Roman"/>
                <w:i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A275">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定性</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137D">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优</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4417">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FE57">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8773">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1AA9">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4A80">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2F09">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17F8">
            <w:pPr>
              <w:jc w:val="center"/>
              <w:rPr>
                <w:rFonts w:hint="default" w:ascii="Times New Roman" w:hAnsi="Times New Roman" w:eastAsia="方正仿宋_GBK" w:cs="Times New Roman"/>
                <w:i w:val="0"/>
                <w:color w:val="000000"/>
                <w:sz w:val="21"/>
                <w:szCs w:val="21"/>
                <w:u w:val="none"/>
              </w:rPr>
            </w:pPr>
          </w:p>
        </w:tc>
      </w:tr>
      <w:tr w14:paraId="0798495B">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D987">
            <w:pPr>
              <w:keepNext w:val="0"/>
              <w:keepLines w:val="0"/>
              <w:widowControl/>
              <w:suppressLineNumbers w:val="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人民群众满意度</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1DAE">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CAFC">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25F8">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98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EADE">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98</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9A82">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88E5">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7622">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64FA">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D4ED">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A746">
            <w:pPr>
              <w:jc w:val="center"/>
              <w:rPr>
                <w:rFonts w:hint="default" w:ascii="Times New Roman" w:hAnsi="Times New Roman" w:eastAsia="方正仿宋_GBK" w:cs="Times New Roman"/>
                <w:i w:val="0"/>
                <w:color w:val="000000"/>
                <w:sz w:val="21"/>
                <w:szCs w:val="21"/>
                <w:u w:val="none"/>
              </w:rPr>
            </w:pPr>
          </w:p>
        </w:tc>
      </w:tr>
      <w:tr w14:paraId="21E08614">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D72F">
            <w:pPr>
              <w:keepNext w:val="0"/>
              <w:keepLines w:val="0"/>
              <w:widowControl/>
              <w:suppressLineNumbers w:val="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人均公用经费变动率</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4191">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BA53">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0771">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42A0">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8BB3">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9803">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35C9">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FC6E">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28C9">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94D8">
            <w:pPr>
              <w:jc w:val="center"/>
              <w:rPr>
                <w:rFonts w:hint="default" w:ascii="Times New Roman" w:hAnsi="Times New Roman" w:eastAsia="方正仿宋_GBK" w:cs="Times New Roman"/>
                <w:i w:val="0"/>
                <w:color w:val="000000"/>
                <w:sz w:val="21"/>
                <w:szCs w:val="21"/>
                <w:u w:val="none"/>
              </w:rPr>
            </w:pPr>
          </w:p>
        </w:tc>
      </w:tr>
      <w:tr w14:paraId="4A83A725">
        <w:tblPrEx>
          <w:tblCellMar>
            <w:top w:w="0" w:type="dxa"/>
            <w:left w:w="0" w:type="dxa"/>
            <w:bottom w:w="0" w:type="dxa"/>
            <w:right w:w="0" w:type="dxa"/>
          </w:tblCellMar>
        </w:tblPrEx>
        <w:trPr>
          <w:trHeight w:val="500" w:hRule="atLeast"/>
        </w:trPr>
        <w:tc>
          <w:tcPr>
            <w:tcW w:w="8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61F2">
            <w:pPr>
              <w:keepNext w:val="0"/>
              <w:keepLines w:val="0"/>
              <w:widowControl/>
              <w:suppressLineNumbers w:val="0"/>
              <w:jc w:val="both"/>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三公经费支出节约率</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57E4">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130D">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FC25">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83E7">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206E">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0D89">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0A65">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96BC">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10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F24E">
            <w:pPr>
              <w:keepNext w:val="0"/>
              <w:keepLines w:val="0"/>
              <w:widowControl/>
              <w:suppressLineNumbers w:val="0"/>
              <w:ind w:firstLineChars="100"/>
              <w:jc w:val="center"/>
              <w:textAlignment w:val="center"/>
              <w:rPr>
                <w:rFonts w:hint="default" w:ascii="Times New Roman" w:hAnsi="Times New Roman" w:eastAsia="方正仿宋_GBK" w:cs="Times New Roman"/>
                <w:i w:val="0"/>
                <w:color w:val="000000"/>
                <w:sz w:val="21"/>
                <w:szCs w:val="21"/>
                <w:u w:val="none"/>
              </w:rPr>
            </w:pPr>
            <w:r>
              <w:rPr>
                <w:rFonts w:hint="default" w:ascii="Times New Roman" w:hAnsi="Times New Roman" w:eastAsia="方正仿宋_GBK" w:cs="Times New Roman"/>
                <w:i w:val="0"/>
                <w:color w:val="000000"/>
                <w:kern w:val="0"/>
                <w:sz w:val="21"/>
                <w:szCs w:val="21"/>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5F1B">
            <w:pPr>
              <w:jc w:val="center"/>
              <w:rPr>
                <w:rFonts w:hint="default" w:ascii="Times New Roman" w:hAnsi="Times New Roman" w:eastAsia="方正仿宋_GBK" w:cs="Times New Roman"/>
                <w:i w:val="0"/>
                <w:color w:val="000000"/>
                <w:sz w:val="21"/>
                <w:szCs w:val="21"/>
                <w:u w:val="none"/>
              </w:rPr>
            </w:pPr>
          </w:p>
        </w:tc>
      </w:tr>
    </w:tbl>
    <w:p w14:paraId="0644534A">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6C450320">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78277751">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4E3D092B">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4BE218F1">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六、专业名词解释</w:t>
      </w:r>
    </w:p>
    <w:p w14:paraId="418766D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1F3E130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78E67C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6A9B90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65A541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5555E5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3A064910">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C5CE82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B657C0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A3980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D83CE2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C5A421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B7ECD4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985358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3F730F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0E467C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40DA0666">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F83DFE3">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七、决算公开联系方式及信息反馈渠道</w:t>
      </w:r>
    </w:p>
    <w:p w14:paraId="0397644E">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本单位决算公开信息反馈和联系方式：023-73342001</w:t>
      </w:r>
    </w:p>
    <w:p w14:paraId="21D24D08">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14:paraId="17F3B94A">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kern w:val="0"/>
          <w:sz w:val="32"/>
          <w:szCs w:val="32"/>
          <w:shd w:val="clear" w:color="auto" w:fill="FFFFFF"/>
          <w:lang w:val="en-US" w:eastAsia="zh-CN" w:bidi="ar-SA"/>
        </w:rPr>
        <w:t>附件：924-石柱土家族自治县六塘乡人民政府决算公开表</w:t>
      </w:r>
    </w:p>
    <w:p w14:paraId="60ECDF9C">
      <w:pPr>
        <w:pStyle w:val="9"/>
        <w:autoSpaceDE w:val="0"/>
        <w:ind w:firstLine="0" w:firstLineChars="0"/>
        <w:rPr>
          <w:rFonts w:hint="default" w:ascii="Times New Roman" w:hAnsi="Times New Roman" w:eastAsia="宋体" w:cs="Times New Roman"/>
          <w:sz w:val="21"/>
          <w:szCs w:val="21"/>
        </w:rPr>
      </w:pPr>
    </w:p>
    <w:sectPr>
      <w:headerReference r:id="rId4" w:type="default"/>
      <w:footerReference r:id="rId5" w:type="default"/>
      <w:pgSz w:w="16838" w:h="23811"/>
      <w:pgMar w:top="454" w:right="567" w:bottom="1037" w:left="56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1E56F">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D31400">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6D31400">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5BE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A3282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CA3282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FAE714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FAE714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4C3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265AE3"/>
    <w:rsid w:val="04435686"/>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A87770"/>
    <w:rsid w:val="12C921C4"/>
    <w:rsid w:val="12DA353E"/>
    <w:rsid w:val="13850DCB"/>
    <w:rsid w:val="13871C70"/>
    <w:rsid w:val="13A71CB4"/>
    <w:rsid w:val="13AF1D43"/>
    <w:rsid w:val="13CE1647"/>
    <w:rsid w:val="14200702"/>
    <w:rsid w:val="144F3F11"/>
    <w:rsid w:val="1580711B"/>
    <w:rsid w:val="16D80EBF"/>
    <w:rsid w:val="17D67962"/>
    <w:rsid w:val="189B0D0B"/>
    <w:rsid w:val="18E03A42"/>
    <w:rsid w:val="19313430"/>
    <w:rsid w:val="194A1770"/>
    <w:rsid w:val="19B906A4"/>
    <w:rsid w:val="19BC4734"/>
    <w:rsid w:val="1A1F744B"/>
    <w:rsid w:val="1A2F0AD7"/>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3A6420F"/>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C40CE9"/>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C6053AA"/>
    <w:rsid w:val="4D600BF7"/>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0F87024"/>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BE37CA"/>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6702</Words>
  <Characters>7514</Characters>
  <Lines>161</Lines>
  <Paragraphs>45</Paragraphs>
  <TotalTime>3</TotalTime>
  <ScaleCrop>false</ScaleCrop>
  <LinksUpToDate>false</LinksUpToDate>
  <CharactersWithSpaces>7532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杨航</cp:lastModifiedBy>
  <dcterms:modified xsi:type="dcterms:W3CDTF">2025-10-15T01:37:17Z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eyJoZGlkIjoiMmJjODQwM2JhNjllMDIyODUwYTAwOTY4NGM2MWY4MTciLCJ1c2VySWQiOiIxNjQzOTYxMTQzIn0=</vt:lpwstr>
  </property>
</Properties>
</file>